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ascii="Times New Roman" w:hAnsi="Times New Roman" w:eastAsia="方正黑体简体" w:cs="Times New Roman"/>
          <w:sz w:val="32"/>
          <w:szCs w:val="28"/>
        </w:rPr>
      </w:pPr>
      <w:r>
        <w:rPr>
          <w:rFonts w:hint="eastAsia" w:ascii="方正黑体_GBK" w:hAnsi="Times New Roman" w:eastAsia="方正黑体_GBK" w:cs="Times New Roman"/>
          <w:sz w:val="32"/>
          <w:szCs w:val="28"/>
        </w:rPr>
        <w:t>附件</w:t>
      </w:r>
    </w:p>
    <w:p>
      <w:pPr>
        <w:widowControl/>
        <w:tabs>
          <w:tab w:val="left" w:pos="6561"/>
        </w:tabs>
        <w:spacing w:line="590" w:lineRule="exact"/>
        <w:jc w:val="left"/>
        <w:rPr>
          <w:rFonts w:ascii="Times New Roman" w:hAnsi="Times New Roman" w:eastAsia="方正黑体简体" w:cs="Times New Roman"/>
          <w:sz w:val="32"/>
          <w:szCs w:val="28"/>
        </w:rPr>
      </w:pPr>
    </w:p>
    <w:p>
      <w:pPr>
        <w:spacing w:before="120" w:after="120" w:line="590" w:lineRule="exact"/>
        <w:jc w:val="center"/>
        <w:rPr>
          <w:rFonts w:ascii="方正小标宋_GBK" w:hAnsi="Times New Roman" w:eastAsia="方正小标宋_GBK" w:cs="Times New Roman"/>
          <w:kern w:val="0"/>
          <w:sz w:val="44"/>
          <w:szCs w:val="44"/>
        </w:rPr>
      </w:pPr>
      <w:bookmarkStart w:id="0" w:name="_GoBack"/>
      <w:r>
        <w:rPr>
          <w:rFonts w:hint="eastAsia" w:ascii="方正小标宋_GBK" w:hAnsi="Times New Roman" w:eastAsia="方正小标宋_GBK" w:cs="Times New Roman"/>
          <w:kern w:val="0"/>
          <w:sz w:val="44"/>
          <w:szCs w:val="44"/>
        </w:rPr>
        <w:t>交通银行江苏省分行“制造业Token贷”</w:t>
      </w:r>
    </w:p>
    <w:p>
      <w:pPr>
        <w:spacing w:before="120" w:after="120" w:line="590" w:lineRule="exact"/>
        <w:jc w:val="center"/>
        <w:rPr>
          <w:rFonts w:ascii="方正小标宋_GBK" w:hAnsi="Times New Roman" w:eastAsia="方正小标宋_GBK" w:cs="Times New Roman"/>
          <w:kern w:val="0"/>
          <w:sz w:val="44"/>
          <w:szCs w:val="44"/>
        </w:rPr>
      </w:pPr>
      <w:r>
        <w:rPr>
          <w:rFonts w:hint="eastAsia" w:ascii="方正小标宋_GBK" w:hAnsi="Times New Roman" w:eastAsia="方正小标宋_GBK" w:cs="Times New Roman"/>
          <w:kern w:val="0"/>
          <w:sz w:val="44"/>
          <w:szCs w:val="44"/>
        </w:rPr>
        <w:t>专项产品方案</w:t>
      </w:r>
      <w:bookmarkEnd w:id="0"/>
    </w:p>
    <w:p>
      <w:pPr>
        <w:spacing w:before="120" w:after="120" w:line="590" w:lineRule="exact"/>
        <w:jc w:val="center"/>
        <w:rPr>
          <w:rFonts w:ascii="方正小标宋_GBK" w:hAnsi="Times New Roman" w:eastAsia="方正小标宋_GBK" w:cs="Times New Roman"/>
          <w:kern w:val="0"/>
          <w:sz w:val="44"/>
          <w:szCs w:val="44"/>
        </w:rPr>
      </w:pP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为认真落实省委、省政府关于推动人工智能创新发展和“人工智能+”行动的工作部署，支持省内制造业企业加快Token管理体系建设、提升数字资产运营能力，促进人工智能深度赋能全省制造业高质量发展，在江苏省工业和信息化厅指导下，交通银行江苏省分行充分发挥国有大型商业银行综合金融服务优势，配套专项信贷额度、开辟专属服务通道，创新推出“制造业Token贷”专项融资服务方案，具体方案如下：</w:t>
      </w:r>
    </w:p>
    <w:p>
      <w:pPr>
        <w:overflowPunct w:val="0"/>
        <w:adjustRightInd w:val="0"/>
        <w:snapToGrid w:val="0"/>
        <w:spacing w:line="590" w:lineRule="exact"/>
        <w:ind w:firstLine="640" w:firstLineChars="20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一、业务范围</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制造业Token贷”，是指交通银行江苏省分行向江苏省内制造业企业发放的专项融资，在以企业综合经营情况为授信核额基本依据的前提下，将Token本地化部署、调用情况及管理体系建设水平作为授信增额核心评价依据的专项融资。业务支持对象是江苏省内依法注册登记、具有独立法人资格、生产经营合法合规、信用状况良好的制造业企业，并重点支持以下企业：</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（一）已落地或在建生产刚性类、经营优化类、计划决策类、研发仿真类四大类Token应用场景的制造业企业；已建成规范Token管理体系、数字化转型基础较好的优质制造业企业；</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（二）领航级、卓越级、先进级智能工厂；</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三）集成电路、航空航天、生物医药、低空经济、新型储能、智能机器人等六大新兴支柱产业，以及量子科技、生物制造、绿色氢能和核聚变能、脑机接口、具身智能、第六代移动通信等六大未来产业重点企业库的企业。</w:t>
      </w:r>
    </w:p>
    <w:p>
      <w:pPr>
        <w:overflowPunct w:val="0"/>
        <w:adjustRightInd w:val="0"/>
        <w:snapToGrid w:val="0"/>
        <w:spacing w:line="590" w:lineRule="exact"/>
        <w:ind w:firstLine="640" w:firstLineChars="20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二、产品要素</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（一）贷款金额</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w:t>
      </w:r>
      <w:r>
        <w:rPr>
          <w:rFonts w:hint="eastAsia" w:ascii="Times New Roman" w:hAnsi="Times New Roman" w:eastAsia="方正仿宋_GBK" w:cs="Times New Roman"/>
          <w:kern w:val="0"/>
          <w:sz w:val="32"/>
          <w:szCs w:val="32"/>
        </w:rPr>
        <w:t>固定资产</w:t>
      </w:r>
      <w:r>
        <w:rPr>
          <w:rFonts w:ascii="Times New Roman" w:hAnsi="Times New Roman" w:eastAsia="方正仿宋_GBK" w:cs="Times New Roman"/>
          <w:kern w:val="0"/>
          <w:sz w:val="32"/>
          <w:szCs w:val="32"/>
        </w:rPr>
        <w:t>贷款金额根据企业</w:t>
      </w:r>
      <w:r>
        <w:rPr>
          <w:rFonts w:hint="eastAsia" w:ascii="Times New Roman" w:hAnsi="Times New Roman" w:eastAsia="方正仿宋_GBK" w:cs="Times New Roman"/>
          <w:kern w:val="0"/>
          <w:sz w:val="32"/>
          <w:szCs w:val="32"/>
        </w:rPr>
        <w:t>本地化模型部署、硬件配置的</w:t>
      </w:r>
      <w:r>
        <w:rPr>
          <w:rFonts w:ascii="Times New Roman" w:hAnsi="Times New Roman" w:eastAsia="方正仿宋_GBK" w:cs="Times New Roman"/>
          <w:kern w:val="0"/>
          <w:sz w:val="32"/>
          <w:szCs w:val="32"/>
        </w:rPr>
        <w:t>总投资额、可预期还款现金流等综合确定，一般为项目总投资额的70%，最高可达80%。</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）流动资金贷款金额根据企业生产经营情况、</w:t>
      </w:r>
      <w:r>
        <w:rPr>
          <w:rFonts w:hint="eastAsia" w:ascii="Times New Roman" w:hAnsi="Times New Roman" w:eastAsia="方正仿宋_GBK" w:cs="Times New Roman"/>
          <w:kern w:val="0"/>
          <w:sz w:val="32"/>
          <w:szCs w:val="32"/>
        </w:rPr>
        <w:t>研发费用、</w:t>
      </w:r>
      <w:r>
        <w:rPr>
          <w:rFonts w:ascii="Times New Roman" w:hAnsi="Times New Roman" w:eastAsia="方正仿宋_GBK" w:cs="Times New Roman"/>
          <w:kern w:val="0"/>
          <w:sz w:val="32"/>
          <w:szCs w:val="32"/>
        </w:rPr>
        <w:t>Token</w:t>
      </w:r>
      <w:r>
        <w:rPr>
          <w:rFonts w:hint="eastAsia" w:ascii="Times New Roman" w:hAnsi="Times New Roman" w:eastAsia="方正仿宋_GBK" w:cs="Times New Roman"/>
          <w:kern w:val="0"/>
          <w:sz w:val="32"/>
          <w:szCs w:val="32"/>
        </w:rPr>
        <w:t>调用情况及</w:t>
      </w:r>
      <w:r>
        <w:rPr>
          <w:rFonts w:ascii="Times New Roman" w:hAnsi="Times New Roman" w:eastAsia="方正仿宋_GBK" w:cs="Times New Roman"/>
          <w:kern w:val="0"/>
          <w:sz w:val="32"/>
          <w:szCs w:val="32"/>
        </w:rPr>
        <w:t>体系成熟度、实际资金需求等因素综合核定</w:t>
      </w:r>
      <w:r>
        <w:rPr>
          <w:rFonts w:hint="eastAsia" w:ascii="Times New Roman" w:hAnsi="Times New Roman" w:eastAsia="方正仿宋_GBK" w:cs="Times New Roman"/>
          <w:kern w:val="0"/>
          <w:sz w:val="32"/>
          <w:szCs w:val="32"/>
        </w:rPr>
        <w:t>。</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（二）贷款期限</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贷款期限需匹配</w:t>
      </w:r>
      <w:r>
        <w:rPr>
          <w:rFonts w:hint="eastAsia" w:ascii="Times New Roman" w:hAnsi="Times New Roman" w:eastAsia="方正仿宋_GBK" w:cs="Times New Roman"/>
          <w:kern w:val="0"/>
          <w:sz w:val="32"/>
          <w:szCs w:val="32"/>
        </w:rPr>
        <w:t>企业</w:t>
      </w:r>
      <w:r>
        <w:rPr>
          <w:rFonts w:ascii="Times New Roman" w:hAnsi="Times New Roman" w:eastAsia="方正仿宋_GBK" w:cs="Times New Roman"/>
          <w:kern w:val="0"/>
          <w:sz w:val="32"/>
          <w:szCs w:val="32"/>
        </w:rPr>
        <w:t>建设的投资回收期和资金回流节奏：</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w:t>
      </w:r>
      <w:r>
        <w:rPr>
          <w:rFonts w:hint="eastAsia" w:ascii="Times New Roman" w:hAnsi="Times New Roman" w:eastAsia="方正仿宋_GBK" w:cs="Times New Roman"/>
          <w:kern w:val="0"/>
          <w:sz w:val="32"/>
          <w:szCs w:val="32"/>
        </w:rPr>
        <w:t>固定资产</w:t>
      </w:r>
      <w:r>
        <w:rPr>
          <w:rFonts w:ascii="Times New Roman" w:hAnsi="Times New Roman" w:eastAsia="方正仿宋_GBK" w:cs="Times New Roman"/>
          <w:kern w:val="0"/>
          <w:sz w:val="32"/>
          <w:szCs w:val="32"/>
        </w:rPr>
        <w:t>贷款根据</w:t>
      </w:r>
      <w:r>
        <w:rPr>
          <w:rFonts w:hint="eastAsia" w:ascii="Times New Roman" w:hAnsi="Times New Roman" w:eastAsia="方正仿宋_GBK" w:cs="Times New Roman"/>
          <w:kern w:val="0"/>
          <w:sz w:val="32"/>
          <w:szCs w:val="32"/>
        </w:rPr>
        <w:t>本地化模型部署、硬件配置</w:t>
      </w:r>
      <w:r>
        <w:rPr>
          <w:rFonts w:ascii="Times New Roman" w:hAnsi="Times New Roman" w:eastAsia="方正仿宋_GBK" w:cs="Times New Roman"/>
          <w:kern w:val="0"/>
          <w:sz w:val="32"/>
          <w:szCs w:val="32"/>
        </w:rPr>
        <w:t>建设周期及投资回收期合理确定，一般期限为5年，最长不超过10年；</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）流动资金贷款一般不超过1年，结合Token</w:t>
      </w:r>
      <w:r>
        <w:rPr>
          <w:rFonts w:hint="eastAsia" w:ascii="Times New Roman" w:hAnsi="Times New Roman" w:eastAsia="方正仿宋_GBK" w:cs="Times New Roman"/>
          <w:kern w:val="0"/>
          <w:sz w:val="32"/>
          <w:szCs w:val="32"/>
        </w:rPr>
        <w:t>用量及带来的生产经营实际提升效果、研发投入等</w:t>
      </w:r>
      <w:r>
        <w:rPr>
          <w:rFonts w:ascii="Times New Roman" w:hAnsi="Times New Roman" w:eastAsia="方正仿宋_GBK" w:cs="Times New Roman"/>
          <w:kern w:val="0"/>
          <w:sz w:val="32"/>
          <w:szCs w:val="32"/>
        </w:rPr>
        <w:t>相关资金周转类需求</w:t>
      </w:r>
      <w:r>
        <w:rPr>
          <w:rFonts w:hint="eastAsia" w:ascii="Times New Roman" w:hAnsi="Times New Roman" w:eastAsia="方正仿宋_GBK" w:cs="Times New Roman"/>
          <w:kern w:val="0"/>
          <w:sz w:val="32"/>
          <w:szCs w:val="32"/>
        </w:rPr>
        <w:t>等</w:t>
      </w:r>
      <w:r>
        <w:rPr>
          <w:rFonts w:ascii="Times New Roman" w:hAnsi="Times New Roman" w:eastAsia="方正仿宋_GBK" w:cs="Times New Roman"/>
          <w:kern w:val="0"/>
          <w:sz w:val="32"/>
          <w:szCs w:val="32"/>
        </w:rPr>
        <w:t>，可配套1-3年中期流贷。</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（三）贷款利率</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根据企业智能工厂梯度建设和省“6+6”产业重点企业“智改数转网联”过程中Token实际用量，结合银企双方合作基础和综合收益，由银行实施差别化定价优惠。</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（1）领航级智能工厂贷款利率一般不超过LPR-20BP；</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（2）卓越级智能工厂贷款利率一般不超过LPR</w:t>
      </w:r>
      <w:r>
        <w:rPr>
          <w:rFonts w:hint="eastAsia" w:ascii="Times New Roman" w:hAnsi="Times New Roman" w:eastAsia="方正仿宋_GBK" w:cs="Times New Roman"/>
          <w:kern w:val="0"/>
          <w:sz w:val="32"/>
          <w:szCs w:val="32"/>
        </w:rPr>
        <w:t>-10</w:t>
      </w:r>
      <w:r>
        <w:rPr>
          <w:rFonts w:ascii="Times New Roman" w:hAnsi="Times New Roman" w:eastAsia="方正仿宋_GBK" w:cs="Times New Roman"/>
          <w:kern w:val="0"/>
          <w:sz w:val="32"/>
          <w:szCs w:val="32"/>
        </w:rPr>
        <w:t>；</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（3）先进级智能工厂</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江苏省“6+6”产业重点企业库中的企业贷款利率一般不超过LPR</w:t>
      </w:r>
      <w:r>
        <w:rPr>
          <w:rFonts w:hint="eastAsia" w:ascii="Times New Roman" w:hAnsi="Times New Roman" w:eastAsia="方正仿宋_GBK" w:cs="Times New Roman"/>
          <w:kern w:val="0"/>
          <w:sz w:val="32"/>
          <w:szCs w:val="32"/>
        </w:rPr>
        <w:t>；</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（4）一般制造企业</w:t>
      </w:r>
      <w:r>
        <w:rPr>
          <w:rFonts w:ascii="Times New Roman" w:hAnsi="Times New Roman" w:eastAsia="方正仿宋_GBK" w:cs="Times New Roman"/>
          <w:kern w:val="0"/>
          <w:sz w:val="32"/>
          <w:szCs w:val="32"/>
        </w:rPr>
        <w:t>贷款利率一般不超过LPR+</w:t>
      </w:r>
      <w:r>
        <w:rPr>
          <w:rFonts w:hint="eastAsia" w:ascii="Times New Roman" w:hAnsi="Times New Roman" w:eastAsia="方正仿宋_GBK" w:cs="Times New Roman"/>
          <w:kern w:val="0"/>
          <w:sz w:val="32"/>
          <w:szCs w:val="32"/>
        </w:rPr>
        <w:t>1</w:t>
      </w:r>
      <w:r>
        <w:rPr>
          <w:rFonts w:ascii="Times New Roman" w:hAnsi="Times New Roman" w:eastAsia="方正仿宋_GBK" w:cs="Times New Roman"/>
          <w:kern w:val="0"/>
          <w:sz w:val="32"/>
          <w:szCs w:val="32"/>
        </w:rPr>
        <w:t>0BP</w:t>
      </w:r>
      <w:r>
        <w:rPr>
          <w:rFonts w:hint="eastAsia" w:ascii="Times New Roman" w:hAnsi="Times New Roman" w:eastAsia="方正仿宋_GBK" w:cs="Times New Roman"/>
          <w:kern w:val="0"/>
          <w:sz w:val="32"/>
          <w:szCs w:val="32"/>
        </w:rPr>
        <w:t>。</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（四）贷款用途</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贷款资金紧扣江苏省制造业Token四大类核心应用场景，重点对接江苏省“6+6”现代产业体系（六大新兴支柱产业和六大未来产业）制造业企业的技术升级与数字化转型需求，按贷款品种实行分类管理，合理合规使用：</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（1）</w:t>
      </w:r>
      <w:r>
        <w:rPr>
          <w:rFonts w:hint="eastAsia" w:ascii="Times New Roman" w:hAnsi="Times New Roman" w:eastAsia="方正仿宋_GBK" w:cs="Times New Roman"/>
          <w:kern w:val="0"/>
          <w:sz w:val="32"/>
          <w:szCs w:val="32"/>
        </w:rPr>
        <w:t>固定资产贷款</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主要支持与企业Token应用相关的固定资产投资项目，重点覆盖生产刚性类、研发仿真类场景的硬件建设与载体打造，包括但不限于：</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生产刚性类场景配套建设：智能生产线改造、在线智能检测系统部署、生产数据采集终端、工业控制设备、边缘计算节点等生产端Token应用硬件的购置、安装与部署；</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研发仿真类场景载体建设：数字孪生车间/生产线、研发仿真模拟平台、工艺参数优化系统、产品数字化设计系统等技术载体建设，以及配套算力服务器集群、研发检测仪器、中试基地、专用实验室的建设与购置；</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经营优化类与计划决策类场景基础设施建设：工业互联网平台、企业级数据中心、生产调度决策系统、质量溯源体系等数字化基础设施的建设与硬件部署。</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流动资金贷款</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主要支持企业Token体系日常运营与场景迭代的流动资金需求，重点支持经营优化类、计划决策类场景的经常性投入，包括但不限于：Token管理体系的日常运维、版本迭代、技术服务及算力资源按需采购；生产计划优化、供应链智能调度、仓储智能管理、能耗优化管控、质量缺陷识别等经营类Token场景的运营投入；江苏省“6+6”产业重点企业库企业处于研发期、中试期的Token应用经常性投入，包括研发仿真平台使用、算力资源按需采购、Token调用与技术服务费用等。</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3</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贷款资金严禁用于房地产投资、金融市场投资、国家禁止类产业及其他违反国家法律法规和监管规定的用途。</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（五）风险缓释</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制造业Token贷</w:t>
      </w:r>
      <w:r>
        <w:rPr>
          <w:rFonts w:ascii="Times New Roman" w:hAnsi="Times New Roman" w:eastAsia="方正仿宋_GBK" w:cs="Times New Roman"/>
          <w:kern w:val="0"/>
          <w:sz w:val="32"/>
          <w:szCs w:val="32"/>
        </w:rPr>
        <w:t>”支持实物资产、软件著作权、专利权等作为抵质押物，</w:t>
      </w:r>
      <w:r>
        <w:rPr>
          <w:rFonts w:hint="eastAsia" w:ascii="Times New Roman" w:hAnsi="Times New Roman" w:eastAsia="方正仿宋_GBK" w:cs="Times New Roman"/>
          <w:kern w:val="0"/>
          <w:sz w:val="32"/>
          <w:szCs w:val="32"/>
        </w:rPr>
        <w:t>也可</w:t>
      </w:r>
      <w:r>
        <w:rPr>
          <w:rFonts w:ascii="Times New Roman" w:hAnsi="Times New Roman" w:eastAsia="方正仿宋_GBK" w:cs="Times New Roman"/>
          <w:kern w:val="0"/>
          <w:sz w:val="32"/>
          <w:szCs w:val="32"/>
        </w:rPr>
        <w:t>引入融资担保机构提供增信支持。对生产经营状况良好、智能工厂梯度等级较高的企业，可发放信用贷款。</w:t>
      </w:r>
    </w:p>
    <w:p>
      <w:pPr>
        <w:overflowPunct w:val="0"/>
        <w:adjustRightInd w:val="0"/>
        <w:snapToGrid w:val="0"/>
        <w:spacing w:line="590" w:lineRule="exact"/>
        <w:ind w:firstLine="640" w:firstLineChars="20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三、配套政策</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（一）财政贴息</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对符合制造业贷款贴息、科技创新再贷款贴息等政策要求的，积极帮助企业申请贷款贴息支持。</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（二）增值服务</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交通银行江苏省分行利用交总行国际化、综合化优势，并与</w:t>
      </w:r>
      <w:r>
        <w:rPr>
          <w:rFonts w:ascii="Times New Roman" w:hAnsi="Times New Roman" w:eastAsia="方正仿宋_GBK" w:cs="Times New Roman"/>
          <w:kern w:val="0"/>
          <w:sz w:val="32"/>
          <w:szCs w:val="32"/>
        </w:rPr>
        <w:t>地方政府联动打造</w:t>
      </w:r>
      <w:r>
        <w:rPr>
          <w:rFonts w:hint="eastAsia" w:ascii="Times New Roman" w:hAnsi="Times New Roman" w:eastAsia="方正仿宋_GBK" w:cs="Times New Roman"/>
          <w:kern w:val="0"/>
          <w:sz w:val="32"/>
          <w:szCs w:val="32"/>
        </w:rPr>
        <w:t>Token经济</w:t>
      </w:r>
      <w:r>
        <w:rPr>
          <w:rFonts w:ascii="Times New Roman" w:hAnsi="Times New Roman" w:eastAsia="方正仿宋_GBK" w:cs="Times New Roman"/>
          <w:kern w:val="0"/>
          <w:sz w:val="32"/>
          <w:szCs w:val="32"/>
        </w:rPr>
        <w:t>服务生态圈，提供一站式配套服务：</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1</w:t>
      </w:r>
      <w:r>
        <w:rPr>
          <w:rFonts w:ascii="Times New Roman" w:hAnsi="Times New Roman" w:eastAsia="方正仿宋_GBK" w:cs="Times New Roman"/>
          <w:kern w:val="0"/>
          <w:sz w:val="32"/>
          <w:szCs w:val="32"/>
        </w:rPr>
        <w:t>）围绕</w:t>
      </w:r>
      <w:r>
        <w:rPr>
          <w:rFonts w:hint="eastAsia" w:ascii="Times New Roman" w:hAnsi="Times New Roman" w:eastAsia="方正仿宋_GBK" w:cs="Times New Roman"/>
          <w:kern w:val="0"/>
          <w:sz w:val="32"/>
          <w:szCs w:val="32"/>
        </w:rPr>
        <w:t>制造业</w:t>
      </w:r>
      <w:r>
        <w:rPr>
          <w:rFonts w:ascii="Times New Roman" w:hAnsi="Times New Roman" w:eastAsia="方正仿宋_GBK" w:cs="Times New Roman"/>
          <w:kern w:val="0"/>
          <w:sz w:val="32"/>
          <w:szCs w:val="32"/>
        </w:rPr>
        <w:t>企业打造全链条服务体系，在交总行“易链、易智、易园”三大科创场景和“易投、易贷、易租、易融”四大产品体系的支撑下，坚持融资、融智、融商一体</w:t>
      </w:r>
      <w:r>
        <w:rPr>
          <w:rFonts w:hint="eastAsia" w:ascii="Times New Roman" w:hAnsi="Times New Roman" w:eastAsia="方正仿宋_GBK" w:cs="Times New Roman"/>
          <w:kern w:val="0"/>
          <w:sz w:val="32"/>
          <w:szCs w:val="32"/>
        </w:rPr>
        <w:t>化</w:t>
      </w:r>
      <w:r>
        <w:rPr>
          <w:rFonts w:ascii="Times New Roman" w:hAnsi="Times New Roman" w:eastAsia="方正仿宋_GBK" w:cs="Times New Roman"/>
          <w:kern w:val="0"/>
          <w:sz w:val="32"/>
          <w:szCs w:val="32"/>
        </w:rPr>
        <w:t>推进，陪伴企业走过从初创到成熟的全周期，助力企业突破技术瓶颈</w:t>
      </w:r>
      <w:r>
        <w:rPr>
          <w:rFonts w:hint="eastAsia" w:ascii="Times New Roman" w:hAnsi="Times New Roman" w:eastAsia="方正仿宋_GBK" w:cs="Times New Roman"/>
          <w:kern w:val="0"/>
          <w:sz w:val="32"/>
          <w:szCs w:val="32"/>
        </w:rPr>
        <w:t>，实现快速成长</w:t>
      </w:r>
      <w:r>
        <w:rPr>
          <w:rFonts w:ascii="Times New Roman" w:hAnsi="Times New Roman" w:eastAsia="方正仿宋_GBK" w:cs="Times New Roman"/>
          <w:kern w:val="0"/>
          <w:sz w:val="32"/>
          <w:szCs w:val="32"/>
        </w:rPr>
        <w:t>。</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highlight w:val="yellow"/>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与Token经济相关的</w:t>
      </w:r>
      <w:r>
        <w:rPr>
          <w:rFonts w:ascii="Times New Roman" w:hAnsi="Times New Roman" w:eastAsia="方正仿宋_GBK" w:cs="Times New Roman"/>
          <w:kern w:val="0"/>
          <w:sz w:val="32"/>
          <w:szCs w:val="32"/>
        </w:rPr>
        <w:t>专业培训。整合专业第三方机构等各类资源，为企业提供</w:t>
      </w:r>
      <w:r>
        <w:rPr>
          <w:rFonts w:hint="eastAsia" w:ascii="Times New Roman" w:hAnsi="Times New Roman" w:eastAsia="方正仿宋_GBK" w:cs="Times New Roman"/>
          <w:kern w:val="0"/>
          <w:sz w:val="32"/>
          <w:szCs w:val="32"/>
        </w:rPr>
        <w:t>与Token相关的</w:t>
      </w:r>
      <w:r>
        <w:rPr>
          <w:rFonts w:ascii="Times New Roman" w:hAnsi="Times New Roman" w:eastAsia="方正仿宋_GBK" w:cs="Times New Roman"/>
          <w:kern w:val="0"/>
          <w:sz w:val="32"/>
          <w:szCs w:val="32"/>
        </w:rPr>
        <w:t>改造方案设计、技术对接、人工智能诊断等相关培训。</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3</w:t>
      </w:r>
      <w:r>
        <w:rPr>
          <w:rFonts w:ascii="Times New Roman" w:hAnsi="Times New Roman" w:eastAsia="方正仿宋_GBK" w:cs="Times New Roman"/>
          <w:kern w:val="0"/>
          <w:sz w:val="32"/>
          <w:szCs w:val="32"/>
        </w:rPr>
        <w:t>）财金政策专业化辅导。合作银行组建专业团队为企业提供制造业贷款财政贴息、词元语料模型三券方案实施、科技创新和技术改造再贷款等财金政策培训，协助企业完成政策申报，并获取优惠支持政策。</w:t>
      </w:r>
    </w:p>
    <w:p>
      <w:pPr>
        <w:overflowPunct w:val="0"/>
        <w:adjustRightInd w:val="0"/>
        <w:snapToGrid w:val="0"/>
        <w:spacing w:line="590" w:lineRule="exact"/>
        <w:ind w:firstLine="640" w:firstLineChars="20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四、贷款方式</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（一）申请流程</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制造业Token贷</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现阶段</w:t>
      </w:r>
      <w:r>
        <w:rPr>
          <w:rFonts w:ascii="Times New Roman" w:hAnsi="Times New Roman" w:eastAsia="方正仿宋_GBK" w:cs="Times New Roman"/>
          <w:kern w:val="0"/>
          <w:sz w:val="32"/>
          <w:szCs w:val="32"/>
        </w:rPr>
        <w:t>通过线下经营网点发起业务申请。</w:t>
      </w:r>
      <w:r>
        <w:rPr>
          <w:rFonts w:hint="eastAsia" w:ascii="Times New Roman" w:hAnsi="Times New Roman" w:eastAsia="方正仿宋_GBK" w:cs="Times New Roman"/>
          <w:kern w:val="0"/>
          <w:sz w:val="32"/>
          <w:szCs w:val="32"/>
        </w:rPr>
        <w:t>待Token调用数据相关平台功能完善后，提供相应线上产品。</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（二）业务资料</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申请办理“</w:t>
      </w:r>
      <w:r>
        <w:rPr>
          <w:rFonts w:hint="eastAsia" w:ascii="Times New Roman" w:hAnsi="Times New Roman" w:eastAsia="方正仿宋_GBK" w:cs="Times New Roman"/>
          <w:kern w:val="0"/>
          <w:sz w:val="32"/>
          <w:szCs w:val="32"/>
        </w:rPr>
        <w:t>制造业Token贷</w:t>
      </w:r>
      <w:r>
        <w:rPr>
          <w:rFonts w:ascii="Times New Roman" w:hAnsi="Times New Roman" w:eastAsia="方正仿宋_GBK" w:cs="Times New Roman"/>
          <w:kern w:val="0"/>
          <w:sz w:val="32"/>
          <w:szCs w:val="32"/>
        </w:rPr>
        <w:t>”需提供以下材料：</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1</w:t>
      </w:r>
      <w:r>
        <w:rPr>
          <w:rFonts w:ascii="Times New Roman" w:hAnsi="Times New Roman" w:eastAsia="方正仿宋_GBK" w:cs="Times New Roman"/>
          <w:kern w:val="0"/>
          <w:sz w:val="32"/>
          <w:szCs w:val="32"/>
        </w:rPr>
        <w:t>）基础资料。包括统一社会信用代码证、公司章程、开户许可证、财务报表、法定代表人身份证明等。</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专项</w:t>
      </w:r>
      <w:r>
        <w:rPr>
          <w:rFonts w:ascii="Times New Roman" w:hAnsi="Times New Roman" w:eastAsia="方正仿宋_GBK" w:cs="Times New Roman"/>
          <w:kern w:val="0"/>
          <w:sz w:val="32"/>
          <w:szCs w:val="32"/>
        </w:rPr>
        <w:t>资料。</w:t>
      </w:r>
      <w:r>
        <w:rPr>
          <w:rFonts w:hint="eastAsia" w:ascii="Times New Roman" w:hAnsi="Times New Roman" w:eastAsia="方正仿宋_GBK" w:cs="Times New Roman"/>
          <w:kern w:val="0"/>
          <w:sz w:val="32"/>
          <w:szCs w:val="32"/>
        </w:rPr>
        <w:t>固定资产贷款</w:t>
      </w:r>
      <w:r>
        <w:rPr>
          <w:rFonts w:ascii="Times New Roman" w:hAnsi="Times New Roman" w:eastAsia="方正仿宋_GBK" w:cs="Times New Roman"/>
          <w:kern w:val="0"/>
          <w:sz w:val="32"/>
          <w:szCs w:val="32"/>
        </w:rPr>
        <w:t>包括</w:t>
      </w:r>
      <w:r>
        <w:rPr>
          <w:rFonts w:hint="eastAsia" w:ascii="Times New Roman" w:hAnsi="Times New Roman" w:eastAsia="方正仿宋_GBK" w:cs="Times New Roman"/>
          <w:kern w:val="0"/>
          <w:sz w:val="32"/>
          <w:szCs w:val="32"/>
        </w:rPr>
        <w:t>Token本地化部署</w:t>
      </w:r>
      <w:r>
        <w:rPr>
          <w:rFonts w:ascii="Times New Roman" w:hAnsi="Times New Roman" w:eastAsia="方正仿宋_GBK" w:cs="Times New Roman"/>
          <w:kern w:val="0"/>
          <w:sz w:val="32"/>
          <w:szCs w:val="32"/>
        </w:rPr>
        <w:t>备案核准材料（如有）、可行性研究报告（如有）、项目用地（如有）、项目规划（如有）</w:t>
      </w:r>
      <w:r>
        <w:rPr>
          <w:rFonts w:hint="eastAsia" w:ascii="Times New Roman" w:hAnsi="Times New Roman" w:eastAsia="方正仿宋_GBK" w:cs="Times New Roman"/>
          <w:kern w:val="0"/>
          <w:sz w:val="32"/>
          <w:szCs w:val="32"/>
        </w:rPr>
        <w:t>、设备采购合同</w:t>
      </w:r>
      <w:r>
        <w:rPr>
          <w:rFonts w:ascii="Times New Roman" w:hAnsi="Times New Roman" w:eastAsia="方正仿宋_GBK" w:cs="Times New Roman"/>
          <w:kern w:val="0"/>
          <w:sz w:val="32"/>
          <w:szCs w:val="32"/>
        </w:rPr>
        <w:t>等。</w:t>
      </w:r>
      <w:r>
        <w:rPr>
          <w:rFonts w:hint="eastAsia" w:ascii="Times New Roman" w:hAnsi="Times New Roman" w:eastAsia="方正仿宋_GBK" w:cs="Times New Roman"/>
          <w:kern w:val="0"/>
          <w:sz w:val="32"/>
          <w:szCs w:val="32"/>
        </w:rPr>
        <w:t>流动资金贷款包括Token产品服务合作合同、Token预付款、用量支付凭证等。</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3</w:t>
      </w:r>
      <w:r>
        <w:rPr>
          <w:rFonts w:ascii="Times New Roman" w:hAnsi="Times New Roman" w:eastAsia="方正仿宋_GBK" w:cs="Times New Roman"/>
          <w:kern w:val="0"/>
          <w:sz w:val="32"/>
          <w:szCs w:val="32"/>
        </w:rPr>
        <w:t>）资质证明。领航级、卓越级</w:t>
      </w:r>
      <w:r>
        <w:rPr>
          <w:rFonts w:hint="eastAsia" w:ascii="Times New Roman" w:hAnsi="Times New Roman" w:eastAsia="方正仿宋_GBK" w:cs="Times New Roman"/>
          <w:kern w:val="0"/>
          <w:sz w:val="32"/>
          <w:szCs w:val="32"/>
        </w:rPr>
        <w:t>、</w:t>
      </w:r>
      <w:r>
        <w:rPr>
          <w:rFonts w:ascii="Times New Roman" w:hAnsi="Times New Roman" w:eastAsia="方正仿宋_GBK" w:cs="Times New Roman"/>
          <w:kern w:val="0"/>
          <w:sz w:val="32"/>
          <w:szCs w:val="32"/>
        </w:rPr>
        <w:t>先进级智能工厂认定证明或江苏省</w:t>
      </w:r>
      <w:r>
        <w:rPr>
          <w:rFonts w:hint="eastAsia" w:ascii="Times New Roman" w:hAnsi="Times New Roman" w:eastAsia="方正仿宋_GBK" w:cs="Times New Roman"/>
          <w:kern w:val="0"/>
          <w:sz w:val="32"/>
          <w:szCs w:val="32"/>
        </w:rPr>
        <w:t>A</w:t>
      </w:r>
      <w:r>
        <w:rPr>
          <w:rFonts w:ascii="Times New Roman" w:hAnsi="Times New Roman" w:eastAsia="方正仿宋_GBK" w:cs="Times New Roman"/>
          <w:kern w:val="0"/>
          <w:sz w:val="32"/>
          <w:szCs w:val="32"/>
        </w:rPr>
        <w:t>IQ（“人工智能+制造”高水平场景应用促进工作组）场景认证证明等。</w:t>
      </w:r>
    </w:p>
    <w:p>
      <w:pPr>
        <w:overflowPunct w:val="0"/>
        <w:adjustRightInd w:val="0"/>
        <w:snapToGrid w:val="0"/>
        <w:spacing w:line="590" w:lineRule="exact"/>
        <w:ind w:firstLine="640" w:firstLineChars="200"/>
        <w:rPr>
          <w:rFonts w:ascii="方正楷体_GBK" w:hAnsi="Times New Roman" w:eastAsia="方正楷体_GBK" w:cs="Times New Roman"/>
          <w:kern w:val="0"/>
          <w:sz w:val="32"/>
          <w:szCs w:val="32"/>
        </w:rPr>
      </w:pPr>
      <w:r>
        <w:rPr>
          <w:rFonts w:hint="eastAsia" w:ascii="方正楷体_GBK" w:hAnsi="Times New Roman" w:eastAsia="方正楷体_GBK" w:cs="Times New Roman"/>
          <w:kern w:val="0"/>
          <w:sz w:val="32"/>
          <w:szCs w:val="32"/>
        </w:rPr>
        <w:t>（三）贷款发放</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制造业Token贷</w:t>
      </w:r>
      <w:r>
        <w:rPr>
          <w:rFonts w:ascii="Times New Roman" w:hAnsi="Times New Roman" w:eastAsia="方正仿宋_GBK" w:cs="Times New Roman"/>
          <w:kern w:val="0"/>
          <w:sz w:val="32"/>
          <w:szCs w:val="32"/>
        </w:rPr>
        <w:t>”采用线下渠道放款。</w:t>
      </w:r>
      <w:r>
        <w:rPr>
          <w:rFonts w:hint="eastAsia" w:ascii="Times New Roman" w:hAnsi="Times New Roman" w:eastAsia="方正仿宋_GBK" w:cs="Times New Roman"/>
          <w:kern w:val="0"/>
          <w:sz w:val="32"/>
          <w:szCs w:val="32"/>
        </w:rPr>
        <w:t>待线上产品开发完毕后，可采用线上放款模式。</w:t>
      </w:r>
    </w:p>
    <w:p>
      <w:pPr>
        <w:overflowPunct w:val="0"/>
        <w:adjustRightInd w:val="0"/>
        <w:snapToGrid w:val="0"/>
        <w:spacing w:line="590" w:lineRule="exact"/>
        <w:ind w:firstLine="640" w:firstLineChars="200"/>
        <w:rPr>
          <w:rFonts w:ascii="方正黑体_GBK" w:hAnsi="Times New Roman" w:eastAsia="方正黑体_GBK" w:cs="Times New Roman"/>
          <w:kern w:val="0"/>
          <w:sz w:val="32"/>
          <w:szCs w:val="32"/>
        </w:rPr>
      </w:pPr>
      <w:r>
        <w:rPr>
          <w:rFonts w:hint="eastAsia" w:ascii="方正黑体_GBK" w:hAnsi="Times New Roman" w:eastAsia="方正黑体_GBK" w:cs="Times New Roman"/>
          <w:kern w:val="0"/>
          <w:sz w:val="32"/>
          <w:szCs w:val="32"/>
        </w:rPr>
        <w:t>五、还款方式</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1</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固定资产</w:t>
      </w:r>
      <w:r>
        <w:rPr>
          <w:rFonts w:ascii="Times New Roman" w:hAnsi="Times New Roman" w:eastAsia="方正仿宋_GBK" w:cs="Times New Roman"/>
          <w:kern w:val="0"/>
          <w:sz w:val="32"/>
          <w:szCs w:val="32"/>
        </w:rPr>
        <w:t>贷款：按月（季）付息，可采取按季或按半年等灵活还款方式。</w:t>
      </w:r>
    </w:p>
    <w:p>
      <w:pPr>
        <w:overflowPunct w:val="0"/>
        <w:adjustRightInd w:val="0"/>
        <w:snapToGrid w:val="0"/>
        <w:spacing w:line="59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2</w:t>
      </w:r>
      <w:r>
        <w:rPr>
          <w:rFonts w:ascii="Times New Roman" w:hAnsi="Times New Roman" w:eastAsia="方正仿宋_GBK" w:cs="Times New Roman"/>
          <w:kern w:val="0"/>
          <w:sz w:val="32"/>
          <w:szCs w:val="32"/>
        </w:rPr>
        <w:t>）流动资金贷款：按月（季）付息，短期流动资金贷款到期一次性还本，1年期以上流动资金贷款按季或按半年灵活还款。</w:t>
      </w:r>
    </w:p>
    <w:sectPr>
      <w:headerReference r:id="rId3" w:type="default"/>
      <w:footerReference r:id="rId4"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楷体简体">
    <w:altName w:val="方正楷体_GBK"/>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cs="Times New Roman"/>
        <w:sz w:val="32"/>
        <w:szCs w:val="32"/>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sdt>
      <w:sdtPr>
        <w:rPr>
          <w:rFonts w:ascii="Times New Roman" w:hAnsi="Times New Roman" w:cs="Times New Roman"/>
          <w:sz w:val="28"/>
          <w:szCs w:val="28"/>
        </w:rPr>
        <w:id w:val="-1"/>
        <w:showingPlcHdr/>
      </w:sdtPr>
      <w:sdtEndPr>
        <w:rPr>
          <w:rFonts w:ascii="Times New Roman" w:hAnsi="Times New Roman" w:cs="Times New Roman"/>
          <w:sz w:val="28"/>
          <w:szCs w:val="28"/>
        </w:rPr>
      </w:sdtEndPr>
      <w:sdtContent>
        <w:r>
          <w:rPr>
            <w:rFonts w:ascii="Times New Roman" w:hAnsi="Times New Roman" w:cs="Times New Roman"/>
            <w:sz w:val="28"/>
            <w:szCs w:val="28"/>
          </w:rPr>
          <w:t xml:space="preserve">     </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A5F"/>
    <w:rsid w:val="00070A1A"/>
    <w:rsid w:val="00083413"/>
    <w:rsid w:val="00137895"/>
    <w:rsid w:val="001F6092"/>
    <w:rsid w:val="002332AA"/>
    <w:rsid w:val="002C217A"/>
    <w:rsid w:val="00361DDA"/>
    <w:rsid w:val="00386931"/>
    <w:rsid w:val="003B746F"/>
    <w:rsid w:val="003B7CE4"/>
    <w:rsid w:val="003F243E"/>
    <w:rsid w:val="004369E3"/>
    <w:rsid w:val="00534B38"/>
    <w:rsid w:val="005657AB"/>
    <w:rsid w:val="005F0F92"/>
    <w:rsid w:val="006026F5"/>
    <w:rsid w:val="006163A7"/>
    <w:rsid w:val="0063581E"/>
    <w:rsid w:val="006B677D"/>
    <w:rsid w:val="00703AC8"/>
    <w:rsid w:val="0072574E"/>
    <w:rsid w:val="00775CF3"/>
    <w:rsid w:val="007C0314"/>
    <w:rsid w:val="007E5653"/>
    <w:rsid w:val="007E6C33"/>
    <w:rsid w:val="00817A43"/>
    <w:rsid w:val="008653B4"/>
    <w:rsid w:val="00897C47"/>
    <w:rsid w:val="009214EB"/>
    <w:rsid w:val="00922084"/>
    <w:rsid w:val="00943035"/>
    <w:rsid w:val="00951AC0"/>
    <w:rsid w:val="009B6EF8"/>
    <w:rsid w:val="009C7688"/>
    <w:rsid w:val="00A06F64"/>
    <w:rsid w:val="00AA5956"/>
    <w:rsid w:val="00B35DA4"/>
    <w:rsid w:val="00B4539E"/>
    <w:rsid w:val="00B52CBE"/>
    <w:rsid w:val="00B6577C"/>
    <w:rsid w:val="00BE5846"/>
    <w:rsid w:val="00C1024D"/>
    <w:rsid w:val="00C15609"/>
    <w:rsid w:val="00C40B3C"/>
    <w:rsid w:val="00C476F2"/>
    <w:rsid w:val="00C85931"/>
    <w:rsid w:val="00CA7A62"/>
    <w:rsid w:val="00D22695"/>
    <w:rsid w:val="00D50E7B"/>
    <w:rsid w:val="00D75BB1"/>
    <w:rsid w:val="00DC35FB"/>
    <w:rsid w:val="00DC5156"/>
    <w:rsid w:val="00DE3A9A"/>
    <w:rsid w:val="00E00E70"/>
    <w:rsid w:val="00E37A5F"/>
    <w:rsid w:val="00E7273E"/>
    <w:rsid w:val="00EB5560"/>
    <w:rsid w:val="00ED6557"/>
    <w:rsid w:val="00F019FD"/>
    <w:rsid w:val="00F1038A"/>
    <w:rsid w:val="00F1455E"/>
    <w:rsid w:val="00F31F44"/>
    <w:rsid w:val="00F31F95"/>
    <w:rsid w:val="00F32E44"/>
    <w:rsid w:val="00F56F46"/>
    <w:rsid w:val="00FC42F8"/>
    <w:rsid w:val="2A5ADC65"/>
    <w:rsid w:val="54B830EE"/>
    <w:rsid w:val="5D2B36FB"/>
    <w:rsid w:val="6DA4638A"/>
    <w:rsid w:val="AADD40D1"/>
    <w:rsid w:val="B6FFCAE6"/>
    <w:rsid w:val="BF253386"/>
    <w:rsid w:val="EF2FF5B4"/>
    <w:rsid w:val="FE5D40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628</Words>
  <Characters>3584</Characters>
  <Lines>29</Lines>
  <Paragraphs>8</Paragraphs>
  <TotalTime>6</TotalTime>
  <ScaleCrop>false</ScaleCrop>
  <LinksUpToDate>false</LinksUpToDate>
  <CharactersWithSpaces>4204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2026-10-25T03:08:00Z</dcterms:created>
  <dc:creator>pc</dc:creator>
  <cp:lastModifiedBy>uos</cp:lastModifiedBy>
  <cp:lastPrinted>2026-10-15T01:57:00Z</cp:lastPrinted>
  <dcterms:modified xsi:type="dcterms:W3CDTF">2026-10-30T09:26:44Z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eyJoZGlkIjoiNWM1ZTRhMDc0MzBiMTEwNjNjNjM1Y2I4Njc3Yjg4ZDAiLCJ1c2VySWQiOiI1MDExMjI5MjUifQ==</vt:lpwstr>
  </property>
  <property fmtid="{D5CDD505-2E9C-101B-9397-08002B2CF9AE}" pid="3" name="KSOProductBuildVer">
    <vt:lpwstr>2052-11.8.2.9958</vt:lpwstr>
  </property>
  <property fmtid="{D5CDD505-2E9C-101B-9397-08002B2CF9AE}" pid="4" name="ICV">
    <vt:lpwstr>05064BD51732409F879559CFF291EC16_13</vt:lpwstr>
  </property>
</Properties>
</file>