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notes.xml" ContentType="application/vnd.openxmlformats-officedocument.wordprocessingml.foot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spacing w:line="240" w:lineRule="auto"/>
        <w:ind w:firstLine="0" w:firstLineChars="0"/>
        <w:jc w:val="right"/>
      </w:pPr>
    </w:p>
    <w:p>
      <w:pPr>
        <w:ind w:firstLine="0" w:firstLineChars="0"/>
        <w:jc w:val="center"/>
      </w:pPr>
    </w:p>
    <w:p>
      <w:pPr>
        <w:ind w:firstLine="0" w:firstLineChars="0"/>
        <w:jc w:val="center"/>
      </w:pPr>
    </w:p>
    <w:p>
      <w:pPr>
        <w:ind w:firstLine="0" w:firstLineChars="0"/>
        <w:jc w:val="center"/>
      </w:pPr>
    </w:p>
    <w:p>
      <w:pPr>
        <w:ind w:firstLine="0" w:firstLineChars="0"/>
        <w:jc w:val="center"/>
      </w:pPr>
    </w:p>
    <w:p>
      <w:pPr>
        <w:ind w:firstLine="0" w:firstLineChars="0"/>
        <w:jc w:val="center"/>
      </w:pPr>
    </w:p>
    <w:p>
      <w:pPr>
        <w:pStyle w:val="23"/>
        <w:spacing w:line="560" w:lineRule="exact"/>
        <w:ind w:left="0" w:leftChars="0" w:right="0" w:rightChars="0"/>
        <w:rPr>
          <w:rFonts w:hint="eastAsia" w:ascii="方正小标宋_GBK" w:hAnsi="方正小标宋_GBK" w:eastAsia="方正小标宋_GBK" w:cs="方正小标宋_GBK"/>
        </w:rPr>
      </w:pPr>
      <w:bookmarkStart w:id="0" w:name="_Toc13416"/>
      <w:bookmarkStart w:id="1" w:name="_Toc18061"/>
      <w:bookmarkStart w:id="2" w:name="_Toc16795"/>
      <w:r>
        <w:rPr>
          <w:rFonts w:hint="eastAsia" w:ascii="方正小标宋_GBK" w:hAnsi="方正小标宋_GBK" w:eastAsia="方正小标宋_GBK" w:cs="方正小标宋_GBK"/>
        </w:rPr>
        <w:t>江苏省制造业企业</w:t>
      </w:r>
      <w:r>
        <w:rPr>
          <w:rFonts w:eastAsia="方正小标宋_GBK"/>
        </w:rPr>
        <w:t>Token</w:t>
      </w:r>
      <w:r>
        <w:rPr>
          <w:rFonts w:hint="eastAsia" w:ascii="方正小标宋_GBK" w:hAnsi="方正小标宋_GBK" w:eastAsia="方正小标宋_GBK" w:cs="方正小标宋_GBK"/>
        </w:rPr>
        <w:t>管理参考指引</w:t>
      </w:r>
      <w:bookmarkEnd w:id="0"/>
      <w:bookmarkEnd w:id="1"/>
      <w:bookmarkEnd w:id="2"/>
    </w:p>
    <w:p>
      <w:pPr>
        <w:ind w:firstLine="640"/>
        <w:jc w:val="center"/>
      </w:pPr>
      <w:r>
        <w:rPr>
          <w:rFonts w:eastAsia="方正楷体_GBK"/>
        </w:rPr>
        <w:t>（</w:t>
      </w:r>
      <w:r>
        <w:rPr>
          <w:rFonts w:hint="eastAsia" w:eastAsia="方正楷体_GBK"/>
        </w:rPr>
        <w:t>2</w:t>
      </w:r>
      <w:r>
        <w:rPr>
          <w:rFonts w:eastAsia="方正楷体_GBK"/>
        </w:rPr>
        <w:t>02</w:t>
      </w:r>
      <w:r>
        <w:rPr>
          <w:rFonts w:hint="eastAsia" w:eastAsia="方正楷体_GBK"/>
        </w:rPr>
        <w:t>6</w:t>
      </w:r>
      <w:r>
        <w:rPr>
          <w:rFonts w:eastAsia="方正楷体_GBK"/>
        </w:rPr>
        <w:t>年版）</w:t>
      </w:r>
    </w:p>
    <w:p>
      <w:pPr>
        <w:ind w:firstLine="640"/>
        <w:rPr>
          <w:rFonts w:hint="eastAsia" w:ascii="方正小标宋_GBK" w:hAnsi="方正小标宋_GBK" w:eastAsia="方正小标宋_GBK" w:cs="方正小标宋_GBK"/>
        </w:rPr>
      </w:pPr>
    </w:p>
    <w:p>
      <w:pPr>
        <w:ind w:firstLine="640"/>
        <w:rPr>
          <w:rFonts w:hint="eastAsia" w:ascii="方正小标宋_GBK" w:hAnsi="方正小标宋_GBK" w:eastAsia="方正小标宋_GBK" w:cs="方正小标宋_GBK"/>
        </w:rPr>
      </w:pPr>
    </w:p>
    <w:p>
      <w:pPr>
        <w:ind w:firstLine="640"/>
        <w:rPr>
          <w:rFonts w:hint="eastAsia" w:ascii="方正小标宋_GBK" w:hAnsi="方正小标宋_GBK" w:eastAsia="方正小标宋_GBK" w:cs="方正小标宋_GBK"/>
        </w:rPr>
      </w:pPr>
    </w:p>
    <w:p>
      <w:pPr>
        <w:ind w:firstLine="640"/>
        <w:rPr>
          <w:rFonts w:hint="eastAsia" w:ascii="方正小标宋_GBK" w:hAnsi="方正小标宋_GBK" w:eastAsia="方正小标宋_GBK" w:cs="方正小标宋_GBK"/>
        </w:rPr>
      </w:pPr>
    </w:p>
    <w:p>
      <w:pPr>
        <w:ind w:firstLine="640"/>
        <w:rPr>
          <w:rFonts w:hint="eastAsia" w:ascii="方正小标宋_GBK" w:hAnsi="方正小标宋_GBK" w:eastAsia="方正小标宋_GBK" w:cs="方正小标宋_GBK"/>
        </w:rPr>
      </w:pPr>
    </w:p>
    <w:p>
      <w:pPr>
        <w:ind w:firstLine="640"/>
        <w:rPr>
          <w:rFonts w:hint="eastAsia" w:ascii="方正小标宋_GBK" w:hAnsi="方正小标宋_GBK" w:eastAsia="方正小标宋_GBK" w:cs="方正小标宋_GBK"/>
        </w:rPr>
      </w:pPr>
    </w:p>
    <w:p>
      <w:pPr>
        <w:ind w:firstLine="640"/>
        <w:rPr>
          <w:rFonts w:hint="eastAsia" w:ascii="方正小标宋_GBK" w:hAnsi="方正小标宋_GBK" w:eastAsia="方正小标宋_GBK" w:cs="方正小标宋_GBK"/>
        </w:rPr>
      </w:pPr>
    </w:p>
    <w:p>
      <w:pPr>
        <w:ind w:firstLine="640"/>
        <w:rPr>
          <w:rFonts w:hint="eastAsia" w:ascii="方正小标宋_GBK" w:hAnsi="方正小标宋_GBK" w:eastAsia="方正小标宋_GBK" w:cs="方正小标宋_GBK"/>
        </w:rPr>
      </w:pPr>
    </w:p>
    <w:p>
      <w:pPr>
        <w:ind w:firstLine="640"/>
        <w:rPr>
          <w:rFonts w:hint="eastAsia" w:ascii="方正小标宋_GBK" w:hAnsi="方正小标宋_GBK" w:eastAsia="方正小标宋_GBK" w:cs="方正小标宋_GBK"/>
        </w:rPr>
      </w:pPr>
    </w:p>
    <w:p>
      <w:pPr>
        <w:ind w:firstLine="640"/>
        <w:rPr>
          <w:rFonts w:hint="eastAsia" w:ascii="方正小标宋_GBK" w:hAnsi="方正小标宋_GBK" w:eastAsia="方正小标宋_GBK" w:cs="方正小标宋_GBK"/>
        </w:rPr>
      </w:pPr>
    </w:p>
    <w:p>
      <w:pPr>
        <w:ind w:firstLine="640"/>
        <w:rPr>
          <w:rFonts w:hint="eastAsia" w:ascii="方正小标宋_GBK" w:hAnsi="方正小标宋_GBK" w:eastAsia="方正小标宋_GBK" w:cs="方正小标宋_GBK"/>
        </w:rPr>
      </w:pPr>
    </w:p>
    <w:p>
      <w:pPr>
        <w:ind w:firstLine="640"/>
        <w:rPr>
          <w:rFonts w:hint="eastAsia" w:ascii="方正小标宋_GBK" w:hAnsi="方正小标宋_GBK" w:eastAsia="方正小标宋_GBK" w:cs="方正小标宋_GBK"/>
        </w:rPr>
      </w:pPr>
    </w:p>
    <w:p>
      <w:pPr>
        <w:ind w:firstLine="0" w:firstLineChars="0"/>
        <w:jc w:val="center"/>
        <w:rPr>
          <w:rFonts w:hint="eastAsia" w:ascii="方正楷体_GBK" w:hAnsi="方正小标宋_GBK" w:eastAsia="方正楷体_GBK" w:cs="方正小标宋_GBK"/>
        </w:rPr>
      </w:pPr>
      <w:r>
        <w:rPr>
          <w:rFonts w:hint="eastAsia" w:ascii="方正楷体_GBK" w:hAnsi="方正小标宋_GBK" w:eastAsia="方正楷体_GBK" w:cs="方正小标宋_GBK"/>
        </w:rPr>
        <w:t>江苏省工业和信息化厅</w:t>
      </w:r>
    </w:p>
    <w:p>
      <w:pPr>
        <w:ind w:firstLine="0" w:firstLineChars="0"/>
        <w:jc w:val="center"/>
        <w:rPr>
          <w:rFonts w:hint="eastAsia" w:ascii="方正楷体_GBK" w:eastAsia="方正楷体_GBK" w:cs="Times New Roman"/>
        </w:rPr>
      </w:pPr>
      <w:r>
        <w:rPr>
          <w:rFonts w:hint="eastAsia" w:ascii="方正楷体_GBK" w:eastAsia="方正楷体_GBK" w:cs="Times New Roman"/>
        </w:rPr>
        <w:t>2026年</w:t>
      </w:r>
      <w:r>
        <w:rPr>
          <w:rFonts w:hint="eastAsia" w:ascii="方正楷体_GBK" w:eastAsia="方正楷体_GBK" w:cs="Times New Roman"/>
          <w:lang w:val="en-US" w:eastAsia="zh-CN"/>
        </w:rPr>
        <w:t>9</w:t>
      </w:r>
      <w:bookmarkStart w:id="128" w:name="_GoBack"/>
      <w:bookmarkEnd w:id="128"/>
      <w:r>
        <w:rPr>
          <w:rFonts w:hint="eastAsia" w:ascii="方正楷体_GBK" w:eastAsia="方正楷体_GBK" w:cs="Times New Roman"/>
        </w:rPr>
        <w:t>月</w:t>
      </w:r>
    </w:p>
    <w:p>
      <w:pPr>
        <w:ind w:firstLine="640"/>
        <w:rPr>
          <w:rFonts w:hint="eastAsia" w:ascii="方正小标宋_GBK" w:hAnsi="方正小标宋_GBK" w:eastAsia="方正小标宋_GBK" w:cs="方正小标宋_GBK"/>
        </w:rPr>
      </w:pPr>
    </w:p>
    <w:p>
      <w:pPr>
        <w:pStyle w:val="2"/>
        <w:ind w:firstLine="0" w:firstLineChars="0"/>
        <w:jc w:val="center"/>
        <w:sectPr>
          <w:headerReference r:id="rId7" w:type="first"/>
          <w:footerReference r:id="rId10" w:type="first"/>
          <w:headerReference r:id="rId5" w:type="default"/>
          <w:footerReference r:id="rId8" w:type="default"/>
          <w:headerReference r:id="rId6" w:type="even"/>
          <w:footerReference r:id="rId9" w:type="even"/>
          <w:endnotePr>
            <w:numFmt w:val="decimal"/>
          </w:endnotePr>
          <w:pgSz w:w="11906" w:h="16838"/>
          <w:pgMar w:top="1440" w:right="1800" w:bottom="1440" w:left="1800" w:header="851" w:footer="992" w:gutter="0"/>
          <w:pgNumType w:start="1"/>
          <w:cols w:space="425" w:num="1"/>
          <w:docGrid w:type="lines" w:linePitch="312" w:charSpace="0"/>
        </w:sectPr>
      </w:pPr>
    </w:p>
    <w:p>
      <w:pPr>
        <w:ind w:left="0" w:leftChars="0" w:firstLine="0" w:firstLineChars="0"/>
        <w:jc w:val="center"/>
        <w:rPr>
          <w:rFonts w:hint="eastAsia" w:ascii="方正黑体_GBK" w:hAnsi="黑体" w:eastAsia="方正黑体_GBK" w:cs="黑体"/>
          <w:sz w:val="36"/>
          <w:szCs w:val="28"/>
        </w:rPr>
      </w:pPr>
    </w:p>
    <w:p>
      <w:pPr>
        <w:ind w:left="0" w:leftChars="0" w:firstLine="0" w:firstLineChars="0"/>
        <w:jc w:val="center"/>
        <w:rPr>
          <w:rFonts w:hint="eastAsia" w:ascii="方正黑体_GBK" w:eastAsia="方正黑体_GBK"/>
          <w:sz w:val="36"/>
          <w:szCs w:val="28"/>
        </w:rPr>
      </w:pPr>
      <w:r>
        <w:rPr>
          <w:rFonts w:hint="eastAsia" w:ascii="方正黑体_GBK" w:hAnsi="黑体" w:eastAsia="方正黑体_GBK" w:cs="黑体"/>
          <w:sz w:val="36"/>
          <w:szCs w:val="28"/>
        </w:rPr>
        <w:t>目</w:t>
      </w:r>
      <w:r>
        <w:rPr>
          <w:rFonts w:hint="eastAsia" w:ascii="方正黑体_GBK" w:hAnsi="黑体" w:eastAsia="方正黑体_GBK" w:cs="黑体"/>
          <w:sz w:val="36"/>
          <w:szCs w:val="28"/>
          <w:lang w:val="en-US" w:eastAsia="zh-CN"/>
        </w:rPr>
        <w:t xml:space="preserve">  </w:t>
      </w:r>
      <w:r>
        <w:rPr>
          <w:rFonts w:hint="eastAsia" w:ascii="方正黑体_GBK" w:hAnsi="黑体" w:eastAsia="方正黑体_GBK" w:cs="黑体"/>
          <w:sz w:val="36"/>
          <w:szCs w:val="28"/>
        </w:rPr>
        <w:t>录</w:t>
      </w:r>
    </w:p>
    <w:sdt>
      <w:sdtPr>
        <w:rPr>
          <w:rFonts w:ascii="宋体" w:hAnsi="宋体" w:eastAsia="宋体"/>
          <w:sz w:val="21"/>
          <w14:ligatures w14:val="standardContextual"/>
        </w:rPr>
        <w:id w:val="147473424"/>
        <w15:color w:val="DBDBDB"/>
        <w:docPartObj>
          <w:docPartGallery w:val="Table of Contents"/>
          <w:docPartUnique/>
        </w:docPartObj>
      </w:sdtPr>
      <w:sdtEndPr>
        <w:rPr>
          <w:rFonts w:hint="eastAsia" w:ascii="Times New Roman" w:hAnsi="Times New Roman" w:eastAsia="方正仿宋_GBK"/>
          <w:sz w:val="32"/>
          <w14:ligatures w14:val="standardContextual"/>
        </w:rPr>
      </w:sdtEndPr>
      <w:sdtContent>
        <w:p>
          <w:pPr>
            <w:pStyle w:val="18"/>
            <w:tabs>
              <w:tab w:val="right" w:leader="dot" w:pos="8306"/>
            </w:tabs>
            <w:spacing w:line="590" w:lineRule="exact"/>
            <w:rPr>
              <w:rFonts w:hint="eastAsia"/>
            </w:rPr>
          </w:pPr>
          <w:r>
            <w:rPr>
              <w:rFonts w:hint="eastAsia"/>
            </w:rPr>
            <w:fldChar w:fldCharType="begin"/>
          </w:r>
          <w:r>
            <w:rPr>
              <w:rFonts w:hint="eastAsia"/>
            </w:rPr>
            <w:instrText xml:space="preserve">TOC \o "1-3" \h \u </w:instrText>
          </w:r>
          <w:r>
            <w:rPr>
              <w:rFonts w:hint="eastAsia"/>
            </w:rPr>
            <w:fldChar w:fldCharType="separate"/>
          </w:r>
        </w:p>
        <w:p>
          <w:pPr>
            <w:pStyle w:val="18"/>
            <w:tabs>
              <w:tab w:val="right" w:leader="dot" w:pos="8306"/>
            </w:tabs>
            <w:spacing w:line="590" w:lineRule="exact"/>
            <w:rPr>
              <w:rFonts w:ascii="Times New Roman" w:hAnsi="Times New Roman" w:cs="Times New Roman"/>
            </w:rPr>
          </w:pPr>
          <w:r>
            <w:fldChar w:fldCharType="begin"/>
          </w:r>
          <w:r>
            <w:instrText xml:space="preserve"> HYPERLINK \l "_Toc12778" </w:instrText>
          </w:r>
          <w:r>
            <w:fldChar w:fldCharType="separate"/>
          </w:r>
          <w:r>
            <w:rPr>
              <w:rFonts w:ascii="Times New Roman" w:hAnsi="Times New Roman" w:cs="Times New Roman"/>
            </w:rPr>
            <w:t>一、Token管理的核心内容</w:t>
          </w:r>
          <w:r>
            <w:rPr>
              <w:rFonts w:hint="eastAsia" w:ascii="Times New Roman" w:hAnsi="Times New Roman" w:cs="Times New Roman"/>
            </w:rPr>
            <w:tab/>
          </w:r>
          <w:r>
            <w:rPr>
              <w:rFonts w:hint="eastAsia" w:ascii="Times New Roman" w:hAnsi="Times New Roman" w:cs="Times New Roman"/>
            </w:rPr>
            <w:fldChar w:fldCharType="begin"/>
          </w:r>
          <w:r>
            <w:rPr>
              <w:rFonts w:hint="eastAsia" w:ascii="Times New Roman" w:hAnsi="Times New Roman" w:cs="Times New Roman"/>
            </w:rPr>
            <w:instrText xml:space="preserve"> PAGEREF _Toc12778 \h </w:instrText>
          </w:r>
          <w:r>
            <w:rPr>
              <w:rFonts w:hint="eastAsia" w:ascii="Times New Roman" w:hAnsi="Times New Roman" w:cs="Times New Roman"/>
            </w:rPr>
            <w:fldChar w:fldCharType="separate"/>
          </w:r>
          <w:r>
            <w:rPr>
              <w:rFonts w:ascii="Times New Roman" w:hAnsi="Times New Roman" w:cs="Times New Roman"/>
            </w:rPr>
            <w:t>1</w:t>
          </w:r>
          <w:r>
            <w:rPr>
              <w:rFonts w:hint="eastAsia" w:ascii="Times New Roman" w:hAnsi="Times New Roman" w:cs="Times New Roman"/>
            </w:rPr>
            <w:fldChar w:fldCharType="end"/>
          </w:r>
          <w:r>
            <w:rPr>
              <w:rFonts w:hint="eastAsia" w:ascii="Times New Roman" w:hAnsi="Times New Roman" w:cs="Times New Roman"/>
            </w:rPr>
            <w:fldChar w:fldCharType="end"/>
          </w:r>
        </w:p>
        <w:p>
          <w:pPr>
            <w:pStyle w:val="21"/>
            <w:tabs>
              <w:tab w:val="right" w:leader="dot" w:pos="8306"/>
            </w:tabs>
            <w:spacing w:line="590" w:lineRule="exact"/>
            <w:ind w:left="0" w:leftChars="0" w:firstLine="640" w:firstLineChars="200"/>
            <w:rPr>
              <w:rFonts w:ascii="Times New Roman" w:hAnsi="Times New Roman" w:cs="Times New Roman"/>
            </w:rPr>
          </w:pPr>
          <w:r>
            <w:fldChar w:fldCharType="begin"/>
          </w:r>
          <w:r>
            <w:instrText xml:space="preserve"> HYPERLINK \l "_Toc23321" </w:instrText>
          </w:r>
          <w:r>
            <w:fldChar w:fldCharType="separate"/>
          </w:r>
          <w:r>
            <w:rPr>
              <w:rFonts w:ascii="Times New Roman" w:hAnsi="Times New Roman" w:cs="Times New Roman"/>
              <w:bCs/>
              <w:szCs w:val="32"/>
            </w:rPr>
            <w:t>（一）公有云API</w:t>
          </w:r>
          <w:r>
            <w:rPr>
              <w:rFonts w:ascii="Times New Roman" w:hAnsi="Times New Roman" w:cs="Times New Roman"/>
            </w:rPr>
            <w:t>模式</w:t>
          </w:r>
          <w:r>
            <w:rPr>
              <w:rFonts w:ascii="Times New Roman" w:hAnsi="Times New Roman" w:cs="Times New Roman"/>
            </w:rPr>
            <w:tab/>
          </w:r>
          <w:r>
            <w:rPr>
              <w:rFonts w:ascii="Times New Roman" w:hAnsi="Times New Roman" w:cs="Times New Roman"/>
            </w:rPr>
            <w:fldChar w:fldCharType="begin"/>
          </w:r>
          <w:r>
            <w:rPr>
              <w:rFonts w:ascii="Times New Roman" w:hAnsi="Times New Roman" w:cs="Times New Roman"/>
            </w:rPr>
            <w:instrText xml:space="preserve"> PAGEREF _Toc23321 \h </w:instrText>
          </w:r>
          <w:r>
            <w:rPr>
              <w:rFonts w:ascii="Times New Roman" w:hAnsi="Times New Roman" w:cs="Times New Roman"/>
            </w:rPr>
            <w:fldChar w:fldCharType="separate"/>
          </w:r>
          <w:r>
            <w:rPr>
              <w:rFonts w:ascii="Times New Roman" w:hAnsi="Times New Roman" w:cs="Times New Roman"/>
            </w:rPr>
            <w:t>1</w:t>
          </w:r>
          <w:r>
            <w:rPr>
              <w:rFonts w:ascii="Times New Roman" w:hAnsi="Times New Roman" w:cs="Times New Roman"/>
            </w:rPr>
            <w:fldChar w:fldCharType="end"/>
          </w:r>
          <w:r>
            <w:rPr>
              <w:rFonts w:ascii="Times New Roman" w:hAnsi="Times New Roman" w:cs="Times New Roman"/>
            </w:rPr>
            <w:fldChar w:fldCharType="end"/>
          </w:r>
        </w:p>
        <w:p>
          <w:pPr>
            <w:pStyle w:val="13"/>
            <w:tabs>
              <w:tab w:val="right" w:leader="dot" w:pos="8306"/>
            </w:tabs>
            <w:spacing w:line="590" w:lineRule="exact"/>
            <w:ind w:left="0" w:leftChars="0" w:firstLine="640" w:firstLineChars="200"/>
            <w:rPr>
              <w:rFonts w:ascii="Times New Roman" w:hAnsi="Times New Roman" w:cs="Times New Roman"/>
            </w:rPr>
          </w:pPr>
          <w:r>
            <w:fldChar w:fldCharType="begin"/>
          </w:r>
          <w:r>
            <w:instrText xml:space="preserve"> HYPERLINK \l "_Toc25588" </w:instrText>
          </w:r>
          <w:r>
            <w:fldChar w:fldCharType="separate"/>
          </w:r>
          <w:r>
            <w:rPr>
              <w:rFonts w:hint="eastAsia" w:ascii="Times New Roman" w:hAnsi="Times New Roman" w:cs="Times New Roman"/>
              <w:bCs/>
              <w:kern w:val="0"/>
              <w:szCs w:val="27"/>
            </w:rPr>
            <w:t>1.</w:t>
          </w:r>
          <w:r>
            <w:rPr>
              <w:rFonts w:ascii="Times New Roman" w:hAnsi="Times New Roman" w:cs="Times New Roman"/>
            </w:rPr>
            <w:t>对Token用量的管理</w:t>
          </w:r>
          <w:r>
            <w:rPr>
              <w:rFonts w:ascii="Times New Roman" w:hAnsi="Times New Roman" w:cs="Times New Roman"/>
            </w:rPr>
            <w:tab/>
          </w:r>
          <w:r>
            <w:rPr>
              <w:rFonts w:ascii="Times New Roman" w:hAnsi="Times New Roman" w:cs="Times New Roman"/>
            </w:rPr>
            <w:fldChar w:fldCharType="begin"/>
          </w:r>
          <w:r>
            <w:rPr>
              <w:rFonts w:ascii="Times New Roman" w:hAnsi="Times New Roman" w:cs="Times New Roman"/>
            </w:rPr>
            <w:instrText xml:space="preserve"> PAGEREF _Toc25588 \h </w:instrText>
          </w:r>
          <w:r>
            <w:rPr>
              <w:rFonts w:ascii="Times New Roman" w:hAnsi="Times New Roman" w:cs="Times New Roman"/>
            </w:rPr>
            <w:fldChar w:fldCharType="separate"/>
          </w:r>
          <w:r>
            <w:rPr>
              <w:rFonts w:ascii="Times New Roman" w:hAnsi="Times New Roman" w:cs="Times New Roman"/>
            </w:rPr>
            <w:t>1</w:t>
          </w:r>
          <w:r>
            <w:rPr>
              <w:rFonts w:ascii="Times New Roman" w:hAnsi="Times New Roman" w:cs="Times New Roman"/>
            </w:rPr>
            <w:fldChar w:fldCharType="end"/>
          </w:r>
          <w:r>
            <w:rPr>
              <w:rFonts w:ascii="Times New Roman" w:hAnsi="Times New Roman" w:cs="Times New Roman"/>
            </w:rPr>
            <w:fldChar w:fldCharType="end"/>
          </w:r>
        </w:p>
        <w:p>
          <w:pPr>
            <w:pStyle w:val="13"/>
            <w:tabs>
              <w:tab w:val="right" w:leader="dot" w:pos="8306"/>
            </w:tabs>
            <w:spacing w:line="590" w:lineRule="exact"/>
            <w:ind w:left="0" w:leftChars="0" w:firstLine="640" w:firstLineChars="200"/>
            <w:rPr>
              <w:rFonts w:ascii="Times New Roman" w:hAnsi="Times New Roman" w:cs="Times New Roman"/>
            </w:rPr>
          </w:pPr>
          <w:r>
            <w:fldChar w:fldCharType="begin"/>
          </w:r>
          <w:r>
            <w:instrText xml:space="preserve"> HYPERLINK \l "_Toc859" </w:instrText>
          </w:r>
          <w:r>
            <w:fldChar w:fldCharType="separate"/>
          </w:r>
          <w:r>
            <w:rPr>
              <w:rFonts w:hint="eastAsia" w:ascii="Times New Roman" w:hAnsi="Times New Roman" w:cs="Times New Roman"/>
              <w:bCs/>
              <w:kern w:val="0"/>
              <w:szCs w:val="27"/>
            </w:rPr>
            <w:t>2.</w:t>
          </w:r>
          <w:r>
            <w:rPr>
              <w:rFonts w:ascii="Times New Roman" w:hAnsi="Times New Roman" w:cs="Times New Roman"/>
            </w:rPr>
            <w:t>对成本管控的管理</w:t>
          </w:r>
          <w:r>
            <w:rPr>
              <w:rFonts w:ascii="Times New Roman" w:hAnsi="Times New Roman" w:cs="Times New Roman"/>
            </w:rPr>
            <w:tab/>
          </w:r>
          <w:r>
            <w:rPr>
              <w:rFonts w:ascii="Times New Roman" w:hAnsi="Times New Roman" w:cs="Times New Roman"/>
            </w:rPr>
            <w:fldChar w:fldCharType="begin"/>
          </w:r>
          <w:r>
            <w:rPr>
              <w:rFonts w:ascii="Times New Roman" w:hAnsi="Times New Roman" w:cs="Times New Roman"/>
            </w:rPr>
            <w:instrText xml:space="preserve"> PAGEREF _Toc859 \h </w:instrText>
          </w:r>
          <w:r>
            <w:rPr>
              <w:rFonts w:ascii="Times New Roman" w:hAnsi="Times New Roman" w:cs="Times New Roman"/>
            </w:rPr>
            <w:fldChar w:fldCharType="separate"/>
          </w:r>
          <w:r>
            <w:rPr>
              <w:rFonts w:ascii="Times New Roman" w:hAnsi="Times New Roman" w:cs="Times New Roman"/>
            </w:rPr>
            <w:t>4</w:t>
          </w:r>
          <w:r>
            <w:rPr>
              <w:rFonts w:ascii="Times New Roman" w:hAnsi="Times New Roman" w:cs="Times New Roman"/>
            </w:rPr>
            <w:fldChar w:fldCharType="end"/>
          </w:r>
          <w:r>
            <w:rPr>
              <w:rFonts w:ascii="Times New Roman" w:hAnsi="Times New Roman" w:cs="Times New Roman"/>
            </w:rPr>
            <w:fldChar w:fldCharType="end"/>
          </w:r>
        </w:p>
        <w:p>
          <w:pPr>
            <w:pStyle w:val="13"/>
            <w:tabs>
              <w:tab w:val="right" w:leader="dot" w:pos="8306"/>
            </w:tabs>
            <w:spacing w:line="590" w:lineRule="exact"/>
            <w:ind w:left="0" w:leftChars="0" w:firstLine="640" w:firstLineChars="200"/>
            <w:rPr>
              <w:rFonts w:ascii="Times New Roman" w:hAnsi="Times New Roman" w:cs="Times New Roman"/>
            </w:rPr>
          </w:pPr>
          <w:r>
            <w:fldChar w:fldCharType="begin"/>
          </w:r>
          <w:r>
            <w:instrText xml:space="preserve"> HYPERLINK \l "_Toc25007" </w:instrText>
          </w:r>
          <w:r>
            <w:fldChar w:fldCharType="separate"/>
          </w:r>
          <w:r>
            <w:rPr>
              <w:rFonts w:hint="eastAsia" w:ascii="Times New Roman" w:hAnsi="Times New Roman" w:cs="Times New Roman"/>
              <w:bCs/>
              <w:kern w:val="0"/>
              <w:szCs w:val="27"/>
            </w:rPr>
            <w:t>3.</w:t>
          </w:r>
          <w:r>
            <w:rPr>
              <w:rFonts w:ascii="Times New Roman" w:hAnsi="Times New Roman" w:cs="Times New Roman"/>
            </w:rPr>
            <w:t>对数据安全的管理</w:t>
          </w:r>
          <w:r>
            <w:rPr>
              <w:rFonts w:ascii="Times New Roman" w:hAnsi="Times New Roman" w:cs="Times New Roman"/>
            </w:rPr>
            <w:tab/>
          </w:r>
          <w:r>
            <w:rPr>
              <w:rFonts w:ascii="Times New Roman" w:hAnsi="Times New Roman" w:cs="Times New Roman"/>
            </w:rPr>
            <w:fldChar w:fldCharType="begin"/>
          </w:r>
          <w:r>
            <w:rPr>
              <w:rFonts w:ascii="Times New Roman" w:hAnsi="Times New Roman" w:cs="Times New Roman"/>
            </w:rPr>
            <w:instrText xml:space="preserve"> PAGEREF _Toc25007 \h </w:instrText>
          </w:r>
          <w:r>
            <w:rPr>
              <w:rFonts w:ascii="Times New Roman" w:hAnsi="Times New Roman" w:cs="Times New Roman"/>
            </w:rPr>
            <w:fldChar w:fldCharType="separate"/>
          </w:r>
          <w:r>
            <w:rPr>
              <w:rFonts w:ascii="Times New Roman" w:hAnsi="Times New Roman" w:cs="Times New Roman"/>
            </w:rPr>
            <w:t>6</w:t>
          </w:r>
          <w:r>
            <w:rPr>
              <w:rFonts w:ascii="Times New Roman" w:hAnsi="Times New Roman" w:cs="Times New Roman"/>
            </w:rPr>
            <w:fldChar w:fldCharType="end"/>
          </w:r>
          <w:r>
            <w:rPr>
              <w:rFonts w:ascii="Times New Roman" w:hAnsi="Times New Roman" w:cs="Times New Roman"/>
            </w:rPr>
            <w:fldChar w:fldCharType="end"/>
          </w:r>
        </w:p>
        <w:p>
          <w:pPr>
            <w:pStyle w:val="21"/>
            <w:tabs>
              <w:tab w:val="right" w:leader="dot" w:pos="8306"/>
            </w:tabs>
            <w:spacing w:line="590" w:lineRule="exact"/>
            <w:ind w:left="0" w:leftChars="0" w:firstLine="640" w:firstLineChars="200"/>
            <w:rPr>
              <w:rFonts w:ascii="Times New Roman" w:hAnsi="Times New Roman" w:cs="Times New Roman"/>
            </w:rPr>
          </w:pPr>
          <w:r>
            <w:fldChar w:fldCharType="begin"/>
          </w:r>
          <w:r>
            <w:instrText xml:space="preserve"> HYPERLINK \l "_Toc4554" </w:instrText>
          </w:r>
          <w:r>
            <w:fldChar w:fldCharType="separate"/>
          </w:r>
          <w:r>
            <w:rPr>
              <w:rFonts w:ascii="Times New Roman" w:hAnsi="Times New Roman" w:cs="Times New Roman"/>
            </w:rPr>
            <w:t>（二）本地部署模式</w:t>
          </w:r>
          <w:r>
            <w:rPr>
              <w:rFonts w:ascii="Times New Roman" w:hAnsi="Times New Roman" w:cs="Times New Roman"/>
            </w:rPr>
            <w:tab/>
          </w:r>
          <w:r>
            <w:rPr>
              <w:rFonts w:ascii="Times New Roman" w:hAnsi="Times New Roman" w:cs="Times New Roman"/>
            </w:rPr>
            <w:fldChar w:fldCharType="begin"/>
          </w:r>
          <w:r>
            <w:rPr>
              <w:rFonts w:ascii="Times New Roman" w:hAnsi="Times New Roman" w:cs="Times New Roman"/>
            </w:rPr>
            <w:instrText xml:space="preserve"> PAGEREF _Toc4554 \h </w:instrText>
          </w:r>
          <w:r>
            <w:rPr>
              <w:rFonts w:ascii="Times New Roman" w:hAnsi="Times New Roman" w:cs="Times New Roman"/>
            </w:rPr>
            <w:fldChar w:fldCharType="separate"/>
          </w:r>
          <w:r>
            <w:rPr>
              <w:rFonts w:ascii="Times New Roman" w:hAnsi="Times New Roman" w:cs="Times New Roman"/>
            </w:rPr>
            <w:t>7</w:t>
          </w:r>
          <w:r>
            <w:rPr>
              <w:rFonts w:ascii="Times New Roman" w:hAnsi="Times New Roman" w:cs="Times New Roman"/>
            </w:rPr>
            <w:fldChar w:fldCharType="end"/>
          </w:r>
          <w:r>
            <w:rPr>
              <w:rFonts w:ascii="Times New Roman" w:hAnsi="Times New Roman" w:cs="Times New Roman"/>
            </w:rPr>
            <w:fldChar w:fldCharType="end"/>
          </w:r>
        </w:p>
        <w:p>
          <w:pPr>
            <w:pStyle w:val="13"/>
            <w:tabs>
              <w:tab w:val="right" w:leader="dot" w:pos="8306"/>
            </w:tabs>
            <w:spacing w:line="590" w:lineRule="exact"/>
            <w:ind w:left="0" w:leftChars="0" w:firstLine="640" w:firstLineChars="200"/>
            <w:rPr>
              <w:rFonts w:ascii="Times New Roman" w:hAnsi="Times New Roman" w:cs="Times New Roman"/>
            </w:rPr>
          </w:pPr>
          <w:r>
            <w:fldChar w:fldCharType="begin"/>
          </w:r>
          <w:r>
            <w:instrText xml:space="preserve"> HYPERLINK \l "_Toc24101" </w:instrText>
          </w:r>
          <w:r>
            <w:fldChar w:fldCharType="separate"/>
          </w:r>
          <w:r>
            <w:rPr>
              <w:rFonts w:ascii="Times New Roman" w:hAnsi="Times New Roman" w:cs="Times New Roman"/>
              <w:bCs/>
              <w:kern w:val="0"/>
              <w:szCs w:val="27"/>
            </w:rPr>
            <w:t>1.</w:t>
          </w:r>
          <w:r>
            <w:rPr>
              <w:rFonts w:ascii="Times New Roman" w:hAnsi="Times New Roman" w:cs="Times New Roman"/>
            </w:rPr>
            <w:t>对显存资源的管理</w:t>
          </w:r>
          <w:r>
            <w:rPr>
              <w:rFonts w:ascii="Times New Roman" w:hAnsi="Times New Roman" w:cs="Times New Roman"/>
            </w:rPr>
            <w:tab/>
          </w:r>
          <w:r>
            <w:rPr>
              <w:rFonts w:ascii="Times New Roman" w:hAnsi="Times New Roman" w:cs="Times New Roman"/>
            </w:rPr>
            <w:fldChar w:fldCharType="begin"/>
          </w:r>
          <w:r>
            <w:rPr>
              <w:rFonts w:ascii="Times New Roman" w:hAnsi="Times New Roman" w:cs="Times New Roman"/>
            </w:rPr>
            <w:instrText xml:space="preserve"> PAGEREF _Toc24101 \h </w:instrText>
          </w:r>
          <w:r>
            <w:rPr>
              <w:rFonts w:ascii="Times New Roman" w:hAnsi="Times New Roman" w:cs="Times New Roman"/>
            </w:rPr>
            <w:fldChar w:fldCharType="separate"/>
          </w:r>
          <w:r>
            <w:rPr>
              <w:rFonts w:ascii="Times New Roman" w:hAnsi="Times New Roman" w:cs="Times New Roman"/>
            </w:rPr>
            <w:t>8</w:t>
          </w:r>
          <w:r>
            <w:rPr>
              <w:rFonts w:ascii="Times New Roman" w:hAnsi="Times New Roman" w:cs="Times New Roman"/>
            </w:rPr>
            <w:fldChar w:fldCharType="end"/>
          </w:r>
          <w:r>
            <w:rPr>
              <w:rFonts w:ascii="Times New Roman" w:hAnsi="Times New Roman" w:cs="Times New Roman"/>
            </w:rPr>
            <w:fldChar w:fldCharType="end"/>
          </w:r>
        </w:p>
        <w:p>
          <w:pPr>
            <w:pStyle w:val="13"/>
            <w:tabs>
              <w:tab w:val="right" w:leader="dot" w:pos="8306"/>
            </w:tabs>
            <w:spacing w:line="590" w:lineRule="exact"/>
            <w:ind w:left="0" w:leftChars="0" w:firstLine="640" w:firstLineChars="200"/>
            <w:rPr>
              <w:rFonts w:ascii="Times New Roman" w:hAnsi="Times New Roman" w:cs="Times New Roman"/>
            </w:rPr>
          </w:pPr>
          <w:r>
            <w:fldChar w:fldCharType="begin"/>
          </w:r>
          <w:r>
            <w:instrText xml:space="preserve"> HYPERLINK \l "_Toc26943" </w:instrText>
          </w:r>
          <w:r>
            <w:fldChar w:fldCharType="separate"/>
          </w:r>
          <w:r>
            <w:rPr>
              <w:rFonts w:ascii="Times New Roman" w:hAnsi="Times New Roman" w:cs="Times New Roman"/>
              <w:bCs/>
              <w:kern w:val="0"/>
              <w:szCs w:val="27"/>
            </w:rPr>
            <w:t>2.</w:t>
          </w:r>
          <w:r>
            <w:rPr>
              <w:rFonts w:ascii="Times New Roman" w:hAnsi="Times New Roman" w:cs="Times New Roman"/>
            </w:rPr>
            <w:t>对计算资源的管理</w:t>
          </w:r>
          <w:r>
            <w:rPr>
              <w:rFonts w:ascii="Times New Roman" w:hAnsi="Times New Roman" w:cs="Times New Roman"/>
            </w:rPr>
            <w:tab/>
          </w:r>
          <w:r>
            <w:rPr>
              <w:rFonts w:ascii="Times New Roman" w:hAnsi="Times New Roman" w:cs="Times New Roman"/>
            </w:rPr>
            <w:fldChar w:fldCharType="begin"/>
          </w:r>
          <w:r>
            <w:rPr>
              <w:rFonts w:ascii="Times New Roman" w:hAnsi="Times New Roman" w:cs="Times New Roman"/>
            </w:rPr>
            <w:instrText xml:space="preserve"> PAGEREF _Toc26943 \h </w:instrText>
          </w:r>
          <w:r>
            <w:rPr>
              <w:rFonts w:ascii="Times New Roman" w:hAnsi="Times New Roman" w:cs="Times New Roman"/>
            </w:rPr>
            <w:fldChar w:fldCharType="separate"/>
          </w:r>
          <w:r>
            <w:rPr>
              <w:rFonts w:ascii="Times New Roman" w:hAnsi="Times New Roman" w:cs="Times New Roman"/>
            </w:rPr>
            <w:t>10</w:t>
          </w:r>
          <w:r>
            <w:rPr>
              <w:rFonts w:ascii="Times New Roman" w:hAnsi="Times New Roman" w:cs="Times New Roman"/>
            </w:rPr>
            <w:fldChar w:fldCharType="end"/>
          </w:r>
          <w:r>
            <w:rPr>
              <w:rFonts w:ascii="Times New Roman" w:hAnsi="Times New Roman" w:cs="Times New Roman"/>
            </w:rPr>
            <w:fldChar w:fldCharType="end"/>
          </w:r>
        </w:p>
        <w:p>
          <w:pPr>
            <w:pStyle w:val="13"/>
            <w:tabs>
              <w:tab w:val="right" w:leader="dot" w:pos="8306"/>
            </w:tabs>
            <w:spacing w:line="590" w:lineRule="exact"/>
            <w:ind w:left="0" w:leftChars="0" w:firstLine="640" w:firstLineChars="200"/>
            <w:rPr>
              <w:rFonts w:ascii="Times New Roman" w:hAnsi="Times New Roman" w:cs="Times New Roman"/>
            </w:rPr>
          </w:pPr>
          <w:r>
            <w:fldChar w:fldCharType="begin"/>
          </w:r>
          <w:r>
            <w:instrText xml:space="preserve"> HYPERLINK \l "_Toc9436" </w:instrText>
          </w:r>
          <w:r>
            <w:fldChar w:fldCharType="separate"/>
          </w:r>
          <w:r>
            <w:rPr>
              <w:rFonts w:hint="eastAsia" w:ascii="Times New Roman" w:hAnsi="Times New Roman" w:cs="Times New Roman"/>
              <w:bCs/>
              <w:kern w:val="0"/>
              <w:szCs w:val="27"/>
            </w:rPr>
            <w:t>3.</w:t>
          </w:r>
          <w:r>
            <w:rPr>
              <w:rFonts w:ascii="Times New Roman" w:hAnsi="Times New Roman" w:cs="Times New Roman"/>
            </w:rPr>
            <w:t>对利用效能的管理</w:t>
          </w:r>
          <w:r>
            <w:rPr>
              <w:rFonts w:ascii="Times New Roman" w:hAnsi="Times New Roman" w:cs="Times New Roman"/>
            </w:rPr>
            <w:tab/>
          </w:r>
          <w:r>
            <w:rPr>
              <w:rFonts w:ascii="Times New Roman" w:hAnsi="Times New Roman" w:cs="Times New Roman"/>
            </w:rPr>
            <w:fldChar w:fldCharType="begin"/>
          </w:r>
          <w:r>
            <w:rPr>
              <w:rFonts w:ascii="Times New Roman" w:hAnsi="Times New Roman" w:cs="Times New Roman"/>
            </w:rPr>
            <w:instrText xml:space="preserve"> PAGEREF _Toc9436 \h </w:instrText>
          </w:r>
          <w:r>
            <w:rPr>
              <w:rFonts w:ascii="Times New Roman" w:hAnsi="Times New Roman" w:cs="Times New Roman"/>
            </w:rPr>
            <w:fldChar w:fldCharType="separate"/>
          </w:r>
          <w:r>
            <w:rPr>
              <w:rFonts w:ascii="Times New Roman" w:hAnsi="Times New Roman" w:cs="Times New Roman"/>
            </w:rPr>
            <w:t>12</w:t>
          </w:r>
          <w:r>
            <w:rPr>
              <w:rFonts w:ascii="Times New Roman" w:hAnsi="Times New Roman" w:cs="Times New Roman"/>
            </w:rPr>
            <w:fldChar w:fldCharType="end"/>
          </w:r>
          <w:r>
            <w:rPr>
              <w:rFonts w:ascii="Times New Roman" w:hAnsi="Times New Roman" w:cs="Times New Roman"/>
            </w:rPr>
            <w:fldChar w:fldCharType="end"/>
          </w:r>
        </w:p>
        <w:p>
          <w:pPr>
            <w:pStyle w:val="18"/>
            <w:tabs>
              <w:tab w:val="right" w:leader="dot" w:pos="8306"/>
            </w:tabs>
            <w:spacing w:line="590" w:lineRule="exact"/>
            <w:rPr>
              <w:rFonts w:ascii="Times New Roman" w:hAnsi="Times New Roman" w:cs="Times New Roman"/>
            </w:rPr>
          </w:pPr>
          <w:r>
            <w:fldChar w:fldCharType="begin"/>
          </w:r>
          <w:r>
            <w:instrText xml:space="preserve"> HYPERLINK \l "_Toc4856" </w:instrText>
          </w:r>
          <w:r>
            <w:fldChar w:fldCharType="separate"/>
          </w:r>
          <w:r>
            <w:rPr>
              <w:rFonts w:ascii="Times New Roman" w:hAnsi="Times New Roman" w:cs="Times New Roman"/>
            </w:rPr>
            <w:t>二、企业Token管理的重点环节</w:t>
          </w:r>
          <w:r>
            <w:rPr>
              <w:rFonts w:ascii="Times New Roman" w:hAnsi="Times New Roman" w:cs="Times New Roman"/>
            </w:rPr>
            <w:tab/>
          </w:r>
          <w:r>
            <w:rPr>
              <w:rFonts w:ascii="Times New Roman" w:hAnsi="Times New Roman" w:cs="Times New Roman"/>
            </w:rPr>
            <w:fldChar w:fldCharType="begin"/>
          </w:r>
          <w:r>
            <w:rPr>
              <w:rFonts w:ascii="Times New Roman" w:hAnsi="Times New Roman" w:cs="Times New Roman"/>
            </w:rPr>
            <w:instrText xml:space="preserve"> PAGEREF _Toc4856 \h </w:instrText>
          </w:r>
          <w:r>
            <w:rPr>
              <w:rFonts w:ascii="Times New Roman" w:hAnsi="Times New Roman" w:cs="Times New Roman"/>
            </w:rPr>
            <w:fldChar w:fldCharType="separate"/>
          </w:r>
          <w:r>
            <w:rPr>
              <w:rFonts w:ascii="Times New Roman" w:hAnsi="Times New Roman" w:cs="Times New Roman"/>
            </w:rPr>
            <w:t>13</w:t>
          </w:r>
          <w:r>
            <w:rPr>
              <w:rFonts w:ascii="Times New Roman" w:hAnsi="Times New Roman" w:cs="Times New Roman"/>
            </w:rPr>
            <w:fldChar w:fldCharType="end"/>
          </w:r>
          <w:r>
            <w:rPr>
              <w:rFonts w:ascii="Times New Roman" w:hAnsi="Times New Roman" w:cs="Times New Roman"/>
            </w:rPr>
            <w:fldChar w:fldCharType="end"/>
          </w:r>
        </w:p>
        <w:p>
          <w:pPr>
            <w:pStyle w:val="21"/>
            <w:tabs>
              <w:tab w:val="right" w:leader="dot" w:pos="8306"/>
            </w:tabs>
            <w:spacing w:line="590" w:lineRule="exact"/>
            <w:ind w:left="0" w:leftChars="0" w:firstLine="640" w:firstLineChars="200"/>
            <w:rPr>
              <w:rFonts w:ascii="Times New Roman" w:hAnsi="Times New Roman" w:cs="Times New Roman"/>
            </w:rPr>
          </w:pPr>
          <w:r>
            <w:fldChar w:fldCharType="begin"/>
          </w:r>
          <w:r>
            <w:instrText xml:space="preserve"> HYPERLINK \l "_Toc32445" </w:instrText>
          </w:r>
          <w:r>
            <w:fldChar w:fldCharType="separate"/>
          </w:r>
          <w:r>
            <w:rPr>
              <w:rFonts w:ascii="Times New Roman" w:hAnsi="Times New Roman" w:cs="Times New Roman"/>
            </w:rPr>
            <w:t>（一）事前规划预置</w:t>
          </w:r>
          <w:r>
            <w:rPr>
              <w:rFonts w:ascii="Times New Roman" w:hAnsi="Times New Roman" w:cs="Times New Roman"/>
            </w:rPr>
            <w:tab/>
          </w:r>
          <w:r>
            <w:rPr>
              <w:rFonts w:ascii="Times New Roman" w:hAnsi="Times New Roman" w:cs="Times New Roman"/>
            </w:rPr>
            <w:fldChar w:fldCharType="begin"/>
          </w:r>
          <w:r>
            <w:rPr>
              <w:rFonts w:ascii="Times New Roman" w:hAnsi="Times New Roman" w:cs="Times New Roman"/>
            </w:rPr>
            <w:instrText xml:space="preserve"> PAGEREF _Toc32445 \h </w:instrText>
          </w:r>
          <w:r>
            <w:rPr>
              <w:rFonts w:ascii="Times New Roman" w:hAnsi="Times New Roman" w:cs="Times New Roman"/>
            </w:rPr>
            <w:fldChar w:fldCharType="separate"/>
          </w:r>
          <w:r>
            <w:rPr>
              <w:rFonts w:ascii="Times New Roman" w:hAnsi="Times New Roman" w:cs="Times New Roman"/>
            </w:rPr>
            <w:t>14</w:t>
          </w:r>
          <w:r>
            <w:rPr>
              <w:rFonts w:ascii="Times New Roman" w:hAnsi="Times New Roman" w:cs="Times New Roman"/>
            </w:rPr>
            <w:fldChar w:fldCharType="end"/>
          </w:r>
          <w:r>
            <w:rPr>
              <w:rFonts w:ascii="Times New Roman" w:hAnsi="Times New Roman" w:cs="Times New Roman"/>
            </w:rPr>
            <w:fldChar w:fldCharType="end"/>
          </w:r>
        </w:p>
        <w:p>
          <w:pPr>
            <w:pStyle w:val="13"/>
            <w:tabs>
              <w:tab w:val="right" w:leader="dot" w:pos="8306"/>
            </w:tabs>
            <w:spacing w:line="590" w:lineRule="exact"/>
            <w:ind w:left="0" w:leftChars="0" w:firstLine="640" w:firstLineChars="200"/>
            <w:rPr>
              <w:rFonts w:ascii="Times New Roman" w:hAnsi="Times New Roman" w:cs="Times New Roman"/>
            </w:rPr>
          </w:pPr>
          <w:r>
            <w:fldChar w:fldCharType="begin"/>
          </w:r>
          <w:r>
            <w:instrText xml:space="preserve"> HYPERLINK \l "_Toc3660" </w:instrText>
          </w:r>
          <w:r>
            <w:fldChar w:fldCharType="separate"/>
          </w:r>
          <w:r>
            <w:rPr>
              <w:rFonts w:ascii="Times New Roman" w:hAnsi="Times New Roman" w:cs="Times New Roman"/>
            </w:rPr>
            <w:t>1.</w:t>
          </w:r>
          <w:r>
            <w:rPr>
              <w:rFonts w:ascii="Times New Roman" w:hAnsi="Times New Roman" w:cs="Times New Roman"/>
              <w:szCs w:val="32"/>
            </w:rPr>
            <w:t>场景分级与立项评估</w:t>
          </w:r>
          <w:r>
            <w:rPr>
              <w:rFonts w:ascii="Times New Roman" w:hAnsi="Times New Roman" w:cs="Times New Roman"/>
            </w:rPr>
            <w:tab/>
          </w:r>
          <w:r>
            <w:rPr>
              <w:rFonts w:ascii="Times New Roman" w:hAnsi="Times New Roman" w:cs="Times New Roman"/>
            </w:rPr>
            <w:fldChar w:fldCharType="begin"/>
          </w:r>
          <w:r>
            <w:rPr>
              <w:rFonts w:ascii="Times New Roman" w:hAnsi="Times New Roman" w:cs="Times New Roman"/>
            </w:rPr>
            <w:instrText xml:space="preserve"> PAGEREF _Toc3660 \h </w:instrText>
          </w:r>
          <w:r>
            <w:rPr>
              <w:rFonts w:ascii="Times New Roman" w:hAnsi="Times New Roman" w:cs="Times New Roman"/>
            </w:rPr>
            <w:fldChar w:fldCharType="separate"/>
          </w:r>
          <w:r>
            <w:rPr>
              <w:rFonts w:ascii="Times New Roman" w:hAnsi="Times New Roman" w:cs="Times New Roman"/>
            </w:rPr>
            <w:t>14</w:t>
          </w:r>
          <w:r>
            <w:rPr>
              <w:rFonts w:ascii="Times New Roman" w:hAnsi="Times New Roman" w:cs="Times New Roman"/>
            </w:rPr>
            <w:fldChar w:fldCharType="end"/>
          </w:r>
          <w:r>
            <w:rPr>
              <w:rFonts w:ascii="Times New Roman" w:hAnsi="Times New Roman" w:cs="Times New Roman"/>
            </w:rPr>
            <w:fldChar w:fldCharType="end"/>
          </w:r>
        </w:p>
        <w:p>
          <w:pPr>
            <w:pStyle w:val="13"/>
            <w:tabs>
              <w:tab w:val="right" w:leader="dot" w:pos="8306"/>
            </w:tabs>
            <w:spacing w:line="590" w:lineRule="exact"/>
            <w:ind w:left="0" w:leftChars="0" w:firstLine="640" w:firstLineChars="200"/>
            <w:rPr>
              <w:rFonts w:ascii="Times New Roman" w:hAnsi="Times New Roman" w:cs="Times New Roman"/>
            </w:rPr>
          </w:pPr>
          <w:r>
            <w:fldChar w:fldCharType="begin"/>
          </w:r>
          <w:r>
            <w:instrText xml:space="preserve"> HYPERLINK \l "_Toc18297" </w:instrText>
          </w:r>
          <w:r>
            <w:fldChar w:fldCharType="separate"/>
          </w:r>
          <w:r>
            <w:rPr>
              <w:rFonts w:hint="eastAsia" w:ascii="Times New Roman" w:hAnsi="Times New Roman" w:cs="Times New Roman"/>
              <w:bCs/>
              <w:kern w:val="0"/>
              <w:szCs w:val="27"/>
            </w:rPr>
            <w:t>2.</w:t>
          </w:r>
          <w:r>
            <w:rPr>
              <w:rFonts w:ascii="Times New Roman" w:hAnsi="Times New Roman" w:cs="Times New Roman"/>
            </w:rPr>
            <w:t>模型选型与部署</w:t>
          </w:r>
          <w:r>
            <w:rPr>
              <w:rFonts w:ascii="Times New Roman" w:hAnsi="Times New Roman" w:cs="Times New Roman"/>
            </w:rPr>
            <w:tab/>
          </w:r>
          <w:r>
            <w:rPr>
              <w:rFonts w:ascii="Times New Roman" w:hAnsi="Times New Roman" w:cs="Times New Roman"/>
            </w:rPr>
            <w:fldChar w:fldCharType="begin"/>
          </w:r>
          <w:r>
            <w:rPr>
              <w:rFonts w:ascii="Times New Roman" w:hAnsi="Times New Roman" w:cs="Times New Roman"/>
            </w:rPr>
            <w:instrText xml:space="preserve"> PAGEREF _Toc18297 \h </w:instrText>
          </w:r>
          <w:r>
            <w:rPr>
              <w:rFonts w:ascii="Times New Roman" w:hAnsi="Times New Roman" w:cs="Times New Roman"/>
            </w:rPr>
            <w:fldChar w:fldCharType="separate"/>
          </w:r>
          <w:r>
            <w:rPr>
              <w:rFonts w:ascii="Times New Roman" w:hAnsi="Times New Roman" w:cs="Times New Roman"/>
            </w:rPr>
            <w:t>17</w:t>
          </w:r>
          <w:r>
            <w:rPr>
              <w:rFonts w:ascii="Times New Roman" w:hAnsi="Times New Roman" w:cs="Times New Roman"/>
            </w:rPr>
            <w:fldChar w:fldCharType="end"/>
          </w:r>
          <w:r>
            <w:rPr>
              <w:rFonts w:ascii="Times New Roman" w:hAnsi="Times New Roman" w:cs="Times New Roman"/>
            </w:rPr>
            <w:fldChar w:fldCharType="end"/>
          </w:r>
        </w:p>
        <w:p>
          <w:pPr>
            <w:pStyle w:val="13"/>
            <w:tabs>
              <w:tab w:val="right" w:leader="dot" w:pos="8306"/>
            </w:tabs>
            <w:spacing w:line="590" w:lineRule="exact"/>
            <w:ind w:left="0" w:leftChars="0" w:firstLine="640" w:firstLineChars="200"/>
            <w:rPr>
              <w:rFonts w:ascii="Times New Roman" w:hAnsi="Times New Roman" w:cs="Times New Roman"/>
            </w:rPr>
          </w:pPr>
          <w:r>
            <w:fldChar w:fldCharType="begin"/>
          </w:r>
          <w:r>
            <w:instrText xml:space="preserve"> HYPERLINK \l "_Toc794" </w:instrText>
          </w:r>
          <w:r>
            <w:fldChar w:fldCharType="separate"/>
          </w:r>
          <w:r>
            <w:rPr>
              <w:rFonts w:ascii="Times New Roman" w:hAnsi="Times New Roman" w:cs="Times New Roman"/>
              <w:bCs/>
              <w:kern w:val="0"/>
              <w:szCs w:val="27"/>
            </w:rPr>
            <w:t>3</w:t>
          </w:r>
          <w:r>
            <w:rPr>
              <w:rFonts w:hint="eastAsia" w:ascii="Times New Roman" w:hAnsi="Times New Roman" w:cs="Times New Roman"/>
              <w:bCs/>
              <w:kern w:val="0"/>
              <w:szCs w:val="27"/>
            </w:rPr>
            <w:t>.</w:t>
          </w:r>
          <w:r>
            <w:rPr>
              <w:rFonts w:ascii="Times New Roman" w:hAnsi="Times New Roman" w:cs="Times New Roman"/>
              <w:szCs w:val="27"/>
            </w:rPr>
            <w:t>模型路由配置</w:t>
          </w:r>
          <w:r>
            <w:rPr>
              <w:rFonts w:ascii="Times New Roman" w:hAnsi="Times New Roman" w:cs="Times New Roman"/>
            </w:rPr>
            <w:tab/>
          </w:r>
          <w:r>
            <w:rPr>
              <w:rFonts w:ascii="Times New Roman" w:hAnsi="Times New Roman" w:cs="Times New Roman"/>
            </w:rPr>
            <w:fldChar w:fldCharType="begin"/>
          </w:r>
          <w:r>
            <w:rPr>
              <w:rFonts w:ascii="Times New Roman" w:hAnsi="Times New Roman" w:cs="Times New Roman"/>
            </w:rPr>
            <w:instrText xml:space="preserve"> PAGEREF _Toc794 \h </w:instrText>
          </w:r>
          <w:r>
            <w:rPr>
              <w:rFonts w:ascii="Times New Roman" w:hAnsi="Times New Roman" w:cs="Times New Roman"/>
            </w:rPr>
            <w:fldChar w:fldCharType="separate"/>
          </w:r>
          <w:r>
            <w:rPr>
              <w:rFonts w:ascii="Times New Roman" w:hAnsi="Times New Roman" w:cs="Times New Roman"/>
            </w:rPr>
            <w:t>20</w:t>
          </w:r>
          <w:r>
            <w:rPr>
              <w:rFonts w:ascii="Times New Roman" w:hAnsi="Times New Roman" w:cs="Times New Roman"/>
            </w:rPr>
            <w:fldChar w:fldCharType="end"/>
          </w:r>
          <w:r>
            <w:rPr>
              <w:rFonts w:ascii="Times New Roman" w:hAnsi="Times New Roman" w:cs="Times New Roman"/>
            </w:rPr>
            <w:fldChar w:fldCharType="end"/>
          </w:r>
        </w:p>
        <w:p>
          <w:pPr>
            <w:pStyle w:val="13"/>
            <w:tabs>
              <w:tab w:val="right" w:leader="dot" w:pos="8306"/>
            </w:tabs>
            <w:spacing w:line="590" w:lineRule="exact"/>
            <w:ind w:left="0" w:leftChars="0" w:firstLine="640" w:firstLineChars="200"/>
            <w:rPr>
              <w:rFonts w:ascii="Times New Roman" w:hAnsi="Times New Roman" w:cs="Times New Roman"/>
            </w:rPr>
          </w:pPr>
          <w:r>
            <w:fldChar w:fldCharType="begin"/>
          </w:r>
          <w:r>
            <w:instrText xml:space="preserve"> HYPERLINK \l "_Toc32428" </w:instrText>
          </w:r>
          <w:r>
            <w:fldChar w:fldCharType="separate"/>
          </w:r>
          <w:r>
            <w:rPr>
              <w:rFonts w:hint="eastAsia" w:ascii="Times New Roman" w:hAnsi="Times New Roman" w:cs="Times New Roman"/>
              <w:bCs/>
              <w:kern w:val="0"/>
              <w:szCs w:val="27"/>
            </w:rPr>
            <w:t>4.</w:t>
          </w:r>
          <w:r>
            <w:rPr>
              <w:rFonts w:ascii="Times New Roman" w:hAnsi="Times New Roman" w:cs="Times New Roman"/>
              <w:bCs/>
              <w:kern w:val="0"/>
              <w:szCs w:val="27"/>
            </w:rPr>
            <w:t>用量配额配置</w:t>
          </w:r>
          <w:r>
            <w:rPr>
              <w:rFonts w:ascii="Times New Roman" w:hAnsi="Times New Roman" w:cs="Times New Roman"/>
            </w:rPr>
            <w:tab/>
          </w:r>
          <w:r>
            <w:rPr>
              <w:rFonts w:ascii="Times New Roman" w:hAnsi="Times New Roman" w:cs="Times New Roman"/>
            </w:rPr>
            <w:fldChar w:fldCharType="begin"/>
          </w:r>
          <w:r>
            <w:rPr>
              <w:rFonts w:ascii="Times New Roman" w:hAnsi="Times New Roman" w:cs="Times New Roman"/>
            </w:rPr>
            <w:instrText xml:space="preserve"> PAGEREF _Toc32428 \h </w:instrText>
          </w:r>
          <w:r>
            <w:rPr>
              <w:rFonts w:ascii="Times New Roman" w:hAnsi="Times New Roman" w:cs="Times New Roman"/>
            </w:rPr>
            <w:fldChar w:fldCharType="separate"/>
          </w:r>
          <w:r>
            <w:rPr>
              <w:rFonts w:ascii="Times New Roman" w:hAnsi="Times New Roman" w:cs="Times New Roman"/>
            </w:rPr>
            <w:t>22</w:t>
          </w:r>
          <w:r>
            <w:rPr>
              <w:rFonts w:ascii="Times New Roman" w:hAnsi="Times New Roman" w:cs="Times New Roman"/>
            </w:rPr>
            <w:fldChar w:fldCharType="end"/>
          </w:r>
          <w:r>
            <w:rPr>
              <w:rFonts w:ascii="Times New Roman" w:hAnsi="Times New Roman" w:cs="Times New Roman"/>
            </w:rPr>
            <w:fldChar w:fldCharType="end"/>
          </w:r>
        </w:p>
        <w:p>
          <w:pPr>
            <w:pStyle w:val="13"/>
            <w:tabs>
              <w:tab w:val="right" w:leader="dot" w:pos="8306"/>
            </w:tabs>
            <w:spacing w:line="590" w:lineRule="exact"/>
            <w:ind w:left="0" w:leftChars="0" w:firstLine="640" w:firstLineChars="200"/>
            <w:rPr>
              <w:rFonts w:ascii="Times New Roman" w:hAnsi="Times New Roman" w:cs="Times New Roman"/>
            </w:rPr>
          </w:pPr>
          <w:r>
            <w:fldChar w:fldCharType="begin"/>
          </w:r>
          <w:r>
            <w:instrText xml:space="preserve"> HYPERLINK \l "_Toc5312" </w:instrText>
          </w:r>
          <w:r>
            <w:fldChar w:fldCharType="separate"/>
          </w:r>
          <w:r>
            <w:rPr>
              <w:rFonts w:ascii="Times New Roman" w:hAnsi="Times New Roman" w:cs="Times New Roman"/>
              <w:bCs/>
              <w:kern w:val="0"/>
              <w:szCs w:val="27"/>
            </w:rPr>
            <w:t>5</w:t>
          </w:r>
          <w:r>
            <w:rPr>
              <w:rFonts w:hint="eastAsia" w:ascii="Times New Roman" w:hAnsi="Times New Roman" w:cs="Times New Roman"/>
              <w:bCs/>
              <w:kern w:val="0"/>
              <w:szCs w:val="27"/>
            </w:rPr>
            <w:t>.</w:t>
          </w:r>
          <w:r>
            <w:rPr>
              <w:rFonts w:ascii="Times New Roman" w:hAnsi="Times New Roman" w:cs="Times New Roman"/>
            </w:rPr>
            <w:t>Prompt工程</w:t>
          </w:r>
          <w:r>
            <w:rPr>
              <w:rFonts w:ascii="Times New Roman" w:hAnsi="Times New Roman" w:cs="Times New Roman"/>
            </w:rPr>
            <w:tab/>
          </w:r>
          <w:r>
            <w:rPr>
              <w:rFonts w:ascii="Times New Roman" w:hAnsi="Times New Roman" w:cs="Times New Roman"/>
            </w:rPr>
            <w:fldChar w:fldCharType="begin"/>
          </w:r>
          <w:r>
            <w:rPr>
              <w:rFonts w:ascii="Times New Roman" w:hAnsi="Times New Roman" w:cs="Times New Roman"/>
            </w:rPr>
            <w:instrText xml:space="preserve"> PAGEREF _Toc5312 \h </w:instrText>
          </w:r>
          <w:r>
            <w:rPr>
              <w:rFonts w:ascii="Times New Roman" w:hAnsi="Times New Roman" w:cs="Times New Roman"/>
            </w:rPr>
            <w:fldChar w:fldCharType="separate"/>
          </w:r>
          <w:r>
            <w:rPr>
              <w:rFonts w:ascii="Times New Roman" w:hAnsi="Times New Roman" w:cs="Times New Roman"/>
            </w:rPr>
            <w:t>29</w:t>
          </w:r>
          <w:r>
            <w:rPr>
              <w:rFonts w:ascii="Times New Roman" w:hAnsi="Times New Roman" w:cs="Times New Roman"/>
            </w:rPr>
            <w:fldChar w:fldCharType="end"/>
          </w:r>
          <w:r>
            <w:rPr>
              <w:rFonts w:ascii="Times New Roman" w:hAnsi="Times New Roman" w:cs="Times New Roman"/>
            </w:rPr>
            <w:fldChar w:fldCharType="end"/>
          </w:r>
        </w:p>
        <w:p>
          <w:pPr>
            <w:pStyle w:val="13"/>
            <w:tabs>
              <w:tab w:val="right" w:leader="dot" w:pos="8306"/>
            </w:tabs>
            <w:spacing w:line="590" w:lineRule="exact"/>
            <w:ind w:left="0" w:leftChars="0" w:firstLine="640" w:firstLineChars="200"/>
            <w:rPr>
              <w:rFonts w:ascii="Times New Roman" w:hAnsi="Times New Roman" w:cs="Times New Roman"/>
            </w:rPr>
          </w:pPr>
          <w:r>
            <w:fldChar w:fldCharType="begin"/>
          </w:r>
          <w:r>
            <w:instrText xml:space="preserve"> HYPERLINK \l "_Toc15254" </w:instrText>
          </w:r>
          <w:r>
            <w:fldChar w:fldCharType="separate"/>
          </w:r>
          <w:r>
            <w:rPr>
              <w:rFonts w:ascii="Times New Roman" w:hAnsi="Times New Roman" w:cs="Times New Roman"/>
              <w:bCs/>
              <w:kern w:val="0"/>
              <w:szCs w:val="27"/>
            </w:rPr>
            <w:t>6.</w:t>
          </w:r>
          <w:r>
            <w:rPr>
              <w:rFonts w:ascii="Times New Roman" w:hAnsi="Times New Roman" w:cs="Times New Roman"/>
            </w:rPr>
            <w:t>RAG配置与更新</w:t>
          </w:r>
          <w:r>
            <w:rPr>
              <w:rFonts w:ascii="Times New Roman" w:hAnsi="Times New Roman" w:cs="Times New Roman"/>
            </w:rPr>
            <w:tab/>
          </w:r>
          <w:r>
            <w:rPr>
              <w:rFonts w:ascii="Times New Roman" w:hAnsi="Times New Roman" w:cs="Times New Roman"/>
            </w:rPr>
            <w:fldChar w:fldCharType="begin"/>
          </w:r>
          <w:r>
            <w:rPr>
              <w:rFonts w:ascii="Times New Roman" w:hAnsi="Times New Roman" w:cs="Times New Roman"/>
            </w:rPr>
            <w:instrText xml:space="preserve"> PAGEREF _Toc15254 \h </w:instrText>
          </w:r>
          <w:r>
            <w:rPr>
              <w:rFonts w:ascii="Times New Roman" w:hAnsi="Times New Roman" w:cs="Times New Roman"/>
            </w:rPr>
            <w:fldChar w:fldCharType="separate"/>
          </w:r>
          <w:r>
            <w:rPr>
              <w:rFonts w:ascii="Times New Roman" w:hAnsi="Times New Roman" w:cs="Times New Roman"/>
            </w:rPr>
            <w:t>30</w:t>
          </w:r>
          <w:r>
            <w:rPr>
              <w:rFonts w:ascii="Times New Roman" w:hAnsi="Times New Roman" w:cs="Times New Roman"/>
            </w:rPr>
            <w:fldChar w:fldCharType="end"/>
          </w:r>
          <w:r>
            <w:rPr>
              <w:rFonts w:ascii="Times New Roman" w:hAnsi="Times New Roman" w:cs="Times New Roman"/>
            </w:rPr>
            <w:fldChar w:fldCharType="end"/>
          </w:r>
        </w:p>
        <w:p>
          <w:pPr>
            <w:pStyle w:val="21"/>
            <w:tabs>
              <w:tab w:val="right" w:leader="dot" w:pos="8306"/>
            </w:tabs>
            <w:spacing w:line="590" w:lineRule="exact"/>
            <w:ind w:left="0" w:leftChars="0" w:firstLine="640" w:firstLineChars="200"/>
            <w:rPr>
              <w:rFonts w:ascii="Times New Roman" w:hAnsi="Times New Roman" w:cs="Times New Roman"/>
            </w:rPr>
          </w:pPr>
          <w:r>
            <w:fldChar w:fldCharType="begin"/>
          </w:r>
          <w:r>
            <w:instrText xml:space="preserve"> HYPERLINK \l "_Toc16783" </w:instrText>
          </w:r>
          <w:r>
            <w:fldChar w:fldCharType="separate"/>
          </w:r>
          <w:r>
            <w:rPr>
              <w:rFonts w:ascii="Times New Roman" w:hAnsi="Times New Roman" w:cs="Times New Roman"/>
            </w:rPr>
            <w:t>（二）事中运行监控</w:t>
          </w:r>
          <w:r>
            <w:rPr>
              <w:rFonts w:ascii="Times New Roman" w:hAnsi="Times New Roman" w:cs="Times New Roman"/>
            </w:rPr>
            <w:tab/>
          </w:r>
          <w:r>
            <w:rPr>
              <w:rFonts w:ascii="Times New Roman" w:hAnsi="Times New Roman" w:cs="Times New Roman"/>
            </w:rPr>
            <w:fldChar w:fldCharType="begin"/>
          </w:r>
          <w:r>
            <w:rPr>
              <w:rFonts w:ascii="Times New Roman" w:hAnsi="Times New Roman" w:cs="Times New Roman"/>
            </w:rPr>
            <w:instrText xml:space="preserve"> PAGEREF _Toc16783 \h </w:instrText>
          </w:r>
          <w:r>
            <w:rPr>
              <w:rFonts w:ascii="Times New Roman" w:hAnsi="Times New Roman" w:cs="Times New Roman"/>
            </w:rPr>
            <w:fldChar w:fldCharType="separate"/>
          </w:r>
          <w:r>
            <w:rPr>
              <w:rFonts w:ascii="Times New Roman" w:hAnsi="Times New Roman" w:cs="Times New Roman"/>
            </w:rPr>
            <w:t>33</w:t>
          </w:r>
          <w:r>
            <w:rPr>
              <w:rFonts w:ascii="Times New Roman" w:hAnsi="Times New Roman" w:cs="Times New Roman"/>
            </w:rPr>
            <w:fldChar w:fldCharType="end"/>
          </w:r>
          <w:r>
            <w:rPr>
              <w:rFonts w:ascii="Times New Roman" w:hAnsi="Times New Roman" w:cs="Times New Roman"/>
            </w:rPr>
            <w:fldChar w:fldCharType="end"/>
          </w:r>
        </w:p>
        <w:p>
          <w:pPr>
            <w:pStyle w:val="13"/>
            <w:tabs>
              <w:tab w:val="right" w:leader="dot" w:pos="8306"/>
            </w:tabs>
            <w:spacing w:line="590" w:lineRule="exact"/>
            <w:ind w:left="0" w:leftChars="0" w:firstLine="640" w:firstLineChars="200"/>
            <w:rPr>
              <w:rFonts w:ascii="Times New Roman" w:hAnsi="Times New Roman" w:cs="Times New Roman"/>
            </w:rPr>
          </w:pPr>
          <w:r>
            <w:fldChar w:fldCharType="begin"/>
          </w:r>
          <w:r>
            <w:instrText xml:space="preserve"> HYPERLINK \l "_Toc24356" </w:instrText>
          </w:r>
          <w:r>
            <w:fldChar w:fldCharType="separate"/>
          </w:r>
          <w:r>
            <w:rPr>
              <w:rFonts w:ascii="Times New Roman" w:hAnsi="Times New Roman" w:cs="Times New Roman"/>
            </w:rPr>
            <w:t>1.并发与限流机制</w:t>
          </w:r>
          <w:r>
            <w:rPr>
              <w:rFonts w:ascii="Times New Roman" w:hAnsi="Times New Roman" w:cs="Times New Roman"/>
            </w:rPr>
            <w:tab/>
          </w:r>
          <w:r>
            <w:rPr>
              <w:rFonts w:ascii="Times New Roman" w:hAnsi="Times New Roman" w:cs="Times New Roman"/>
            </w:rPr>
            <w:fldChar w:fldCharType="begin"/>
          </w:r>
          <w:r>
            <w:rPr>
              <w:rFonts w:ascii="Times New Roman" w:hAnsi="Times New Roman" w:cs="Times New Roman"/>
            </w:rPr>
            <w:instrText xml:space="preserve"> PAGEREF _Toc24356 \h </w:instrText>
          </w:r>
          <w:r>
            <w:rPr>
              <w:rFonts w:ascii="Times New Roman" w:hAnsi="Times New Roman" w:cs="Times New Roman"/>
            </w:rPr>
            <w:fldChar w:fldCharType="separate"/>
          </w:r>
          <w:r>
            <w:rPr>
              <w:rFonts w:ascii="Times New Roman" w:hAnsi="Times New Roman" w:cs="Times New Roman"/>
            </w:rPr>
            <w:t>33</w:t>
          </w:r>
          <w:r>
            <w:rPr>
              <w:rFonts w:ascii="Times New Roman" w:hAnsi="Times New Roman" w:cs="Times New Roman"/>
            </w:rPr>
            <w:fldChar w:fldCharType="end"/>
          </w:r>
          <w:r>
            <w:rPr>
              <w:rFonts w:ascii="Times New Roman" w:hAnsi="Times New Roman" w:cs="Times New Roman"/>
            </w:rPr>
            <w:fldChar w:fldCharType="end"/>
          </w:r>
        </w:p>
        <w:p>
          <w:pPr>
            <w:pStyle w:val="13"/>
            <w:tabs>
              <w:tab w:val="right" w:leader="dot" w:pos="8306"/>
            </w:tabs>
            <w:spacing w:line="590" w:lineRule="exact"/>
            <w:ind w:left="0" w:leftChars="0" w:firstLine="640" w:firstLineChars="200"/>
            <w:rPr>
              <w:rFonts w:ascii="Times New Roman" w:hAnsi="Times New Roman" w:cs="Times New Roman"/>
            </w:rPr>
          </w:pPr>
          <w:r>
            <w:fldChar w:fldCharType="begin"/>
          </w:r>
          <w:r>
            <w:instrText xml:space="preserve"> HYPERLINK \l "_Toc32656" </w:instrText>
          </w:r>
          <w:r>
            <w:fldChar w:fldCharType="separate"/>
          </w:r>
          <w:r>
            <w:rPr>
              <w:rFonts w:ascii="Times New Roman" w:hAnsi="Times New Roman" w:cs="Times New Roman"/>
            </w:rPr>
            <w:t>2缓存复用与语义拦截</w:t>
          </w:r>
          <w:r>
            <w:rPr>
              <w:rFonts w:ascii="Times New Roman" w:hAnsi="Times New Roman" w:cs="Times New Roman"/>
            </w:rPr>
            <w:tab/>
          </w:r>
          <w:r>
            <w:rPr>
              <w:rFonts w:ascii="Times New Roman" w:hAnsi="Times New Roman" w:cs="Times New Roman"/>
            </w:rPr>
            <w:fldChar w:fldCharType="begin"/>
          </w:r>
          <w:r>
            <w:rPr>
              <w:rFonts w:ascii="Times New Roman" w:hAnsi="Times New Roman" w:cs="Times New Roman"/>
            </w:rPr>
            <w:instrText xml:space="preserve"> PAGEREF _Toc32656 \h </w:instrText>
          </w:r>
          <w:r>
            <w:rPr>
              <w:rFonts w:ascii="Times New Roman" w:hAnsi="Times New Roman" w:cs="Times New Roman"/>
            </w:rPr>
            <w:fldChar w:fldCharType="separate"/>
          </w:r>
          <w:r>
            <w:rPr>
              <w:rFonts w:ascii="Times New Roman" w:hAnsi="Times New Roman" w:cs="Times New Roman"/>
            </w:rPr>
            <w:t>35</w:t>
          </w:r>
          <w:r>
            <w:rPr>
              <w:rFonts w:ascii="Times New Roman" w:hAnsi="Times New Roman" w:cs="Times New Roman"/>
            </w:rPr>
            <w:fldChar w:fldCharType="end"/>
          </w:r>
          <w:r>
            <w:rPr>
              <w:rFonts w:ascii="Times New Roman" w:hAnsi="Times New Roman" w:cs="Times New Roman"/>
            </w:rPr>
            <w:fldChar w:fldCharType="end"/>
          </w:r>
        </w:p>
        <w:p>
          <w:pPr>
            <w:pStyle w:val="13"/>
            <w:tabs>
              <w:tab w:val="right" w:leader="dot" w:pos="8306"/>
            </w:tabs>
            <w:spacing w:line="590" w:lineRule="exact"/>
            <w:ind w:left="0" w:leftChars="0" w:firstLine="640" w:firstLineChars="200"/>
            <w:rPr>
              <w:rFonts w:ascii="Times New Roman" w:hAnsi="Times New Roman" w:cs="Times New Roman"/>
            </w:rPr>
          </w:pPr>
          <w:r>
            <w:fldChar w:fldCharType="begin"/>
          </w:r>
          <w:r>
            <w:instrText xml:space="preserve"> HYPERLINK \l "_Toc17877" </w:instrText>
          </w:r>
          <w:r>
            <w:fldChar w:fldCharType="separate"/>
          </w:r>
          <w:r>
            <w:rPr>
              <w:rFonts w:ascii="Times New Roman" w:hAnsi="Times New Roman" w:cs="Times New Roman"/>
              <w:bCs/>
              <w:kern w:val="0"/>
              <w:szCs w:val="27"/>
            </w:rPr>
            <w:t>3.</w:t>
          </w:r>
          <w:r>
            <w:rPr>
              <w:rFonts w:hint="eastAsia" w:ascii="Times New Roman" w:hAnsi="Times New Roman" w:cs="Times New Roman"/>
              <w:kern w:val="0"/>
              <w:szCs w:val="27"/>
            </w:rPr>
            <w:t>余量调配与扩缩容</w:t>
          </w:r>
          <w:r>
            <w:rPr>
              <w:rFonts w:ascii="Times New Roman" w:hAnsi="Times New Roman" w:cs="Times New Roman"/>
            </w:rPr>
            <w:tab/>
          </w:r>
          <w:r>
            <w:rPr>
              <w:rFonts w:ascii="Times New Roman" w:hAnsi="Times New Roman" w:cs="Times New Roman"/>
            </w:rPr>
            <w:fldChar w:fldCharType="begin"/>
          </w:r>
          <w:r>
            <w:rPr>
              <w:rFonts w:ascii="Times New Roman" w:hAnsi="Times New Roman" w:cs="Times New Roman"/>
            </w:rPr>
            <w:instrText xml:space="preserve"> PAGEREF _Toc17877 \h </w:instrText>
          </w:r>
          <w:r>
            <w:rPr>
              <w:rFonts w:ascii="Times New Roman" w:hAnsi="Times New Roman" w:cs="Times New Roman"/>
            </w:rPr>
            <w:fldChar w:fldCharType="separate"/>
          </w:r>
          <w:r>
            <w:rPr>
              <w:rFonts w:ascii="Times New Roman" w:hAnsi="Times New Roman" w:cs="Times New Roman"/>
            </w:rPr>
            <w:t>37</w:t>
          </w:r>
          <w:r>
            <w:rPr>
              <w:rFonts w:ascii="Times New Roman" w:hAnsi="Times New Roman" w:cs="Times New Roman"/>
            </w:rPr>
            <w:fldChar w:fldCharType="end"/>
          </w:r>
          <w:r>
            <w:rPr>
              <w:rFonts w:ascii="Times New Roman" w:hAnsi="Times New Roman" w:cs="Times New Roman"/>
            </w:rPr>
            <w:fldChar w:fldCharType="end"/>
          </w:r>
        </w:p>
        <w:p>
          <w:pPr>
            <w:pStyle w:val="13"/>
            <w:tabs>
              <w:tab w:val="right" w:leader="dot" w:pos="8306"/>
            </w:tabs>
            <w:spacing w:line="590" w:lineRule="exact"/>
            <w:ind w:left="0" w:leftChars="0" w:firstLine="640" w:firstLineChars="200"/>
            <w:rPr>
              <w:rFonts w:ascii="Times New Roman" w:hAnsi="Times New Roman" w:cs="Times New Roman"/>
            </w:rPr>
          </w:pPr>
          <w:r>
            <w:fldChar w:fldCharType="begin"/>
          </w:r>
          <w:r>
            <w:instrText xml:space="preserve"> HYPERLINK \l "_Toc8698" </w:instrText>
          </w:r>
          <w:r>
            <w:fldChar w:fldCharType="separate"/>
          </w:r>
          <w:r>
            <w:rPr>
              <w:rFonts w:ascii="Times New Roman" w:hAnsi="Times New Roman" w:cs="Times New Roman"/>
            </w:rPr>
            <w:t>4.数据合规与脱敏</w:t>
          </w:r>
          <w:r>
            <w:rPr>
              <w:rFonts w:ascii="Times New Roman" w:hAnsi="Times New Roman" w:cs="Times New Roman"/>
            </w:rPr>
            <w:tab/>
          </w:r>
          <w:r>
            <w:rPr>
              <w:rFonts w:ascii="Times New Roman" w:hAnsi="Times New Roman" w:cs="Times New Roman"/>
            </w:rPr>
            <w:fldChar w:fldCharType="begin"/>
          </w:r>
          <w:r>
            <w:rPr>
              <w:rFonts w:ascii="Times New Roman" w:hAnsi="Times New Roman" w:cs="Times New Roman"/>
            </w:rPr>
            <w:instrText xml:space="preserve"> PAGEREF _Toc8698 \h </w:instrText>
          </w:r>
          <w:r>
            <w:rPr>
              <w:rFonts w:ascii="Times New Roman" w:hAnsi="Times New Roman" w:cs="Times New Roman"/>
            </w:rPr>
            <w:fldChar w:fldCharType="separate"/>
          </w:r>
          <w:r>
            <w:rPr>
              <w:rFonts w:ascii="Times New Roman" w:hAnsi="Times New Roman" w:cs="Times New Roman"/>
            </w:rPr>
            <w:t>39</w:t>
          </w:r>
          <w:r>
            <w:rPr>
              <w:rFonts w:ascii="Times New Roman" w:hAnsi="Times New Roman" w:cs="Times New Roman"/>
            </w:rPr>
            <w:fldChar w:fldCharType="end"/>
          </w:r>
          <w:r>
            <w:rPr>
              <w:rFonts w:ascii="Times New Roman" w:hAnsi="Times New Roman" w:cs="Times New Roman"/>
            </w:rPr>
            <w:fldChar w:fldCharType="end"/>
          </w:r>
        </w:p>
        <w:p>
          <w:pPr>
            <w:pStyle w:val="13"/>
            <w:tabs>
              <w:tab w:val="right" w:leader="dot" w:pos="8306"/>
            </w:tabs>
            <w:spacing w:line="590" w:lineRule="exact"/>
            <w:ind w:left="0" w:leftChars="0" w:firstLine="640" w:firstLineChars="200"/>
            <w:rPr>
              <w:rFonts w:ascii="Times New Roman" w:hAnsi="Times New Roman" w:cs="Times New Roman"/>
            </w:rPr>
          </w:pPr>
          <w:r>
            <w:fldChar w:fldCharType="begin"/>
          </w:r>
          <w:r>
            <w:instrText xml:space="preserve"> HYPERLINK \l "_Toc25315" </w:instrText>
          </w:r>
          <w:r>
            <w:fldChar w:fldCharType="separate"/>
          </w:r>
          <w:r>
            <w:rPr>
              <w:rFonts w:ascii="Times New Roman" w:hAnsi="Times New Roman" w:cs="Times New Roman"/>
            </w:rPr>
            <w:t>5.实时监控与审计</w:t>
          </w:r>
          <w:r>
            <w:rPr>
              <w:rFonts w:ascii="Times New Roman" w:hAnsi="Times New Roman" w:cs="Times New Roman"/>
            </w:rPr>
            <w:tab/>
          </w:r>
          <w:r>
            <w:rPr>
              <w:rFonts w:ascii="Times New Roman" w:hAnsi="Times New Roman" w:cs="Times New Roman"/>
            </w:rPr>
            <w:fldChar w:fldCharType="begin"/>
          </w:r>
          <w:r>
            <w:rPr>
              <w:rFonts w:ascii="Times New Roman" w:hAnsi="Times New Roman" w:cs="Times New Roman"/>
            </w:rPr>
            <w:instrText xml:space="preserve"> PAGEREF _Toc25315 \h </w:instrText>
          </w:r>
          <w:r>
            <w:rPr>
              <w:rFonts w:ascii="Times New Roman" w:hAnsi="Times New Roman" w:cs="Times New Roman"/>
            </w:rPr>
            <w:fldChar w:fldCharType="separate"/>
          </w:r>
          <w:r>
            <w:rPr>
              <w:rFonts w:ascii="Times New Roman" w:hAnsi="Times New Roman" w:cs="Times New Roman"/>
            </w:rPr>
            <w:t>45</w:t>
          </w:r>
          <w:r>
            <w:rPr>
              <w:rFonts w:ascii="Times New Roman" w:hAnsi="Times New Roman" w:cs="Times New Roman"/>
            </w:rPr>
            <w:fldChar w:fldCharType="end"/>
          </w:r>
          <w:r>
            <w:rPr>
              <w:rFonts w:ascii="Times New Roman" w:hAnsi="Times New Roman" w:cs="Times New Roman"/>
            </w:rPr>
            <w:fldChar w:fldCharType="end"/>
          </w:r>
        </w:p>
        <w:p>
          <w:pPr>
            <w:pStyle w:val="13"/>
            <w:tabs>
              <w:tab w:val="right" w:leader="dot" w:pos="8306"/>
            </w:tabs>
            <w:spacing w:line="590" w:lineRule="exact"/>
            <w:ind w:left="0" w:leftChars="0" w:firstLine="640" w:firstLineChars="200"/>
            <w:rPr>
              <w:rFonts w:ascii="Times New Roman" w:hAnsi="Times New Roman" w:cs="Times New Roman"/>
            </w:rPr>
          </w:pPr>
          <w:r>
            <w:fldChar w:fldCharType="begin"/>
          </w:r>
          <w:r>
            <w:instrText xml:space="preserve"> HYPERLINK \l "_Toc14737" </w:instrText>
          </w:r>
          <w:r>
            <w:fldChar w:fldCharType="separate"/>
          </w:r>
          <w:r>
            <w:rPr>
              <w:rFonts w:ascii="Times New Roman" w:hAnsi="Times New Roman" w:cs="Times New Roman"/>
            </w:rPr>
            <w:t>6.人工介入与兜底</w:t>
          </w:r>
          <w:r>
            <w:rPr>
              <w:rFonts w:ascii="Times New Roman" w:hAnsi="Times New Roman" w:cs="Times New Roman"/>
            </w:rPr>
            <w:tab/>
          </w:r>
          <w:r>
            <w:rPr>
              <w:rFonts w:ascii="Times New Roman" w:hAnsi="Times New Roman" w:cs="Times New Roman"/>
            </w:rPr>
            <w:fldChar w:fldCharType="begin"/>
          </w:r>
          <w:r>
            <w:rPr>
              <w:rFonts w:ascii="Times New Roman" w:hAnsi="Times New Roman" w:cs="Times New Roman"/>
            </w:rPr>
            <w:instrText xml:space="preserve"> PAGEREF _Toc14737 \h </w:instrText>
          </w:r>
          <w:r>
            <w:rPr>
              <w:rFonts w:ascii="Times New Roman" w:hAnsi="Times New Roman" w:cs="Times New Roman"/>
            </w:rPr>
            <w:fldChar w:fldCharType="separate"/>
          </w:r>
          <w:r>
            <w:rPr>
              <w:rFonts w:ascii="Times New Roman" w:hAnsi="Times New Roman" w:cs="Times New Roman"/>
            </w:rPr>
            <w:t>47</w:t>
          </w:r>
          <w:r>
            <w:rPr>
              <w:rFonts w:ascii="Times New Roman" w:hAnsi="Times New Roman" w:cs="Times New Roman"/>
            </w:rPr>
            <w:fldChar w:fldCharType="end"/>
          </w:r>
          <w:r>
            <w:rPr>
              <w:rFonts w:ascii="Times New Roman" w:hAnsi="Times New Roman" w:cs="Times New Roman"/>
            </w:rPr>
            <w:fldChar w:fldCharType="end"/>
          </w:r>
        </w:p>
        <w:p>
          <w:pPr>
            <w:pStyle w:val="21"/>
            <w:tabs>
              <w:tab w:val="right" w:leader="dot" w:pos="8306"/>
            </w:tabs>
            <w:spacing w:line="590" w:lineRule="exact"/>
            <w:ind w:left="0" w:leftChars="0" w:firstLine="640" w:firstLineChars="200"/>
            <w:rPr>
              <w:rFonts w:ascii="Times New Roman" w:hAnsi="Times New Roman" w:cs="Times New Roman"/>
            </w:rPr>
          </w:pPr>
          <w:r>
            <w:fldChar w:fldCharType="begin"/>
          </w:r>
          <w:r>
            <w:instrText xml:space="preserve"> HYPERLINK \l "_Toc23803" </w:instrText>
          </w:r>
          <w:r>
            <w:fldChar w:fldCharType="separate"/>
          </w:r>
          <w:r>
            <w:rPr>
              <w:rFonts w:ascii="Times New Roman" w:hAnsi="Times New Roman" w:cs="Times New Roman"/>
            </w:rPr>
            <w:t>（三）事后复盘优化</w:t>
          </w:r>
          <w:r>
            <w:rPr>
              <w:rFonts w:ascii="Times New Roman" w:hAnsi="Times New Roman" w:cs="Times New Roman"/>
            </w:rPr>
            <w:tab/>
          </w:r>
          <w:r>
            <w:rPr>
              <w:rFonts w:ascii="Times New Roman" w:hAnsi="Times New Roman" w:cs="Times New Roman"/>
            </w:rPr>
            <w:fldChar w:fldCharType="begin"/>
          </w:r>
          <w:r>
            <w:rPr>
              <w:rFonts w:ascii="Times New Roman" w:hAnsi="Times New Roman" w:cs="Times New Roman"/>
            </w:rPr>
            <w:instrText xml:space="preserve"> PAGEREF _Toc23803 \h </w:instrText>
          </w:r>
          <w:r>
            <w:rPr>
              <w:rFonts w:ascii="Times New Roman" w:hAnsi="Times New Roman" w:cs="Times New Roman"/>
            </w:rPr>
            <w:fldChar w:fldCharType="separate"/>
          </w:r>
          <w:r>
            <w:rPr>
              <w:rFonts w:ascii="Times New Roman" w:hAnsi="Times New Roman" w:cs="Times New Roman"/>
            </w:rPr>
            <w:t>49</w:t>
          </w:r>
          <w:r>
            <w:rPr>
              <w:rFonts w:ascii="Times New Roman" w:hAnsi="Times New Roman" w:cs="Times New Roman"/>
            </w:rPr>
            <w:fldChar w:fldCharType="end"/>
          </w:r>
          <w:r>
            <w:rPr>
              <w:rFonts w:ascii="Times New Roman" w:hAnsi="Times New Roman" w:cs="Times New Roman"/>
            </w:rPr>
            <w:fldChar w:fldCharType="end"/>
          </w:r>
        </w:p>
        <w:p>
          <w:pPr>
            <w:pStyle w:val="13"/>
            <w:tabs>
              <w:tab w:val="right" w:leader="dot" w:pos="8306"/>
            </w:tabs>
            <w:spacing w:line="590" w:lineRule="exact"/>
            <w:ind w:left="0" w:leftChars="0" w:firstLine="640" w:firstLineChars="200"/>
            <w:rPr>
              <w:rFonts w:ascii="Times New Roman" w:hAnsi="Times New Roman" w:cs="Times New Roman"/>
            </w:rPr>
          </w:pPr>
          <w:r>
            <w:fldChar w:fldCharType="begin"/>
          </w:r>
          <w:r>
            <w:instrText xml:space="preserve"> HYPERLINK \l "_Toc24910" </w:instrText>
          </w:r>
          <w:r>
            <w:fldChar w:fldCharType="separate"/>
          </w:r>
          <w:r>
            <w:rPr>
              <w:rFonts w:hint="eastAsia" w:ascii="Times New Roman" w:hAnsi="Times New Roman" w:cs="Times New Roman"/>
              <w:bCs/>
              <w:kern w:val="0"/>
              <w:szCs w:val="32"/>
            </w:rPr>
            <w:t>1.</w:t>
          </w:r>
          <w:r>
            <w:rPr>
              <w:rFonts w:hint="eastAsia" w:ascii="Times New Roman" w:hAnsi="Times New Roman" w:cs="Times New Roman"/>
              <w:szCs w:val="32"/>
            </w:rPr>
            <w:t>精细化账单归因</w:t>
          </w:r>
          <w:r>
            <w:rPr>
              <w:rFonts w:ascii="Times New Roman" w:hAnsi="Times New Roman" w:cs="Times New Roman"/>
            </w:rPr>
            <w:tab/>
          </w:r>
          <w:r>
            <w:rPr>
              <w:rFonts w:ascii="Times New Roman" w:hAnsi="Times New Roman" w:cs="Times New Roman"/>
            </w:rPr>
            <w:fldChar w:fldCharType="begin"/>
          </w:r>
          <w:r>
            <w:rPr>
              <w:rFonts w:ascii="Times New Roman" w:hAnsi="Times New Roman" w:cs="Times New Roman"/>
            </w:rPr>
            <w:instrText xml:space="preserve"> PAGEREF _Toc24910 \h </w:instrText>
          </w:r>
          <w:r>
            <w:rPr>
              <w:rFonts w:ascii="Times New Roman" w:hAnsi="Times New Roman" w:cs="Times New Roman"/>
            </w:rPr>
            <w:fldChar w:fldCharType="separate"/>
          </w:r>
          <w:r>
            <w:rPr>
              <w:rFonts w:ascii="Times New Roman" w:hAnsi="Times New Roman" w:cs="Times New Roman"/>
            </w:rPr>
            <w:t>49</w:t>
          </w:r>
          <w:r>
            <w:rPr>
              <w:rFonts w:ascii="Times New Roman" w:hAnsi="Times New Roman" w:cs="Times New Roman"/>
            </w:rPr>
            <w:fldChar w:fldCharType="end"/>
          </w:r>
          <w:r>
            <w:rPr>
              <w:rFonts w:ascii="Times New Roman" w:hAnsi="Times New Roman" w:cs="Times New Roman"/>
            </w:rPr>
            <w:fldChar w:fldCharType="end"/>
          </w:r>
        </w:p>
        <w:p>
          <w:pPr>
            <w:pStyle w:val="13"/>
            <w:tabs>
              <w:tab w:val="right" w:leader="dot" w:pos="8306"/>
            </w:tabs>
            <w:spacing w:line="590" w:lineRule="exact"/>
            <w:ind w:left="0" w:leftChars="0" w:firstLine="640" w:firstLineChars="200"/>
            <w:rPr>
              <w:rFonts w:ascii="Times New Roman" w:hAnsi="Times New Roman" w:cs="Times New Roman"/>
            </w:rPr>
          </w:pPr>
          <w:r>
            <w:fldChar w:fldCharType="begin"/>
          </w:r>
          <w:r>
            <w:instrText xml:space="preserve"> HYPERLINK \l "_Toc6606" </w:instrText>
          </w:r>
          <w:r>
            <w:fldChar w:fldCharType="separate"/>
          </w:r>
          <w:r>
            <w:rPr>
              <w:rFonts w:ascii="Times New Roman" w:hAnsi="Times New Roman" w:cs="Times New Roman"/>
              <w:szCs w:val="32"/>
            </w:rPr>
            <w:t>2.综合效能评估</w:t>
          </w:r>
          <w:r>
            <w:rPr>
              <w:rFonts w:ascii="Times New Roman" w:hAnsi="Times New Roman" w:cs="Times New Roman"/>
            </w:rPr>
            <w:tab/>
          </w:r>
          <w:r>
            <w:rPr>
              <w:rFonts w:ascii="Times New Roman" w:hAnsi="Times New Roman" w:cs="Times New Roman"/>
            </w:rPr>
            <w:fldChar w:fldCharType="begin"/>
          </w:r>
          <w:r>
            <w:rPr>
              <w:rFonts w:ascii="Times New Roman" w:hAnsi="Times New Roman" w:cs="Times New Roman"/>
            </w:rPr>
            <w:instrText xml:space="preserve"> PAGEREF _Toc6606 \h </w:instrText>
          </w:r>
          <w:r>
            <w:rPr>
              <w:rFonts w:ascii="Times New Roman" w:hAnsi="Times New Roman" w:cs="Times New Roman"/>
            </w:rPr>
            <w:fldChar w:fldCharType="separate"/>
          </w:r>
          <w:r>
            <w:rPr>
              <w:rFonts w:ascii="Times New Roman" w:hAnsi="Times New Roman" w:cs="Times New Roman"/>
            </w:rPr>
            <w:t>50</w:t>
          </w:r>
          <w:r>
            <w:rPr>
              <w:rFonts w:ascii="Times New Roman" w:hAnsi="Times New Roman" w:cs="Times New Roman"/>
            </w:rPr>
            <w:fldChar w:fldCharType="end"/>
          </w:r>
          <w:r>
            <w:rPr>
              <w:rFonts w:ascii="Times New Roman" w:hAnsi="Times New Roman" w:cs="Times New Roman"/>
            </w:rPr>
            <w:fldChar w:fldCharType="end"/>
          </w:r>
        </w:p>
        <w:p>
          <w:pPr>
            <w:pStyle w:val="18"/>
            <w:tabs>
              <w:tab w:val="right" w:leader="dot" w:pos="8306"/>
            </w:tabs>
            <w:spacing w:line="590" w:lineRule="exact"/>
            <w:rPr>
              <w:rFonts w:ascii="Times New Roman" w:hAnsi="Times New Roman" w:cs="Times New Roman"/>
            </w:rPr>
          </w:pPr>
          <w:r>
            <w:fldChar w:fldCharType="begin"/>
          </w:r>
          <w:r>
            <w:instrText xml:space="preserve"> HYPERLINK \l "_Toc11350" </w:instrText>
          </w:r>
          <w:r>
            <w:fldChar w:fldCharType="separate"/>
          </w:r>
          <w:r>
            <w:rPr>
              <w:rFonts w:ascii="Times New Roman" w:hAnsi="Times New Roman" w:cs="Times New Roman"/>
            </w:rPr>
            <w:t>三、基于业务特征的Token管理侧重点</w:t>
          </w:r>
          <w:r>
            <w:rPr>
              <w:rFonts w:ascii="Times New Roman" w:hAnsi="Times New Roman" w:cs="Times New Roman"/>
            </w:rPr>
            <w:tab/>
          </w:r>
          <w:r>
            <w:rPr>
              <w:rFonts w:ascii="Times New Roman" w:hAnsi="Times New Roman" w:cs="Times New Roman"/>
            </w:rPr>
            <w:fldChar w:fldCharType="begin"/>
          </w:r>
          <w:r>
            <w:rPr>
              <w:rFonts w:ascii="Times New Roman" w:hAnsi="Times New Roman" w:cs="Times New Roman"/>
            </w:rPr>
            <w:instrText xml:space="preserve"> PAGEREF _Toc11350 \h </w:instrText>
          </w:r>
          <w:r>
            <w:rPr>
              <w:rFonts w:ascii="Times New Roman" w:hAnsi="Times New Roman" w:cs="Times New Roman"/>
            </w:rPr>
            <w:fldChar w:fldCharType="separate"/>
          </w:r>
          <w:r>
            <w:rPr>
              <w:rFonts w:ascii="Times New Roman" w:hAnsi="Times New Roman" w:cs="Times New Roman"/>
            </w:rPr>
            <w:t>53</w:t>
          </w:r>
          <w:r>
            <w:rPr>
              <w:rFonts w:ascii="Times New Roman" w:hAnsi="Times New Roman" w:cs="Times New Roman"/>
            </w:rPr>
            <w:fldChar w:fldCharType="end"/>
          </w:r>
          <w:r>
            <w:rPr>
              <w:rFonts w:ascii="Times New Roman" w:hAnsi="Times New Roman" w:cs="Times New Roman"/>
            </w:rPr>
            <w:fldChar w:fldCharType="end"/>
          </w:r>
        </w:p>
        <w:p>
          <w:pPr>
            <w:pStyle w:val="21"/>
            <w:tabs>
              <w:tab w:val="right" w:leader="dot" w:pos="8306"/>
            </w:tabs>
            <w:spacing w:line="590" w:lineRule="exact"/>
            <w:ind w:left="0" w:leftChars="0" w:firstLine="640" w:firstLineChars="200"/>
            <w:rPr>
              <w:rFonts w:ascii="Times New Roman" w:hAnsi="Times New Roman" w:cs="Times New Roman"/>
            </w:rPr>
          </w:pPr>
          <w:r>
            <w:fldChar w:fldCharType="begin"/>
          </w:r>
          <w:r>
            <w:instrText xml:space="preserve"> HYPERLINK \l "_Toc23385" </w:instrText>
          </w:r>
          <w:r>
            <w:fldChar w:fldCharType="separate"/>
          </w:r>
          <w:r>
            <w:rPr>
              <w:rFonts w:ascii="Times New Roman" w:hAnsi="Times New Roman" w:cs="Times New Roman"/>
              <w:bCs/>
              <w:szCs w:val="32"/>
            </w:rPr>
            <w:t>（一）生产刚性类</w:t>
          </w:r>
          <w:r>
            <w:rPr>
              <w:rFonts w:ascii="Times New Roman" w:hAnsi="Times New Roman" w:cs="Times New Roman"/>
            </w:rPr>
            <w:tab/>
          </w:r>
          <w:r>
            <w:rPr>
              <w:rFonts w:ascii="Times New Roman" w:hAnsi="Times New Roman" w:cs="Times New Roman"/>
            </w:rPr>
            <w:fldChar w:fldCharType="begin"/>
          </w:r>
          <w:r>
            <w:rPr>
              <w:rFonts w:ascii="Times New Roman" w:hAnsi="Times New Roman" w:cs="Times New Roman"/>
            </w:rPr>
            <w:instrText xml:space="preserve"> PAGEREF _Toc23385 \h </w:instrText>
          </w:r>
          <w:r>
            <w:rPr>
              <w:rFonts w:ascii="Times New Roman" w:hAnsi="Times New Roman" w:cs="Times New Roman"/>
            </w:rPr>
            <w:fldChar w:fldCharType="separate"/>
          </w:r>
          <w:r>
            <w:rPr>
              <w:rFonts w:ascii="Times New Roman" w:hAnsi="Times New Roman" w:cs="Times New Roman"/>
            </w:rPr>
            <w:t>54</w:t>
          </w:r>
          <w:r>
            <w:rPr>
              <w:rFonts w:ascii="Times New Roman" w:hAnsi="Times New Roman" w:cs="Times New Roman"/>
            </w:rPr>
            <w:fldChar w:fldCharType="end"/>
          </w:r>
          <w:r>
            <w:rPr>
              <w:rFonts w:ascii="Times New Roman" w:hAnsi="Times New Roman" w:cs="Times New Roman"/>
            </w:rPr>
            <w:fldChar w:fldCharType="end"/>
          </w:r>
        </w:p>
        <w:p>
          <w:pPr>
            <w:pStyle w:val="13"/>
            <w:tabs>
              <w:tab w:val="right" w:leader="dot" w:pos="8306"/>
            </w:tabs>
            <w:spacing w:line="590" w:lineRule="exact"/>
            <w:ind w:left="0" w:leftChars="0" w:firstLine="640" w:firstLineChars="200"/>
            <w:rPr>
              <w:rFonts w:ascii="Times New Roman" w:hAnsi="Times New Roman" w:cs="Times New Roman"/>
            </w:rPr>
          </w:pPr>
          <w:r>
            <w:fldChar w:fldCharType="begin"/>
          </w:r>
          <w:r>
            <w:instrText xml:space="preserve"> HYPERLINK \l "_Toc2670" </w:instrText>
          </w:r>
          <w:r>
            <w:fldChar w:fldCharType="separate"/>
          </w:r>
          <w:r>
            <w:rPr>
              <w:rFonts w:ascii="Times New Roman" w:hAnsi="Times New Roman" w:cs="Times New Roman"/>
            </w:rPr>
            <w:t>1.在线智能检测</w:t>
          </w:r>
          <w:r>
            <w:rPr>
              <w:rFonts w:ascii="Times New Roman" w:hAnsi="Times New Roman" w:cs="Times New Roman"/>
            </w:rPr>
            <w:tab/>
          </w:r>
          <w:r>
            <w:rPr>
              <w:rFonts w:ascii="Times New Roman" w:hAnsi="Times New Roman" w:cs="Times New Roman"/>
            </w:rPr>
            <w:fldChar w:fldCharType="begin"/>
          </w:r>
          <w:r>
            <w:rPr>
              <w:rFonts w:ascii="Times New Roman" w:hAnsi="Times New Roman" w:cs="Times New Roman"/>
            </w:rPr>
            <w:instrText xml:space="preserve"> PAGEREF _Toc2670 \h </w:instrText>
          </w:r>
          <w:r>
            <w:rPr>
              <w:rFonts w:ascii="Times New Roman" w:hAnsi="Times New Roman" w:cs="Times New Roman"/>
            </w:rPr>
            <w:fldChar w:fldCharType="separate"/>
          </w:r>
          <w:r>
            <w:rPr>
              <w:rFonts w:ascii="Times New Roman" w:hAnsi="Times New Roman" w:cs="Times New Roman"/>
            </w:rPr>
            <w:t>54</w:t>
          </w:r>
          <w:r>
            <w:rPr>
              <w:rFonts w:ascii="Times New Roman" w:hAnsi="Times New Roman" w:cs="Times New Roman"/>
            </w:rPr>
            <w:fldChar w:fldCharType="end"/>
          </w:r>
          <w:r>
            <w:rPr>
              <w:rFonts w:ascii="Times New Roman" w:hAnsi="Times New Roman" w:cs="Times New Roman"/>
            </w:rPr>
            <w:fldChar w:fldCharType="end"/>
          </w:r>
        </w:p>
        <w:p>
          <w:pPr>
            <w:pStyle w:val="13"/>
            <w:tabs>
              <w:tab w:val="right" w:leader="dot" w:pos="8306"/>
            </w:tabs>
            <w:spacing w:line="590" w:lineRule="exact"/>
            <w:ind w:left="0" w:leftChars="0" w:firstLine="640" w:firstLineChars="200"/>
            <w:rPr>
              <w:rFonts w:ascii="Times New Roman" w:hAnsi="Times New Roman" w:cs="Times New Roman"/>
            </w:rPr>
          </w:pPr>
          <w:r>
            <w:fldChar w:fldCharType="begin"/>
          </w:r>
          <w:r>
            <w:instrText xml:space="preserve"> HYPERLINK \l "_Toc14595" </w:instrText>
          </w:r>
          <w:r>
            <w:fldChar w:fldCharType="separate"/>
          </w:r>
          <w:r>
            <w:rPr>
              <w:rFonts w:ascii="Times New Roman" w:hAnsi="Times New Roman" w:cs="Times New Roman"/>
            </w:rPr>
            <w:t>2.设备运行监控与维护</w:t>
          </w:r>
          <w:r>
            <w:rPr>
              <w:rFonts w:ascii="Times New Roman" w:hAnsi="Times New Roman" w:cs="Times New Roman"/>
            </w:rPr>
            <w:tab/>
          </w:r>
          <w:r>
            <w:rPr>
              <w:rFonts w:ascii="Times New Roman" w:hAnsi="Times New Roman" w:cs="Times New Roman"/>
            </w:rPr>
            <w:fldChar w:fldCharType="begin"/>
          </w:r>
          <w:r>
            <w:rPr>
              <w:rFonts w:ascii="Times New Roman" w:hAnsi="Times New Roman" w:cs="Times New Roman"/>
            </w:rPr>
            <w:instrText xml:space="preserve"> PAGEREF _Toc14595 \h </w:instrText>
          </w:r>
          <w:r>
            <w:rPr>
              <w:rFonts w:ascii="Times New Roman" w:hAnsi="Times New Roman" w:cs="Times New Roman"/>
            </w:rPr>
            <w:fldChar w:fldCharType="separate"/>
          </w:r>
          <w:r>
            <w:rPr>
              <w:rFonts w:ascii="Times New Roman" w:hAnsi="Times New Roman" w:cs="Times New Roman"/>
            </w:rPr>
            <w:t>57</w:t>
          </w:r>
          <w:r>
            <w:rPr>
              <w:rFonts w:ascii="Times New Roman" w:hAnsi="Times New Roman" w:cs="Times New Roman"/>
            </w:rPr>
            <w:fldChar w:fldCharType="end"/>
          </w:r>
          <w:r>
            <w:rPr>
              <w:rFonts w:ascii="Times New Roman" w:hAnsi="Times New Roman" w:cs="Times New Roman"/>
            </w:rPr>
            <w:fldChar w:fldCharType="end"/>
          </w:r>
        </w:p>
        <w:p>
          <w:pPr>
            <w:pStyle w:val="13"/>
            <w:tabs>
              <w:tab w:val="right" w:leader="dot" w:pos="8306"/>
            </w:tabs>
            <w:spacing w:line="590" w:lineRule="exact"/>
            <w:ind w:left="0" w:leftChars="0" w:firstLine="640" w:firstLineChars="200"/>
            <w:rPr>
              <w:rFonts w:ascii="Times New Roman" w:hAnsi="Times New Roman" w:cs="Times New Roman"/>
            </w:rPr>
          </w:pPr>
          <w:r>
            <w:fldChar w:fldCharType="begin"/>
          </w:r>
          <w:r>
            <w:instrText xml:space="preserve"> HYPERLINK \l "_Toc26933" </w:instrText>
          </w:r>
          <w:r>
            <w:fldChar w:fldCharType="separate"/>
          </w:r>
          <w:r>
            <w:rPr>
              <w:rFonts w:ascii="Times New Roman" w:hAnsi="Times New Roman" w:cs="Times New Roman"/>
            </w:rPr>
            <w:t>3.危险作业自动化</w:t>
          </w:r>
          <w:r>
            <w:rPr>
              <w:rFonts w:ascii="Times New Roman" w:hAnsi="Times New Roman" w:cs="Times New Roman"/>
            </w:rPr>
            <w:tab/>
          </w:r>
          <w:r>
            <w:rPr>
              <w:rFonts w:ascii="Times New Roman" w:hAnsi="Times New Roman" w:cs="Times New Roman"/>
            </w:rPr>
            <w:fldChar w:fldCharType="begin"/>
          </w:r>
          <w:r>
            <w:rPr>
              <w:rFonts w:ascii="Times New Roman" w:hAnsi="Times New Roman" w:cs="Times New Roman"/>
            </w:rPr>
            <w:instrText xml:space="preserve"> PAGEREF _Toc26933 \h </w:instrText>
          </w:r>
          <w:r>
            <w:rPr>
              <w:rFonts w:ascii="Times New Roman" w:hAnsi="Times New Roman" w:cs="Times New Roman"/>
            </w:rPr>
            <w:fldChar w:fldCharType="separate"/>
          </w:r>
          <w:r>
            <w:rPr>
              <w:rFonts w:ascii="Times New Roman" w:hAnsi="Times New Roman" w:cs="Times New Roman"/>
            </w:rPr>
            <w:t>60</w:t>
          </w:r>
          <w:r>
            <w:rPr>
              <w:rFonts w:ascii="Times New Roman" w:hAnsi="Times New Roman" w:cs="Times New Roman"/>
            </w:rPr>
            <w:fldChar w:fldCharType="end"/>
          </w:r>
          <w:r>
            <w:rPr>
              <w:rFonts w:ascii="Times New Roman" w:hAnsi="Times New Roman" w:cs="Times New Roman"/>
            </w:rPr>
            <w:fldChar w:fldCharType="end"/>
          </w:r>
        </w:p>
        <w:p>
          <w:pPr>
            <w:pStyle w:val="13"/>
            <w:tabs>
              <w:tab w:val="right" w:leader="dot" w:pos="8306"/>
            </w:tabs>
            <w:spacing w:line="590" w:lineRule="exact"/>
            <w:ind w:left="0" w:leftChars="0" w:firstLine="640" w:firstLineChars="200"/>
            <w:rPr>
              <w:rFonts w:ascii="Times New Roman" w:hAnsi="Times New Roman" w:cs="Times New Roman"/>
            </w:rPr>
          </w:pPr>
          <w:r>
            <w:fldChar w:fldCharType="begin"/>
          </w:r>
          <w:r>
            <w:instrText xml:space="preserve"> HYPERLINK \l "_Toc5758" </w:instrText>
          </w:r>
          <w:r>
            <w:fldChar w:fldCharType="separate"/>
          </w:r>
          <w:r>
            <w:rPr>
              <w:rFonts w:ascii="Times New Roman" w:hAnsi="Times New Roman" w:cs="Times New Roman"/>
            </w:rPr>
            <w:t>4.安全一体化管控</w:t>
          </w:r>
          <w:r>
            <w:rPr>
              <w:rFonts w:ascii="Times New Roman" w:hAnsi="Times New Roman" w:cs="Times New Roman"/>
            </w:rPr>
            <w:tab/>
          </w:r>
          <w:r>
            <w:rPr>
              <w:rFonts w:ascii="Times New Roman" w:hAnsi="Times New Roman" w:cs="Times New Roman"/>
            </w:rPr>
            <w:fldChar w:fldCharType="begin"/>
          </w:r>
          <w:r>
            <w:rPr>
              <w:rFonts w:ascii="Times New Roman" w:hAnsi="Times New Roman" w:cs="Times New Roman"/>
            </w:rPr>
            <w:instrText xml:space="preserve"> PAGEREF _Toc5758 \h </w:instrText>
          </w:r>
          <w:r>
            <w:rPr>
              <w:rFonts w:ascii="Times New Roman" w:hAnsi="Times New Roman" w:cs="Times New Roman"/>
            </w:rPr>
            <w:fldChar w:fldCharType="separate"/>
          </w:r>
          <w:r>
            <w:rPr>
              <w:rFonts w:ascii="Times New Roman" w:hAnsi="Times New Roman" w:cs="Times New Roman"/>
            </w:rPr>
            <w:t>61</w:t>
          </w:r>
          <w:r>
            <w:rPr>
              <w:rFonts w:ascii="Times New Roman" w:hAnsi="Times New Roman" w:cs="Times New Roman"/>
            </w:rPr>
            <w:fldChar w:fldCharType="end"/>
          </w:r>
          <w:r>
            <w:rPr>
              <w:rFonts w:ascii="Times New Roman" w:hAnsi="Times New Roman" w:cs="Times New Roman"/>
            </w:rPr>
            <w:fldChar w:fldCharType="end"/>
          </w:r>
        </w:p>
        <w:p>
          <w:pPr>
            <w:pStyle w:val="21"/>
            <w:tabs>
              <w:tab w:val="right" w:leader="dot" w:pos="8306"/>
            </w:tabs>
            <w:spacing w:line="590" w:lineRule="exact"/>
            <w:ind w:left="0" w:leftChars="0" w:firstLine="640" w:firstLineChars="200"/>
            <w:rPr>
              <w:rFonts w:ascii="Times New Roman" w:hAnsi="Times New Roman" w:cs="Times New Roman"/>
            </w:rPr>
          </w:pPr>
          <w:r>
            <w:fldChar w:fldCharType="begin"/>
          </w:r>
          <w:r>
            <w:instrText xml:space="preserve"> HYPERLINK \l "_Toc16376" </w:instrText>
          </w:r>
          <w:r>
            <w:fldChar w:fldCharType="separate"/>
          </w:r>
          <w:r>
            <w:rPr>
              <w:rFonts w:ascii="Times New Roman" w:hAnsi="Times New Roman" w:cs="Times New Roman"/>
              <w:bCs/>
              <w:szCs w:val="32"/>
            </w:rPr>
            <w:t>（二）经营优化类</w:t>
          </w:r>
          <w:r>
            <w:rPr>
              <w:rFonts w:ascii="Times New Roman" w:hAnsi="Times New Roman" w:cs="Times New Roman"/>
            </w:rPr>
            <w:tab/>
          </w:r>
          <w:r>
            <w:rPr>
              <w:rFonts w:ascii="Times New Roman" w:hAnsi="Times New Roman" w:cs="Times New Roman"/>
            </w:rPr>
            <w:fldChar w:fldCharType="begin"/>
          </w:r>
          <w:r>
            <w:rPr>
              <w:rFonts w:ascii="Times New Roman" w:hAnsi="Times New Roman" w:cs="Times New Roman"/>
            </w:rPr>
            <w:instrText xml:space="preserve"> PAGEREF _Toc16376 \h </w:instrText>
          </w:r>
          <w:r>
            <w:rPr>
              <w:rFonts w:ascii="Times New Roman" w:hAnsi="Times New Roman" w:cs="Times New Roman"/>
            </w:rPr>
            <w:fldChar w:fldCharType="separate"/>
          </w:r>
          <w:r>
            <w:rPr>
              <w:rFonts w:ascii="Times New Roman" w:hAnsi="Times New Roman" w:cs="Times New Roman"/>
            </w:rPr>
            <w:t>64</w:t>
          </w:r>
          <w:r>
            <w:rPr>
              <w:rFonts w:ascii="Times New Roman" w:hAnsi="Times New Roman" w:cs="Times New Roman"/>
            </w:rPr>
            <w:fldChar w:fldCharType="end"/>
          </w:r>
          <w:r>
            <w:rPr>
              <w:rFonts w:ascii="Times New Roman" w:hAnsi="Times New Roman" w:cs="Times New Roman"/>
            </w:rPr>
            <w:fldChar w:fldCharType="end"/>
          </w:r>
        </w:p>
        <w:p>
          <w:pPr>
            <w:pStyle w:val="13"/>
            <w:tabs>
              <w:tab w:val="right" w:leader="dot" w:pos="8306"/>
            </w:tabs>
            <w:spacing w:line="590" w:lineRule="exact"/>
            <w:ind w:left="0" w:leftChars="0" w:firstLine="640" w:firstLineChars="200"/>
            <w:rPr>
              <w:rFonts w:ascii="Times New Roman" w:hAnsi="Times New Roman" w:cs="Times New Roman"/>
            </w:rPr>
          </w:pPr>
          <w:r>
            <w:fldChar w:fldCharType="begin"/>
          </w:r>
          <w:r>
            <w:instrText xml:space="preserve"> HYPERLINK \l "_Toc11960" </w:instrText>
          </w:r>
          <w:r>
            <w:fldChar w:fldCharType="separate"/>
          </w:r>
          <w:r>
            <w:rPr>
              <w:rFonts w:ascii="Times New Roman" w:hAnsi="Times New Roman" w:cs="Times New Roman"/>
            </w:rPr>
            <w:t>5.工艺动态优化（离线模式）</w:t>
          </w:r>
          <w:r>
            <w:rPr>
              <w:rFonts w:ascii="Times New Roman" w:hAnsi="Times New Roman" w:cs="Times New Roman"/>
            </w:rPr>
            <w:tab/>
          </w:r>
          <w:r>
            <w:rPr>
              <w:rFonts w:ascii="Times New Roman" w:hAnsi="Times New Roman" w:cs="Times New Roman"/>
            </w:rPr>
            <w:fldChar w:fldCharType="begin"/>
          </w:r>
          <w:r>
            <w:rPr>
              <w:rFonts w:ascii="Times New Roman" w:hAnsi="Times New Roman" w:cs="Times New Roman"/>
            </w:rPr>
            <w:instrText xml:space="preserve"> PAGEREF _Toc11960 \h </w:instrText>
          </w:r>
          <w:r>
            <w:rPr>
              <w:rFonts w:ascii="Times New Roman" w:hAnsi="Times New Roman" w:cs="Times New Roman"/>
            </w:rPr>
            <w:fldChar w:fldCharType="separate"/>
          </w:r>
          <w:r>
            <w:rPr>
              <w:rFonts w:ascii="Times New Roman" w:hAnsi="Times New Roman" w:cs="Times New Roman"/>
            </w:rPr>
            <w:t>64</w:t>
          </w:r>
          <w:r>
            <w:rPr>
              <w:rFonts w:ascii="Times New Roman" w:hAnsi="Times New Roman" w:cs="Times New Roman"/>
            </w:rPr>
            <w:fldChar w:fldCharType="end"/>
          </w:r>
          <w:r>
            <w:rPr>
              <w:rFonts w:ascii="Times New Roman" w:hAnsi="Times New Roman" w:cs="Times New Roman"/>
            </w:rPr>
            <w:fldChar w:fldCharType="end"/>
          </w:r>
        </w:p>
        <w:p>
          <w:pPr>
            <w:pStyle w:val="13"/>
            <w:tabs>
              <w:tab w:val="right" w:leader="dot" w:pos="8306"/>
            </w:tabs>
            <w:spacing w:line="590" w:lineRule="exact"/>
            <w:ind w:left="0" w:leftChars="0" w:firstLine="640" w:firstLineChars="200"/>
            <w:rPr>
              <w:rFonts w:ascii="Times New Roman" w:hAnsi="Times New Roman" w:cs="Times New Roman"/>
            </w:rPr>
          </w:pPr>
          <w:r>
            <w:fldChar w:fldCharType="begin"/>
          </w:r>
          <w:r>
            <w:instrText xml:space="preserve"> HYPERLINK \l "_Toc25438" </w:instrText>
          </w:r>
          <w:r>
            <w:fldChar w:fldCharType="separate"/>
          </w:r>
          <w:r>
            <w:rPr>
              <w:rFonts w:ascii="Times New Roman" w:hAnsi="Times New Roman" w:cs="Times New Roman"/>
            </w:rPr>
            <w:t>6.柔性产线快速换产</w:t>
          </w:r>
          <w:r>
            <w:rPr>
              <w:rFonts w:ascii="Times New Roman" w:hAnsi="Times New Roman" w:cs="Times New Roman"/>
            </w:rPr>
            <w:tab/>
          </w:r>
          <w:r>
            <w:rPr>
              <w:rFonts w:ascii="Times New Roman" w:hAnsi="Times New Roman" w:cs="Times New Roman"/>
            </w:rPr>
            <w:fldChar w:fldCharType="begin"/>
          </w:r>
          <w:r>
            <w:rPr>
              <w:rFonts w:ascii="Times New Roman" w:hAnsi="Times New Roman" w:cs="Times New Roman"/>
            </w:rPr>
            <w:instrText xml:space="preserve"> PAGEREF _Toc25438 \h </w:instrText>
          </w:r>
          <w:r>
            <w:rPr>
              <w:rFonts w:ascii="Times New Roman" w:hAnsi="Times New Roman" w:cs="Times New Roman"/>
            </w:rPr>
            <w:fldChar w:fldCharType="separate"/>
          </w:r>
          <w:r>
            <w:rPr>
              <w:rFonts w:ascii="Times New Roman" w:hAnsi="Times New Roman" w:cs="Times New Roman"/>
            </w:rPr>
            <w:t>67</w:t>
          </w:r>
          <w:r>
            <w:rPr>
              <w:rFonts w:ascii="Times New Roman" w:hAnsi="Times New Roman" w:cs="Times New Roman"/>
            </w:rPr>
            <w:fldChar w:fldCharType="end"/>
          </w:r>
          <w:r>
            <w:rPr>
              <w:rFonts w:ascii="Times New Roman" w:hAnsi="Times New Roman" w:cs="Times New Roman"/>
            </w:rPr>
            <w:fldChar w:fldCharType="end"/>
          </w:r>
        </w:p>
        <w:p>
          <w:pPr>
            <w:pStyle w:val="13"/>
            <w:tabs>
              <w:tab w:val="right" w:leader="dot" w:pos="8306"/>
            </w:tabs>
            <w:spacing w:line="590" w:lineRule="exact"/>
            <w:ind w:left="0" w:leftChars="0" w:firstLine="640" w:firstLineChars="200"/>
            <w:rPr>
              <w:rFonts w:ascii="Times New Roman" w:hAnsi="Times New Roman" w:cs="Times New Roman"/>
            </w:rPr>
          </w:pPr>
          <w:r>
            <w:fldChar w:fldCharType="begin"/>
          </w:r>
          <w:r>
            <w:instrText xml:space="preserve"> HYPERLINK \l "_Toc15210" </w:instrText>
          </w:r>
          <w:r>
            <w:fldChar w:fldCharType="separate"/>
          </w:r>
          <w:r>
            <w:rPr>
              <w:rFonts w:ascii="Times New Roman" w:hAnsi="Times New Roman" w:cs="Times New Roman"/>
            </w:rPr>
            <w:t>7.质量精准追溯</w:t>
          </w:r>
          <w:r>
            <w:rPr>
              <w:rFonts w:ascii="Times New Roman" w:hAnsi="Times New Roman" w:cs="Times New Roman"/>
            </w:rPr>
            <w:tab/>
          </w:r>
          <w:r>
            <w:rPr>
              <w:rFonts w:ascii="Times New Roman" w:hAnsi="Times New Roman" w:cs="Times New Roman"/>
            </w:rPr>
            <w:fldChar w:fldCharType="begin"/>
          </w:r>
          <w:r>
            <w:rPr>
              <w:rFonts w:ascii="Times New Roman" w:hAnsi="Times New Roman" w:cs="Times New Roman"/>
            </w:rPr>
            <w:instrText xml:space="preserve"> PAGEREF _Toc15210 \h </w:instrText>
          </w:r>
          <w:r>
            <w:rPr>
              <w:rFonts w:ascii="Times New Roman" w:hAnsi="Times New Roman" w:cs="Times New Roman"/>
            </w:rPr>
            <w:fldChar w:fldCharType="separate"/>
          </w:r>
          <w:r>
            <w:rPr>
              <w:rFonts w:ascii="Times New Roman" w:hAnsi="Times New Roman" w:cs="Times New Roman"/>
            </w:rPr>
            <w:t>70</w:t>
          </w:r>
          <w:r>
            <w:rPr>
              <w:rFonts w:ascii="Times New Roman" w:hAnsi="Times New Roman" w:cs="Times New Roman"/>
            </w:rPr>
            <w:fldChar w:fldCharType="end"/>
          </w:r>
          <w:r>
            <w:rPr>
              <w:rFonts w:ascii="Times New Roman" w:hAnsi="Times New Roman" w:cs="Times New Roman"/>
            </w:rPr>
            <w:fldChar w:fldCharType="end"/>
          </w:r>
        </w:p>
        <w:p>
          <w:pPr>
            <w:pStyle w:val="13"/>
            <w:tabs>
              <w:tab w:val="right" w:leader="dot" w:pos="8306"/>
            </w:tabs>
            <w:spacing w:line="590" w:lineRule="exact"/>
            <w:ind w:left="0" w:leftChars="0" w:firstLine="640" w:firstLineChars="200"/>
            <w:rPr>
              <w:rFonts w:ascii="Times New Roman" w:hAnsi="Times New Roman" w:cs="Times New Roman"/>
            </w:rPr>
          </w:pPr>
          <w:r>
            <w:fldChar w:fldCharType="begin"/>
          </w:r>
          <w:r>
            <w:instrText xml:space="preserve"> HYPERLINK \l "_Toc10047" </w:instrText>
          </w:r>
          <w:r>
            <w:fldChar w:fldCharType="separate"/>
          </w:r>
          <w:r>
            <w:rPr>
              <w:rFonts w:ascii="Times New Roman" w:hAnsi="Times New Roman" w:cs="Times New Roman"/>
            </w:rPr>
            <w:t>8.物料精准配送（配送策略优化模式）</w:t>
          </w:r>
          <w:r>
            <w:rPr>
              <w:rFonts w:ascii="Times New Roman" w:hAnsi="Times New Roman" w:cs="Times New Roman"/>
            </w:rPr>
            <w:tab/>
          </w:r>
          <w:r>
            <w:rPr>
              <w:rFonts w:ascii="Times New Roman" w:hAnsi="Times New Roman" w:cs="Times New Roman"/>
            </w:rPr>
            <w:fldChar w:fldCharType="begin"/>
          </w:r>
          <w:r>
            <w:rPr>
              <w:rFonts w:ascii="Times New Roman" w:hAnsi="Times New Roman" w:cs="Times New Roman"/>
            </w:rPr>
            <w:instrText xml:space="preserve"> PAGEREF _Toc10047 \h </w:instrText>
          </w:r>
          <w:r>
            <w:rPr>
              <w:rFonts w:ascii="Times New Roman" w:hAnsi="Times New Roman" w:cs="Times New Roman"/>
            </w:rPr>
            <w:fldChar w:fldCharType="separate"/>
          </w:r>
          <w:r>
            <w:rPr>
              <w:rFonts w:ascii="Times New Roman" w:hAnsi="Times New Roman" w:cs="Times New Roman"/>
            </w:rPr>
            <w:t>73</w:t>
          </w:r>
          <w:r>
            <w:rPr>
              <w:rFonts w:ascii="Times New Roman" w:hAnsi="Times New Roman" w:cs="Times New Roman"/>
            </w:rPr>
            <w:fldChar w:fldCharType="end"/>
          </w:r>
          <w:r>
            <w:rPr>
              <w:rFonts w:ascii="Times New Roman" w:hAnsi="Times New Roman" w:cs="Times New Roman"/>
            </w:rPr>
            <w:fldChar w:fldCharType="end"/>
          </w:r>
        </w:p>
        <w:p>
          <w:pPr>
            <w:pStyle w:val="13"/>
            <w:tabs>
              <w:tab w:val="right" w:leader="dot" w:pos="8306"/>
            </w:tabs>
            <w:spacing w:line="590" w:lineRule="exact"/>
            <w:ind w:left="0" w:leftChars="0" w:firstLine="640" w:firstLineChars="200"/>
            <w:rPr>
              <w:rFonts w:ascii="Times New Roman" w:hAnsi="Times New Roman" w:cs="Times New Roman"/>
            </w:rPr>
          </w:pPr>
          <w:r>
            <w:fldChar w:fldCharType="begin"/>
          </w:r>
          <w:r>
            <w:instrText xml:space="preserve"> HYPERLINK \l "_Toc17922" </w:instrText>
          </w:r>
          <w:r>
            <w:fldChar w:fldCharType="separate"/>
          </w:r>
          <w:r>
            <w:rPr>
              <w:rFonts w:ascii="Times New Roman" w:hAnsi="Times New Roman" w:cs="Times New Roman"/>
            </w:rPr>
            <w:t>9.仓储智能管理</w:t>
          </w:r>
          <w:r>
            <w:rPr>
              <w:rFonts w:ascii="Times New Roman" w:hAnsi="Times New Roman" w:cs="Times New Roman"/>
            </w:rPr>
            <w:tab/>
          </w:r>
          <w:r>
            <w:rPr>
              <w:rFonts w:ascii="Times New Roman" w:hAnsi="Times New Roman" w:cs="Times New Roman"/>
            </w:rPr>
            <w:fldChar w:fldCharType="begin"/>
          </w:r>
          <w:r>
            <w:rPr>
              <w:rFonts w:ascii="Times New Roman" w:hAnsi="Times New Roman" w:cs="Times New Roman"/>
            </w:rPr>
            <w:instrText xml:space="preserve"> PAGEREF _Toc17922 \h </w:instrText>
          </w:r>
          <w:r>
            <w:rPr>
              <w:rFonts w:ascii="Times New Roman" w:hAnsi="Times New Roman" w:cs="Times New Roman"/>
            </w:rPr>
            <w:fldChar w:fldCharType="separate"/>
          </w:r>
          <w:r>
            <w:rPr>
              <w:rFonts w:ascii="Times New Roman" w:hAnsi="Times New Roman" w:cs="Times New Roman"/>
            </w:rPr>
            <w:t>76</w:t>
          </w:r>
          <w:r>
            <w:rPr>
              <w:rFonts w:ascii="Times New Roman" w:hAnsi="Times New Roman" w:cs="Times New Roman"/>
            </w:rPr>
            <w:fldChar w:fldCharType="end"/>
          </w:r>
          <w:r>
            <w:rPr>
              <w:rFonts w:ascii="Times New Roman" w:hAnsi="Times New Roman" w:cs="Times New Roman"/>
            </w:rPr>
            <w:fldChar w:fldCharType="end"/>
          </w:r>
        </w:p>
        <w:p>
          <w:pPr>
            <w:pStyle w:val="21"/>
            <w:tabs>
              <w:tab w:val="right" w:leader="dot" w:pos="8306"/>
            </w:tabs>
            <w:spacing w:line="590" w:lineRule="exact"/>
            <w:ind w:left="0" w:leftChars="0" w:firstLine="640" w:firstLineChars="200"/>
            <w:rPr>
              <w:rFonts w:ascii="Times New Roman" w:hAnsi="Times New Roman" w:cs="Times New Roman"/>
            </w:rPr>
          </w:pPr>
          <w:r>
            <w:fldChar w:fldCharType="begin"/>
          </w:r>
          <w:r>
            <w:instrText xml:space="preserve"> HYPERLINK \l "_Toc18529" </w:instrText>
          </w:r>
          <w:r>
            <w:fldChar w:fldCharType="separate"/>
          </w:r>
          <w:r>
            <w:rPr>
              <w:rFonts w:ascii="Times New Roman" w:hAnsi="Times New Roman" w:cs="Times New Roman"/>
            </w:rPr>
            <w:t>（三）计划决策类</w:t>
          </w:r>
          <w:r>
            <w:rPr>
              <w:rFonts w:ascii="Times New Roman" w:hAnsi="Times New Roman" w:cs="Times New Roman"/>
            </w:rPr>
            <w:tab/>
          </w:r>
          <w:r>
            <w:rPr>
              <w:rFonts w:ascii="Times New Roman" w:hAnsi="Times New Roman" w:cs="Times New Roman"/>
            </w:rPr>
            <w:fldChar w:fldCharType="begin"/>
          </w:r>
          <w:r>
            <w:rPr>
              <w:rFonts w:ascii="Times New Roman" w:hAnsi="Times New Roman" w:cs="Times New Roman"/>
            </w:rPr>
            <w:instrText xml:space="preserve"> PAGEREF _Toc18529 \h </w:instrText>
          </w:r>
          <w:r>
            <w:rPr>
              <w:rFonts w:ascii="Times New Roman" w:hAnsi="Times New Roman" w:cs="Times New Roman"/>
            </w:rPr>
            <w:fldChar w:fldCharType="separate"/>
          </w:r>
          <w:r>
            <w:rPr>
              <w:rFonts w:ascii="Times New Roman" w:hAnsi="Times New Roman" w:cs="Times New Roman"/>
            </w:rPr>
            <w:t>78</w:t>
          </w:r>
          <w:r>
            <w:rPr>
              <w:rFonts w:ascii="Times New Roman" w:hAnsi="Times New Roman" w:cs="Times New Roman"/>
            </w:rPr>
            <w:fldChar w:fldCharType="end"/>
          </w:r>
          <w:r>
            <w:rPr>
              <w:rFonts w:ascii="Times New Roman" w:hAnsi="Times New Roman" w:cs="Times New Roman"/>
            </w:rPr>
            <w:fldChar w:fldCharType="end"/>
          </w:r>
        </w:p>
        <w:p>
          <w:pPr>
            <w:pStyle w:val="13"/>
            <w:tabs>
              <w:tab w:val="right" w:leader="dot" w:pos="8306"/>
            </w:tabs>
            <w:spacing w:line="590" w:lineRule="exact"/>
            <w:ind w:left="0" w:leftChars="0" w:firstLine="640" w:firstLineChars="200"/>
            <w:rPr>
              <w:rFonts w:ascii="Times New Roman" w:hAnsi="Times New Roman" w:cs="Times New Roman"/>
            </w:rPr>
          </w:pPr>
          <w:r>
            <w:fldChar w:fldCharType="begin"/>
          </w:r>
          <w:r>
            <w:instrText xml:space="preserve"> HYPERLINK \l "_Toc21758" </w:instrText>
          </w:r>
          <w:r>
            <w:fldChar w:fldCharType="separate"/>
          </w:r>
          <w:r>
            <w:rPr>
              <w:rFonts w:ascii="Times New Roman" w:hAnsi="Times New Roman" w:cs="Times New Roman"/>
            </w:rPr>
            <w:t>10.生产计划优化</w:t>
          </w:r>
          <w:r>
            <w:rPr>
              <w:rFonts w:ascii="Times New Roman" w:hAnsi="Times New Roman" w:cs="Times New Roman"/>
            </w:rPr>
            <w:tab/>
          </w:r>
          <w:r>
            <w:rPr>
              <w:rFonts w:ascii="Times New Roman" w:hAnsi="Times New Roman" w:cs="Times New Roman"/>
            </w:rPr>
            <w:fldChar w:fldCharType="begin"/>
          </w:r>
          <w:r>
            <w:rPr>
              <w:rFonts w:ascii="Times New Roman" w:hAnsi="Times New Roman" w:cs="Times New Roman"/>
            </w:rPr>
            <w:instrText xml:space="preserve"> PAGEREF _Toc21758 \h </w:instrText>
          </w:r>
          <w:r>
            <w:rPr>
              <w:rFonts w:ascii="Times New Roman" w:hAnsi="Times New Roman" w:cs="Times New Roman"/>
            </w:rPr>
            <w:fldChar w:fldCharType="separate"/>
          </w:r>
          <w:r>
            <w:rPr>
              <w:rFonts w:ascii="Times New Roman" w:hAnsi="Times New Roman" w:cs="Times New Roman"/>
            </w:rPr>
            <w:t>79</w:t>
          </w:r>
          <w:r>
            <w:rPr>
              <w:rFonts w:ascii="Times New Roman" w:hAnsi="Times New Roman" w:cs="Times New Roman"/>
            </w:rPr>
            <w:fldChar w:fldCharType="end"/>
          </w:r>
          <w:r>
            <w:rPr>
              <w:rFonts w:ascii="Times New Roman" w:hAnsi="Times New Roman" w:cs="Times New Roman"/>
            </w:rPr>
            <w:fldChar w:fldCharType="end"/>
          </w:r>
        </w:p>
        <w:p>
          <w:pPr>
            <w:pStyle w:val="13"/>
            <w:tabs>
              <w:tab w:val="right" w:leader="dot" w:pos="8306"/>
            </w:tabs>
            <w:spacing w:line="590" w:lineRule="exact"/>
            <w:ind w:left="0" w:leftChars="0" w:firstLine="640" w:firstLineChars="200"/>
            <w:rPr>
              <w:rFonts w:ascii="Times New Roman" w:hAnsi="Times New Roman" w:cs="Times New Roman"/>
            </w:rPr>
          </w:pPr>
          <w:r>
            <w:fldChar w:fldCharType="begin"/>
          </w:r>
          <w:r>
            <w:instrText xml:space="preserve"> HYPERLINK \l "_Toc9456" </w:instrText>
          </w:r>
          <w:r>
            <w:fldChar w:fldCharType="separate"/>
          </w:r>
          <w:r>
            <w:rPr>
              <w:rFonts w:ascii="Times New Roman" w:hAnsi="Times New Roman" w:cs="Times New Roman"/>
            </w:rPr>
            <w:t>11.采购计划优化协同</w:t>
          </w:r>
          <w:r>
            <w:rPr>
              <w:rFonts w:ascii="Times New Roman" w:hAnsi="Times New Roman" w:cs="Times New Roman"/>
            </w:rPr>
            <w:tab/>
          </w:r>
          <w:r>
            <w:rPr>
              <w:rFonts w:ascii="Times New Roman" w:hAnsi="Times New Roman" w:cs="Times New Roman"/>
            </w:rPr>
            <w:fldChar w:fldCharType="begin"/>
          </w:r>
          <w:r>
            <w:rPr>
              <w:rFonts w:ascii="Times New Roman" w:hAnsi="Times New Roman" w:cs="Times New Roman"/>
            </w:rPr>
            <w:instrText xml:space="preserve"> PAGEREF _Toc9456 \h </w:instrText>
          </w:r>
          <w:r>
            <w:rPr>
              <w:rFonts w:ascii="Times New Roman" w:hAnsi="Times New Roman" w:cs="Times New Roman"/>
            </w:rPr>
            <w:fldChar w:fldCharType="separate"/>
          </w:r>
          <w:r>
            <w:rPr>
              <w:rFonts w:ascii="Times New Roman" w:hAnsi="Times New Roman" w:cs="Times New Roman"/>
            </w:rPr>
            <w:t>81</w:t>
          </w:r>
          <w:r>
            <w:rPr>
              <w:rFonts w:ascii="Times New Roman" w:hAnsi="Times New Roman" w:cs="Times New Roman"/>
            </w:rPr>
            <w:fldChar w:fldCharType="end"/>
          </w:r>
          <w:r>
            <w:rPr>
              <w:rFonts w:ascii="Times New Roman" w:hAnsi="Times New Roman" w:cs="Times New Roman"/>
            </w:rPr>
            <w:fldChar w:fldCharType="end"/>
          </w:r>
        </w:p>
        <w:p>
          <w:pPr>
            <w:pStyle w:val="13"/>
            <w:tabs>
              <w:tab w:val="right" w:leader="dot" w:pos="8306"/>
            </w:tabs>
            <w:spacing w:line="590" w:lineRule="exact"/>
            <w:ind w:left="0" w:leftChars="0" w:firstLine="640" w:firstLineChars="200"/>
            <w:rPr>
              <w:rFonts w:ascii="Times New Roman" w:hAnsi="Times New Roman" w:cs="Times New Roman"/>
            </w:rPr>
          </w:pPr>
          <w:r>
            <w:fldChar w:fldCharType="begin"/>
          </w:r>
          <w:r>
            <w:instrText xml:space="preserve"> HYPERLINK \l "_Toc235" </w:instrText>
          </w:r>
          <w:r>
            <w:fldChar w:fldCharType="separate"/>
          </w:r>
          <w:r>
            <w:rPr>
              <w:rFonts w:ascii="Times New Roman" w:hAnsi="Times New Roman" w:cs="Times New Roman"/>
            </w:rPr>
            <w:t>12.智能经营决策</w:t>
          </w:r>
          <w:r>
            <w:rPr>
              <w:rFonts w:ascii="Times New Roman" w:hAnsi="Times New Roman" w:cs="Times New Roman"/>
            </w:rPr>
            <w:tab/>
          </w:r>
          <w:r>
            <w:rPr>
              <w:rFonts w:ascii="Times New Roman" w:hAnsi="Times New Roman" w:cs="Times New Roman"/>
            </w:rPr>
            <w:fldChar w:fldCharType="begin"/>
          </w:r>
          <w:r>
            <w:rPr>
              <w:rFonts w:ascii="Times New Roman" w:hAnsi="Times New Roman" w:cs="Times New Roman"/>
            </w:rPr>
            <w:instrText xml:space="preserve"> PAGEREF _Toc235 \h </w:instrText>
          </w:r>
          <w:r>
            <w:rPr>
              <w:rFonts w:ascii="Times New Roman" w:hAnsi="Times New Roman" w:cs="Times New Roman"/>
            </w:rPr>
            <w:fldChar w:fldCharType="separate"/>
          </w:r>
          <w:r>
            <w:rPr>
              <w:rFonts w:ascii="Times New Roman" w:hAnsi="Times New Roman" w:cs="Times New Roman"/>
            </w:rPr>
            <w:t>83</w:t>
          </w:r>
          <w:r>
            <w:rPr>
              <w:rFonts w:ascii="Times New Roman" w:hAnsi="Times New Roman" w:cs="Times New Roman"/>
            </w:rPr>
            <w:fldChar w:fldCharType="end"/>
          </w:r>
          <w:r>
            <w:rPr>
              <w:rFonts w:ascii="Times New Roman" w:hAnsi="Times New Roman" w:cs="Times New Roman"/>
            </w:rPr>
            <w:fldChar w:fldCharType="end"/>
          </w:r>
        </w:p>
        <w:p>
          <w:pPr>
            <w:pStyle w:val="13"/>
            <w:tabs>
              <w:tab w:val="right" w:leader="dot" w:pos="8306"/>
            </w:tabs>
            <w:spacing w:line="590" w:lineRule="exact"/>
            <w:ind w:left="0" w:leftChars="0" w:firstLine="640" w:firstLineChars="200"/>
            <w:rPr>
              <w:rFonts w:ascii="Times New Roman" w:hAnsi="Times New Roman" w:cs="Times New Roman"/>
            </w:rPr>
          </w:pPr>
          <w:r>
            <w:fldChar w:fldCharType="begin"/>
          </w:r>
          <w:r>
            <w:instrText xml:space="preserve"> HYPERLINK \l "_Toc16880" </w:instrText>
          </w:r>
          <w:r>
            <w:fldChar w:fldCharType="separate"/>
          </w:r>
          <w:r>
            <w:rPr>
              <w:rFonts w:ascii="Times New Roman" w:hAnsi="Times New Roman" w:cs="Times New Roman"/>
            </w:rPr>
            <w:t>13.数智精益管理</w:t>
          </w:r>
          <w:r>
            <w:rPr>
              <w:rFonts w:ascii="Times New Roman" w:hAnsi="Times New Roman" w:cs="Times New Roman"/>
            </w:rPr>
            <w:tab/>
          </w:r>
          <w:r>
            <w:rPr>
              <w:rFonts w:ascii="Times New Roman" w:hAnsi="Times New Roman" w:cs="Times New Roman"/>
            </w:rPr>
            <w:fldChar w:fldCharType="begin"/>
          </w:r>
          <w:r>
            <w:rPr>
              <w:rFonts w:ascii="Times New Roman" w:hAnsi="Times New Roman" w:cs="Times New Roman"/>
            </w:rPr>
            <w:instrText xml:space="preserve"> PAGEREF _Toc16880 \h </w:instrText>
          </w:r>
          <w:r>
            <w:rPr>
              <w:rFonts w:ascii="Times New Roman" w:hAnsi="Times New Roman" w:cs="Times New Roman"/>
            </w:rPr>
            <w:fldChar w:fldCharType="separate"/>
          </w:r>
          <w:r>
            <w:rPr>
              <w:rFonts w:ascii="Times New Roman" w:hAnsi="Times New Roman" w:cs="Times New Roman"/>
            </w:rPr>
            <w:t>85</w:t>
          </w:r>
          <w:r>
            <w:rPr>
              <w:rFonts w:ascii="Times New Roman" w:hAnsi="Times New Roman" w:cs="Times New Roman"/>
            </w:rPr>
            <w:fldChar w:fldCharType="end"/>
          </w:r>
          <w:r>
            <w:rPr>
              <w:rFonts w:ascii="Times New Roman" w:hAnsi="Times New Roman" w:cs="Times New Roman"/>
            </w:rPr>
            <w:fldChar w:fldCharType="end"/>
          </w:r>
        </w:p>
        <w:p>
          <w:pPr>
            <w:pStyle w:val="13"/>
            <w:tabs>
              <w:tab w:val="right" w:leader="dot" w:pos="8306"/>
            </w:tabs>
            <w:spacing w:line="590" w:lineRule="exact"/>
            <w:ind w:left="0" w:leftChars="0" w:firstLine="640" w:firstLineChars="200"/>
            <w:rPr>
              <w:rFonts w:ascii="Times New Roman" w:hAnsi="Times New Roman" w:cs="Times New Roman"/>
            </w:rPr>
          </w:pPr>
          <w:r>
            <w:fldChar w:fldCharType="begin"/>
          </w:r>
          <w:r>
            <w:instrText xml:space="preserve"> HYPERLINK \l "_Toc5808" </w:instrText>
          </w:r>
          <w:r>
            <w:fldChar w:fldCharType="separate"/>
          </w:r>
          <w:r>
            <w:rPr>
              <w:rFonts w:ascii="Times New Roman" w:hAnsi="Times New Roman" w:cs="Times New Roman"/>
            </w:rPr>
            <w:t>14.供应链风险预警与调度</w:t>
          </w:r>
          <w:r>
            <w:rPr>
              <w:rFonts w:ascii="Times New Roman" w:hAnsi="Times New Roman" w:cs="Times New Roman"/>
            </w:rPr>
            <w:tab/>
          </w:r>
          <w:r>
            <w:rPr>
              <w:rFonts w:ascii="Times New Roman" w:hAnsi="Times New Roman" w:cs="Times New Roman"/>
            </w:rPr>
            <w:fldChar w:fldCharType="begin"/>
          </w:r>
          <w:r>
            <w:rPr>
              <w:rFonts w:ascii="Times New Roman" w:hAnsi="Times New Roman" w:cs="Times New Roman"/>
            </w:rPr>
            <w:instrText xml:space="preserve"> PAGEREF _Toc5808 \h </w:instrText>
          </w:r>
          <w:r>
            <w:rPr>
              <w:rFonts w:ascii="Times New Roman" w:hAnsi="Times New Roman" w:cs="Times New Roman"/>
            </w:rPr>
            <w:fldChar w:fldCharType="separate"/>
          </w:r>
          <w:r>
            <w:rPr>
              <w:rFonts w:ascii="Times New Roman" w:hAnsi="Times New Roman" w:cs="Times New Roman"/>
            </w:rPr>
            <w:t>86</w:t>
          </w:r>
          <w:r>
            <w:rPr>
              <w:rFonts w:ascii="Times New Roman" w:hAnsi="Times New Roman" w:cs="Times New Roman"/>
            </w:rPr>
            <w:fldChar w:fldCharType="end"/>
          </w:r>
          <w:r>
            <w:rPr>
              <w:rFonts w:ascii="Times New Roman" w:hAnsi="Times New Roman" w:cs="Times New Roman"/>
            </w:rPr>
            <w:fldChar w:fldCharType="end"/>
          </w:r>
        </w:p>
        <w:p>
          <w:pPr>
            <w:pStyle w:val="21"/>
            <w:tabs>
              <w:tab w:val="right" w:leader="dot" w:pos="8306"/>
            </w:tabs>
            <w:spacing w:line="590" w:lineRule="exact"/>
            <w:ind w:left="0" w:leftChars="0" w:firstLine="640" w:firstLineChars="200"/>
            <w:rPr>
              <w:rFonts w:ascii="Times New Roman" w:hAnsi="Times New Roman" w:cs="Times New Roman"/>
            </w:rPr>
          </w:pPr>
          <w:r>
            <w:fldChar w:fldCharType="begin"/>
          </w:r>
          <w:r>
            <w:instrText xml:space="preserve"> HYPERLINK \l "_Toc19702" </w:instrText>
          </w:r>
          <w:r>
            <w:fldChar w:fldCharType="separate"/>
          </w:r>
          <w:r>
            <w:rPr>
              <w:rFonts w:ascii="Times New Roman" w:hAnsi="Times New Roman" w:cs="Times New Roman"/>
            </w:rPr>
            <w:t>（四）研发仿真类</w:t>
          </w:r>
          <w:r>
            <w:rPr>
              <w:rFonts w:ascii="Times New Roman" w:hAnsi="Times New Roman" w:cs="Times New Roman"/>
            </w:rPr>
            <w:tab/>
          </w:r>
          <w:r>
            <w:rPr>
              <w:rFonts w:ascii="Times New Roman" w:hAnsi="Times New Roman" w:cs="Times New Roman"/>
            </w:rPr>
            <w:fldChar w:fldCharType="begin"/>
          </w:r>
          <w:r>
            <w:rPr>
              <w:rFonts w:ascii="Times New Roman" w:hAnsi="Times New Roman" w:cs="Times New Roman"/>
            </w:rPr>
            <w:instrText xml:space="preserve"> PAGEREF _Toc19702 \h </w:instrText>
          </w:r>
          <w:r>
            <w:rPr>
              <w:rFonts w:ascii="Times New Roman" w:hAnsi="Times New Roman" w:cs="Times New Roman"/>
            </w:rPr>
            <w:fldChar w:fldCharType="separate"/>
          </w:r>
          <w:r>
            <w:rPr>
              <w:rFonts w:ascii="Times New Roman" w:hAnsi="Times New Roman" w:cs="Times New Roman"/>
            </w:rPr>
            <w:t>88</w:t>
          </w:r>
          <w:r>
            <w:rPr>
              <w:rFonts w:ascii="Times New Roman" w:hAnsi="Times New Roman" w:cs="Times New Roman"/>
            </w:rPr>
            <w:fldChar w:fldCharType="end"/>
          </w:r>
          <w:r>
            <w:rPr>
              <w:rFonts w:ascii="Times New Roman" w:hAnsi="Times New Roman" w:cs="Times New Roman"/>
            </w:rPr>
            <w:fldChar w:fldCharType="end"/>
          </w:r>
        </w:p>
        <w:p>
          <w:pPr>
            <w:pStyle w:val="13"/>
            <w:tabs>
              <w:tab w:val="right" w:leader="dot" w:pos="8306"/>
            </w:tabs>
            <w:spacing w:line="590" w:lineRule="exact"/>
            <w:ind w:left="0" w:leftChars="0" w:firstLine="640" w:firstLineChars="200"/>
            <w:rPr>
              <w:rFonts w:ascii="Times New Roman" w:hAnsi="Times New Roman" w:cs="Times New Roman"/>
            </w:rPr>
          </w:pPr>
          <w:r>
            <w:fldChar w:fldCharType="begin"/>
          </w:r>
          <w:r>
            <w:instrText xml:space="preserve"> HYPERLINK \l "_Toc22725" </w:instrText>
          </w:r>
          <w:r>
            <w:fldChar w:fldCharType="separate"/>
          </w:r>
          <w:r>
            <w:rPr>
              <w:rFonts w:ascii="Times New Roman" w:hAnsi="Times New Roman" w:cs="Times New Roman"/>
            </w:rPr>
            <w:t>15.产品数字化设计</w:t>
          </w:r>
          <w:r>
            <w:rPr>
              <w:rFonts w:ascii="Times New Roman" w:hAnsi="Times New Roman" w:cs="Times New Roman"/>
            </w:rPr>
            <w:tab/>
          </w:r>
          <w:r>
            <w:rPr>
              <w:rFonts w:ascii="Times New Roman" w:hAnsi="Times New Roman" w:cs="Times New Roman"/>
            </w:rPr>
            <w:fldChar w:fldCharType="begin"/>
          </w:r>
          <w:r>
            <w:rPr>
              <w:rFonts w:ascii="Times New Roman" w:hAnsi="Times New Roman" w:cs="Times New Roman"/>
            </w:rPr>
            <w:instrText xml:space="preserve"> PAGEREF _Toc22725 \h </w:instrText>
          </w:r>
          <w:r>
            <w:rPr>
              <w:rFonts w:ascii="Times New Roman" w:hAnsi="Times New Roman" w:cs="Times New Roman"/>
            </w:rPr>
            <w:fldChar w:fldCharType="separate"/>
          </w:r>
          <w:r>
            <w:rPr>
              <w:rFonts w:ascii="Times New Roman" w:hAnsi="Times New Roman" w:cs="Times New Roman"/>
            </w:rPr>
            <w:t>88</w:t>
          </w:r>
          <w:r>
            <w:rPr>
              <w:rFonts w:ascii="Times New Roman" w:hAnsi="Times New Roman" w:cs="Times New Roman"/>
            </w:rPr>
            <w:fldChar w:fldCharType="end"/>
          </w:r>
          <w:r>
            <w:rPr>
              <w:rFonts w:ascii="Times New Roman" w:hAnsi="Times New Roman" w:cs="Times New Roman"/>
            </w:rPr>
            <w:fldChar w:fldCharType="end"/>
          </w:r>
        </w:p>
        <w:p>
          <w:pPr>
            <w:pStyle w:val="13"/>
            <w:tabs>
              <w:tab w:val="right" w:leader="dot" w:pos="8306"/>
            </w:tabs>
            <w:spacing w:line="590" w:lineRule="exact"/>
            <w:ind w:left="0" w:leftChars="0" w:firstLine="640" w:firstLineChars="200"/>
            <w:rPr>
              <w:rFonts w:ascii="Times New Roman" w:hAnsi="Times New Roman" w:cs="Times New Roman"/>
            </w:rPr>
          </w:pPr>
          <w:r>
            <w:fldChar w:fldCharType="begin"/>
          </w:r>
          <w:r>
            <w:instrText xml:space="preserve"> HYPERLINK \l "_Toc1254" </w:instrText>
          </w:r>
          <w:r>
            <w:fldChar w:fldCharType="separate"/>
          </w:r>
          <w:r>
            <w:rPr>
              <w:rFonts w:ascii="Times New Roman" w:hAnsi="Times New Roman" w:cs="Times New Roman"/>
            </w:rPr>
            <w:t>16.工艺数字化设计</w:t>
          </w:r>
          <w:r>
            <w:rPr>
              <w:rFonts w:ascii="Times New Roman" w:hAnsi="Times New Roman" w:cs="Times New Roman"/>
            </w:rPr>
            <w:tab/>
          </w:r>
          <w:r>
            <w:rPr>
              <w:rFonts w:ascii="Times New Roman" w:hAnsi="Times New Roman" w:cs="Times New Roman"/>
            </w:rPr>
            <w:fldChar w:fldCharType="begin"/>
          </w:r>
          <w:r>
            <w:rPr>
              <w:rFonts w:ascii="Times New Roman" w:hAnsi="Times New Roman" w:cs="Times New Roman"/>
            </w:rPr>
            <w:instrText xml:space="preserve"> PAGEREF _Toc1254 \h </w:instrText>
          </w:r>
          <w:r>
            <w:rPr>
              <w:rFonts w:ascii="Times New Roman" w:hAnsi="Times New Roman" w:cs="Times New Roman"/>
            </w:rPr>
            <w:fldChar w:fldCharType="separate"/>
          </w:r>
          <w:r>
            <w:rPr>
              <w:rFonts w:ascii="Times New Roman" w:hAnsi="Times New Roman" w:cs="Times New Roman"/>
            </w:rPr>
            <w:t>91</w:t>
          </w:r>
          <w:r>
            <w:rPr>
              <w:rFonts w:ascii="Times New Roman" w:hAnsi="Times New Roman" w:cs="Times New Roman"/>
            </w:rPr>
            <w:fldChar w:fldCharType="end"/>
          </w:r>
          <w:r>
            <w:rPr>
              <w:rFonts w:ascii="Times New Roman" w:hAnsi="Times New Roman" w:cs="Times New Roman"/>
            </w:rPr>
            <w:fldChar w:fldCharType="end"/>
          </w:r>
        </w:p>
        <w:p>
          <w:pPr>
            <w:pStyle w:val="13"/>
            <w:tabs>
              <w:tab w:val="right" w:leader="dot" w:pos="8306"/>
            </w:tabs>
            <w:spacing w:line="590" w:lineRule="exact"/>
            <w:ind w:left="0" w:leftChars="0" w:firstLine="640" w:firstLineChars="200"/>
            <w:rPr>
              <w:rFonts w:ascii="Times New Roman" w:hAnsi="Times New Roman" w:cs="Times New Roman"/>
            </w:rPr>
          </w:pPr>
          <w:r>
            <w:fldChar w:fldCharType="begin"/>
          </w:r>
          <w:r>
            <w:instrText xml:space="preserve"> HYPERLINK \l "_Toc16259" </w:instrText>
          </w:r>
          <w:r>
            <w:fldChar w:fldCharType="separate"/>
          </w:r>
          <w:r>
            <w:rPr>
              <w:rFonts w:ascii="Times New Roman" w:hAnsi="Times New Roman" w:cs="Times New Roman"/>
            </w:rPr>
            <w:t>17.</w:t>
          </w:r>
          <w:r>
            <w:rPr>
              <w:rFonts w:ascii="Times New Roman" w:hAnsi="Times New Roman" w:cs="Times New Roman"/>
              <w:bCs/>
            </w:rPr>
            <w:t>数字孪生工厂建设</w:t>
          </w:r>
          <w:r>
            <w:rPr>
              <w:rFonts w:ascii="Times New Roman" w:hAnsi="Times New Roman" w:cs="Times New Roman"/>
            </w:rPr>
            <w:tab/>
          </w:r>
          <w:r>
            <w:rPr>
              <w:rFonts w:ascii="Times New Roman" w:hAnsi="Times New Roman" w:cs="Times New Roman"/>
            </w:rPr>
            <w:fldChar w:fldCharType="begin"/>
          </w:r>
          <w:r>
            <w:rPr>
              <w:rFonts w:ascii="Times New Roman" w:hAnsi="Times New Roman" w:cs="Times New Roman"/>
            </w:rPr>
            <w:instrText xml:space="preserve"> PAGEREF _Toc16259 \h </w:instrText>
          </w:r>
          <w:r>
            <w:rPr>
              <w:rFonts w:ascii="Times New Roman" w:hAnsi="Times New Roman" w:cs="Times New Roman"/>
            </w:rPr>
            <w:fldChar w:fldCharType="separate"/>
          </w:r>
          <w:r>
            <w:rPr>
              <w:rFonts w:ascii="Times New Roman" w:hAnsi="Times New Roman" w:cs="Times New Roman"/>
            </w:rPr>
            <w:t>94</w:t>
          </w:r>
          <w:r>
            <w:rPr>
              <w:rFonts w:ascii="Times New Roman" w:hAnsi="Times New Roman" w:cs="Times New Roman"/>
            </w:rPr>
            <w:fldChar w:fldCharType="end"/>
          </w:r>
          <w:r>
            <w:rPr>
              <w:rFonts w:ascii="Times New Roman" w:hAnsi="Times New Roman" w:cs="Times New Roman"/>
            </w:rPr>
            <w:fldChar w:fldCharType="end"/>
          </w:r>
        </w:p>
        <w:p>
          <w:pPr>
            <w:pStyle w:val="18"/>
            <w:tabs>
              <w:tab w:val="right" w:leader="dot" w:pos="8306"/>
            </w:tabs>
            <w:spacing w:line="590" w:lineRule="exact"/>
            <w:rPr>
              <w:rFonts w:ascii="Times New Roman" w:hAnsi="Times New Roman" w:cs="Times New Roman"/>
            </w:rPr>
          </w:pPr>
          <w:r>
            <w:fldChar w:fldCharType="begin"/>
          </w:r>
          <w:r>
            <w:instrText xml:space="preserve"> HYPERLINK \l "_Toc2458" </w:instrText>
          </w:r>
          <w:r>
            <w:fldChar w:fldCharType="separate"/>
          </w:r>
          <w:r>
            <w:rPr>
              <w:rFonts w:ascii="Times New Roman" w:hAnsi="Times New Roman" w:cs="Times New Roman"/>
            </w:rPr>
            <w:t>四、企业Token管理制度建议</w:t>
          </w:r>
          <w:r>
            <w:rPr>
              <w:rFonts w:ascii="Times New Roman" w:hAnsi="Times New Roman" w:cs="Times New Roman"/>
            </w:rPr>
            <w:tab/>
          </w:r>
          <w:r>
            <w:rPr>
              <w:rFonts w:ascii="Times New Roman" w:hAnsi="Times New Roman" w:cs="Times New Roman"/>
            </w:rPr>
            <w:fldChar w:fldCharType="begin"/>
          </w:r>
          <w:r>
            <w:rPr>
              <w:rFonts w:ascii="Times New Roman" w:hAnsi="Times New Roman" w:cs="Times New Roman"/>
            </w:rPr>
            <w:instrText xml:space="preserve"> PAGEREF _Toc2458 \h </w:instrText>
          </w:r>
          <w:r>
            <w:rPr>
              <w:rFonts w:ascii="Times New Roman" w:hAnsi="Times New Roman" w:cs="Times New Roman"/>
            </w:rPr>
            <w:fldChar w:fldCharType="separate"/>
          </w:r>
          <w:r>
            <w:rPr>
              <w:rFonts w:ascii="Times New Roman" w:hAnsi="Times New Roman" w:cs="Times New Roman"/>
            </w:rPr>
            <w:t>97</w:t>
          </w:r>
          <w:r>
            <w:rPr>
              <w:rFonts w:ascii="Times New Roman" w:hAnsi="Times New Roman" w:cs="Times New Roman"/>
            </w:rPr>
            <w:fldChar w:fldCharType="end"/>
          </w:r>
          <w:r>
            <w:rPr>
              <w:rFonts w:ascii="Times New Roman" w:hAnsi="Times New Roman" w:cs="Times New Roman"/>
            </w:rPr>
            <w:fldChar w:fldCharType="end"/>
          </w:r>
        </w:p>
        <w:p>
          <w:pPr>
            <w:pStyle w:val="21"/>
            <w:tabs>
              <w:tab w:val="right" w:leader="dot" w:pos="8306"/>
            </w:tabs>
            <w:spacing w:line="590" w:lineRule="exact"/>
            <w:ind w:left="0" w:leftChars="0" w:firstLine="640" w:firstLineChars="200"/>
            <w:rPr>
              <w:rFonts w:ascii="Times New Roman" w:hAnsi="Times New Roman" w:cs="Times New Roman"/>
            </w:rPr>
          </w:pPr>
          <w:r>
            <w:fldChar w:fldCharType="begin"/>
          </w:r>
          <w:r>
            <w:instrText xml:space="preserve"> HYPERLINK \l "_Toc22718" </w:instrText>
          </w:r>
          <w:r>
            <w:fldChar w:fldCharType="separate"/>
          </w:r>
          <w:r>
            <w:rPr>
              <w:rFonts w:ascii="Times New Roman" w:hAnsi="Times New Roman" w:cs="Times New Roman"/>
              <w:lang w:bidi="ar"/>
            </w:rPr>
            <w:t>（一）构建跨部门协同管理架构</w:t>
          </w:r>
          <w:r>
            <w:rPr>
              <w:rFonts w:ascii="Times New Roman" w:hAnsi="Times New Roman" w:cs="Times New Roman"/>
            </w:rPr>
            <w:tab/>
          </w:r>
          <w:r>
            <w:rPr>
              <w:rFonts w:ascii="Times New Roman" w:hAnsi="Times New Roman" w:cs="Times New Roman"/>
            </w:rPr>
            <w:fldChar w:fldCharType="begin"/>
          </w:r>
          <w:r>
            <w:rPr>
              <w:rFonts w:ascii="Times New Roman" w:hAnsi="Times New Roman" w:cs="Times New Roman"/>
            </w:rPr>
            <w:instrText xml:space="preserve"> PAGEREF _Toc22718 \h </w:instrText>
          </w:r>
          <w:r>
            <w:rPr>
              <w:rFonts w:ascii="Times New Roman" w:hAnsi="Times New Roman" w:cs="Times New Roman"/>
            </w:rPr>
            <w:fldChar w:fldCharType="separate"/>
          </w:r>
          <w:r>
            <w:rPr>
              <w:rFonts w:ascii="Times New Roman" w:hAnsi="Times New Roman" w:cs="Times New Roman"/>
            </w:rPr>
            <w:t>97</w:t>
          </w:r>
          <w:r>
            <w:rPr>
              <w:rFonts w:ascii="Times New Roman" w:hAnsi="Times New Roman" w:cs="Times New Roman"/>
            </w:rPr>
            <w:fldChar w:fldCharType="end"/>
          </w:r>
          <w:r>
            <w:rPr>
              <w:rFonts w:ascii="Times New Roman" w:hAnsi="Times New Roman" w:cs="Times New Roman"/>
            </w:rPr>
            <w:fldChar w:fldCharType="end"/>
          </w:r>
        </w:p>
        <w:p>
          <w:pPr>
            <w:pStyle w:val="21"/>
            <w:tabs>
              <w:tab w:val="right" w:leader="dot" w:pos="8306"/>
            </w:tabs>
            <w:spacing w:line="590" w:lineRule="exact"/>
            <w:ind w:left="0" w:leftChars="0" w:firstLine="640" w:firstLineChars="200"/>
            <w:rPr>
              <w:rFonts w:ascii="Times New Roman" w:hAnsi="Times New Roman" w:cs="Times New Roman"/>
            </w:rPr>
          </w:pPr>
          <w:r>
            <w:fldChar w:fldCharType="begin"/>
          </w:r>
          <w:r>
            <w:instrText xml:space="preserve"> HYPERLINK \l "_Toc20873" </w:instrText>
          </w:r>
          <w:r>
            <w:fldChar w:fldCharType="separate"/>
          </w:r>
          <w:r>
            <w:rPr>
              <w:rFonts w:ascii="Times New Roman" w:hAnsi="Times New Roman" w:cs="Times New Roman"/>
              <w:lang w:bidi="ar"/>
            </w:rPr>
            <w:t>（二）实施基于角色的访问控制</w:t>
          </w:r>
          <w:r>
            <w:rPr>
              <w:rFonts w:ascii="Times New Roman" w:hAnsi="Times New Roman" w:cs="Times New Roman"/>
            </w:rPr>
            <w:tab/>
          </w:r>
          <w:r>
            <w:rPr>
              <w:rFonts w:ascii="Times New Roman" w:hAnsi="Times New Roman" w:cs="Times New Roman"/>
            </w:rPr>
            <w:fldChar w:fldCharType="begin"/>
          </w:r>
          <w:r>
            <w:rPr>
              <w:rFonts w:ascii="Times New Roman" w:hAnsi="Times New Roman" w:cs="Times New Roman"/>
            </w:rPr>
            <w:instrText xml:space="preserve"> PAGEREF _Toc20873 \h </w:instrText>
          </w:r>
          <w:r>
            <w:rPr>
              <w:rFonts w:ascii="Times New Roman" w:hAnsi="Times New Roman" w:cs="Times New Roman"/>
            </w:rPr>
            <w:fldChar w:fldCharType="separate"/>
          </w:r>
          <w:r>
            <w:rPr>
              <w:rFonts w:ascii="Times New Roman" w:hAnsi="Times New Roman" w:cs="Times New Roman"/>
            </w:rPr>
            <w:t>98</w:t>
          </w:r>
          <w:r>
            <w:rPr>
              <w:rFonts w:ascii="Times New Roman" w:hAnsi="Times New Roman" w:cs="Times New Roman"/>
            </w:rPr>
            <w:fldChar w:fldCharType="end"/>
          </w:r>
          <w:r>
            <w:rPr>
              <w:rFonts w:ascii="Times New Roman" w:hAnsi="Times New Roman" w:cs="Times New Roman"/>
            </w:rPr>
            <w:fldChar w:fldCharType="end"/>
          </w:r>
        </w:p>
        <w:p>
          <w:pPr>
            <w:pStyle w:val="21"/>
            <w:tabs>
              <w:tab w:val="right" w:leader="dot" w:pos="8306"/>
            </w:tabs>
            <w:spacing w:line="590" w:lineRule="exact"/>
            <w:ind w:left="0" w:leftChars="0" w:firstLine="640" w:firstLineChars="200"/>
            <w:rPr>
              <w:rFonts w:ascii="Times New Roman" w:hAnsi="Times New Roman" w:cs="Times New Roman"/>
            </w:rPr>
          </w:pPr>
          <w:r>
            <w:fldChar w:fldCharType="begin"/>
          </w:r>
          <w:r>
            <w:instrText xml:space="preserve"> HYPERLINK \l "_Toc10551" </w:instrText>
          </w:r>
          <w:r>
            <w:fldChar w:fldCharType="separate"/>
          </w:r>
          <w:r>
            <w:rPr>
              <w:rFonts w:ascii="Times New Roman" w:hAnsi="Times New Roman" w:cs="Times New Roman"/>
              <w:lang w:bidi="ar"/>
            </w:rPr>
            <w:t>（三）构建动态的配额管控体系</w:t>
          </w:r>
          <w:r>
            <w:rPr>
              <w:rFonts w:ascii="Times New Roman" w:hAnsi="Times New Roman" w:cs="Times New Roman"/>
            </w:rPr>
            <w:tab/>
          </w:r>
          <w:r>
            <w:rPr>
              <w:rFonts w:ascii="Times New Roman" w:hAnsi="Times New Roman" w:cs="Times New Roman"/>
            </w:rPr>
            <w:fldChar w:fldCharType="begin"/>
          </w:r>
          <w:r>
            <w:rPr>
              <w:rFonts w:ascii="Times New Roman" w:hAnsi="Times New Roman" w:cs="Times New Roman"/>
            </w:rPr>
            <w:instrText xml:space="preserve"> PAGEREF _Toc10551 \h </w:instrText>
          </w:r>
          <w:r>
            <w:rPr>
              <w:rFonts w:ascii="Times New Roman" w:hAnsi="Times New Roman" w:cs="Times New Roman"/>
            </w:rPr>
            <w:fldChar w:fldCharType="separate"/>
          </w:r>
          <w:r>
            <w:rPr>
              <w:rFonts w:ascii="Times New Roman" w:hAnsi="Times New Roman" w:cs="Times New Roman"/>
            </w:rPr>
            <w:t>99</w:t>
          </w:r>
          <w:r>
            <w:rPr>
              <w:rFonts w:ascii="Times New Roman" w:hAnsi="Times New Roman" w:cs="Times New Roman"/>
            </w:rPr>
            <w:fldChar w:fldCharType="end"/>
          </w:r>
          <w:r>
            <w:rPr>
              <w:rFonts w:ascii="Times New Roman" w:hAnsi="Times New Roman" w:cs="Times New Roman"/>
            </w:rPr>
            <w:fldChar w:fldCharType="end"/>
          </w:r>
        </w:p>
        <w:p>
          <w:pPr>
            <w:pStyle w:val="21"/>
            <w:tabs>
              <w:tab w:val="right" w:leader="dot" w:pos="8306"/>
            </w:tabs>
            <w:spacing w:line="590" w:lineRule="exact"/>
            <w:ind w:left="0" w:leftChars="0" w:firstLine="640" w:firstLineChars="200"/>
            <w:rPr>
              <w:rFonts w:ascii="Times New Roman" w:hAnsi="Times New Roman" w:cs="Times New Roman"/>
            </w:rPr>
          </w:pPr>
          <w:r>
            <w:fldChar w:fldCharType="begin"/>
          </w:r>
          <w:r>
            <w:instrText xml:space="preserve"> HYPERLINK \l "_Toc15855" </w:instrText>
          </w:r>
          <w:r>
            <w:fldChar w:fldCharType="separate"/>
          </w:r>
          <w:r>
            <w:rPr>
              <w:rFonts w:ascii="Times New Roman" w:hAnsi="Times New Roman" w:cs="Times New Roman"/>
              <w:lang w:bidi="ar"/>
            </w:rPr>
            <w:t>（四）建立标准化管理闭环流程</w:t>
          </w:r>
          <w:r>
            <w:rPr>
              <w:rFonts w:ascii="Times New Roman" w:hAnsi="Times New Roman" w:cs="Times New Roman"/>
            </w:rPr>
            <w:tab/>
          </w:r>
          <w:r>
            <w:rPr>
              <w:rFonts w:ascii="Times New Roman" w:hAnsi="Times New Roman" w:cs="Times New Roman"/>
            </w:rPr>
            <w:fldChar w:fldCharType="begin"/>
          </w:r>
          <w:r>
            <w:rPr>
              <w:rFonts w:ascii="Times New Roman" w:hAnsi="Times New Roman" w:cs="Times New Roman"/>
            </w:rPr>
            <w:instrText xml:space="preserve"> PAGEREF _Toc15855 \h </w:instrText>
          </w:r>
          <w:r>
            <w:rPr>
              <w:rFonts w:ascii="Times New Roman" w:hAnsi="Times New Roman" w:cs="Times New Roman"/>
            </w:rPr>
            <w:fldChar w:fldCharType="separate"/>
          </w:r>
          <w:r>
            <w:rPr>
              <w:rFonts w:ascii="Times New Roman" w:hAnsi="Times New Roman" w:cs="Times New Roman"/>
            </w:rPr>
            <w:t>99</w:t>
          </w:r>
          <w:r>
            <w:rPr>
              <w:rFonts w:ascii="Times New Roman" w:hAnsi="Times New Roman" w:cs="Times New Roman"/>
            </w:rPr>
            <w:fldChar w:fldCharType="end"/>
          </w:r>
          <w:r>
            <w:rPr>
              <w:rFonts w:ascii="Times New Roman" w:hAnsi="Times New Roman" w:cs="Times New Roman"/>
            </w:rPr>
            <w:fldChar w:fldCharType="end"/>
          </w:r>
        </w:p>
        <w:p>
          <w:pPr>
            <w:pStyle w:val="18"/>
            <w:tabs>
              <w:tab w:val="right" w:leader="dot" w:pos="8306"/>
            </w:tabs>
            <w:spacing w:line="590" w:lineRule="exact"/>
            <w:rPr>
              <w:rFonts w:ascii="Times New Roman" w:hAnsi="Times New Roman" w:cs="Times New Roman"/>
            </w:rPr>
          </w:pPr>
          <w:r>
            <w:fldChar w:fldCharType="begin"/>
          </w:r>
          <w:r>
            <w:instrText xml:space="preserve"> HYPERLINK \l "_Toc18100" </w:instrText>
          </w:r>
          <w:r>
            <w:fldChar w:fldCharType="separate"/>
          </w:r>
          <w:r>
            <w:rPr>
              <w:rFonts w:ascii="Times New Roman" w:hAnsi="Times New Roman" w:cs="Times New Roman"/>
            </w:rPr>
            <w:t>附件：技术名词介绍</w:t>
          </w:r>
          <w:r>
            <w:rPr>
              <w:rFonts w:ascii="Times New Roman" w:hAnsi="Times New Roman" w:cs="Times New Roman"/>
            </w:rPr>
            <w:tab/>
          </w:r>
          <w:r>
            <w:rPr>
              <w:rFonts w:ascii="Times New Roman" w:hAnsi="Times New Roman" w:cs="Times New Roman"/>
            </w:rPr>
            <w:fldChar w:fldCharType="begin"/>
          </w:r>
          <w:r>
            <w:rPr>
              <w:rFonts w:ascii="Times New Roman" w:hAnsi="Times New Roman" w:cs="Times New Roman"/>
            </w:rPr>
            <w:instrText xml:space="preserve"> PAGEREF _Toc18100 \h </w:instrText>
          </w:r>
          <w:r>
            <w:rPr>
              <w:rFonts w:ascii="Times New Roman" w:hAnsi="Times New Roman" w:cs="Times New Roman"/>
            </w:rPr>
            <w:fldChar w:fldCharType="separate"/>
          </w:r>
          <w:r>
            <w:rPr>
              <w:rFonts w:ascii="Times New Roman" w:hAnsi="Times New Roman" w:cs="Times New Roman"/>
            </w:rPr>
            <w:t>101</w:t>
          </w:r>
          <w:r>
            <w:rPr>
              <w:rFonts w:ascii="Times New Roman" w:hAnsi="Times New Roman" w:cs="Times New Roman"/>
            </w:rPr>
            <w:fldChar w:fldCharType="end"/>
          </w:r>
          <w:r>
            <w:rPr>
              <w:rFonts w:ascii="Times New Roman" w:hAnsi="Times New Roman" w:cs="Times New Roman"/>
            </w:rPr>
            <w:fldChar w:fldCharType="end"/>
          </w:r>
        </w:p>
        <w:p>
          <w:pPr>
            <w:tabs>
              <w:tab w:val="right" w:leader="dot" w:pos="8306"/>
            </w:tabs>
            <w:spacing w:line="440" w:lineRule="exact"/>
            <w:ind w:firstLine="640"/>
          </w:pPr>
          <w:r>
            <w:rPr>
              <w:rFonts w:hint="eastAsia"/>
            </w:rPr>
            <w:fldChar w:fldCharType="end"/>
          </w:r>
        </w:p>
      </w:sdtContent>
    </w:sdt>
    <w:p>
      <w:pPr>
        <w:ind w:firstLine="640"/>
      </w:pPr>
      <w:r>
        <w:rPr>
          <w:rFonts w:hint="eastAsia"/>
        </w:rPr>
        <w:br w:type="page"/>
      </w:r>
    </w:p>
    <w:p>
      <w:pPr>
        <w:pStyle w:val="2"/>
        <w:ind w:firstLine="0" w:firstLineChars="0"/>
        <w:jc w:val="center"/>
        <w:rPr>
          <w:rFonts w:hint="eastAsia"/>
          <w:sz w:val="36"/>
          <w:szCs w:val="48"/>
        </w:rPr>
      </w:pPr>
      <w:bookmarkStart w:id="3" w:name="_Toc16983"/>
      <w:bookmarkStart w:id="4" w:name="_Toc29335"/>
      <w:bookmarkStart w:id="5" w:name="_Toc11263"/>
    </w:p>
    <w:p>
      <w:pPr>
        <w:pStyle w:val="2"/>
        <w:ind w:firstLine="0" w:firstLineChars="0"/>
        <w:jc w:val="center"/>
      </w:pPr>
      <w:r>
        <w:rPr>
          <w:rFonts w:hint="eastAsia"/>
          <w:sz w:val="36"/>
          <w:szCs w:val="48"/>
        </w:rPr>
        <w:t>前  言</w:t>
      </w:r>
      <w:bookmarkEnd w:id="3"/>
      <w:bookmarkEnd w:id="4"/>
      <w:bookmarkEnd w:id="5"/>
    </w:p>
    <w:p>
      <w:pPr>
        <w:ind w:firstLine="640"/>
      </w:pPr>
    </w:p>
    <w:p>
      <w:pPr>
        <w:ind w:firstLine="640"/>
      </w:pPr>
      <w:r>
        <w:rPr>
          <w:rFonts w:hint="eastAsia"/>
        </w:rPr>
        <w:t>当前，人工智能正从单点应用加速迈向规模化、常态化普及。Token</w:t>
      </w:r>
      <w:r>
        <w:rPr>
          <w:rFonts w:hint="eastAsia"/>
          <w:vertAlign w:val="superscript"/>
        </w:rPr>
        <w:t>1</w:t>
      </w:r>
      <w:r>
        <w:rPr>
          <w:rFonts w:hint="eastAsia"/>
        </w:rPr>
        <w:t>（词元）作为AI世界的基础计量单位，不仅是大模型处理信息的基本单元，也是衡量AI算力消耗、模型运算工作量的计量标尺，逐渐演变为标准化的资源消耗计量单位。近年来，江苏省深入推进“人工智能+制造”行动，随着全省制造业人工智能场景应用规模的扩张，企业在Token资源的使用上面临着成本失控、数据安全风险以及效能评估困难等挑战。因此，建立科学的Token管理体系，确保Token消耗匹配真实业务需求、产出可量化的业务增益，已成为制造业企业模型应用亟需关注的重点。</w:t>
      </w:r>
    </w:p>
    <w:p>
      <w:pPr>
        <w:ind w:firstLine="640"/>
      </w:pPr>
      <w:r>
        <w:rPr>
          <w:rFonts w:hint="eastAsia"/>
        </w:rPr>
        <w:t>为帮助我省制造业企业开展Token精细化管理，提升人工智能技术对制造业企业的赋能效益，江苏省工业和信息化厅联合国家工业信息安全发展研究中心江苏分中心（赛昇数智科技（苏州）有限公司）共同研究出台本指引，针对制造业企业采用公有云API调用和本地部署两类模型应用模式</w:t>
      </w:r>
      <w:r>
        <w:rPr>
          <w:rStyle w:val="31"/>
        </w:rPr>
        <w:footnoteReference w:id="0"/>
      </w:r>
      <w:r>
        <w:rPr>
          <w:rFonts w:hint="eastAsia"/>
        </w:rPr>
        <w:t xml:space="preserve">，系统梳理影响企业Token管理的核心要素，分类明确不同场景Token管理侧重点，细化管控行为，为企业提供标准化指导。 </w:t>
      </w:r>
    </w:p>
    <w:p>
      <w:pPr>
        <w:ind w:firstLine="640"/>
      </w:pPr>
    </w:p>
    <w:p>
      <w:pPr>
        <w:spacing w:line="240" w:lineRule="auto"/>
        <w:ind w:firstLine="0" w:firstLineChars="0"/>
        <w:jc w:val="left"/>
        <w:rPr>
          <w:rFonts w:eastAsia="方正黑体_GBK"/>
          <w:bCs/>
          <w:kern w:val="44"/>
          <w:szCs w:val="44"/>
        </w:rPr>
      </w:pPr>
      <w:r>
        <w:br w:type="page"/>
      </w:r>
    </w:p>
    <w:p>
      <w:pPr>
        <w:pStyle w:val="2"/>
        <w:ind w:firstLine="640"/>
        <w:sectPr>
          <w:footerReference r:id="rId11" w:type="default"/>
          <w:endnotePr>
            <w:numFmt w:val="decimal"/>
          </w:endnotePr>
          <w:pgSz w:w="11906" w:h="16838"/>
          <w:pgMar w:top="1440" w:right="1800" w:bottom="1440" w:left="1800" w:header="851" w:footer="992" w:gutter="0"/>
          <w:pgNumType w:start="1"/>
          <w:cols w:space="425" w:num="1"/>
          <w:docGrid w:type="lines" w:linePitch="312" w:charSpace="0"/>
        </w:sectPr>
      </w:pPr>
    </w:p>
    <w:p>
      <w:pPr>
        <w:pStyle w:val="2"/>
        <w:ind w:firstLine="640"/>
      </w:pPr>
      <w:bookmarkStart w:id="6" w:name="_Toc12778"/>
      <w:bookmarkStart w:id="7" w:name="_Toc24183"/>
      <w:bookmarkStart w:id="8" w:name="_Toc13655"/>
      <w:r>
        <w:rPr>
          <w:rFonts w:hint="eastAsia"/>
        </w:rPr>
        <w:t>一、Token管理的核心内容</w:t>
      </w:r>
      <w:bookmarkEnd w:id="6"/>
      <w:bookmarkEnd w:id="7"/>
      <w:bookmarkEnd w:id="8"/>
    </w:p>
    <w:p>
      <w:pPr>
        <w:ind w:firstLine="640"/>
      </w:pPr>
      <w:r>
        <w:rPr>
          <w:rFonts w:hint="eastAsia"/>
        </w:rPr>
        <w:t>Token管理是指企业对模型在输入、推理、输出及缓存过程中产生的Token流转、资源消耗开展的全生命周期精细化管控。制造业的Token管理本质是将Token作为连接业务需求与物理算力的度量单位，立足制造场景生产实时性、周期波动性、数据安全等约束条件，通过控制Token的流转路径与消耗规模，实现业务响应时效、数据安全与算力成本的最优平衡。</w:t>
      </w:r>
    </w:p>
    <w:p>
      <w:pPr>
        <w:ind w:firstLine="640"/>
      </w:pPr>
      <w:r>
        <w:rPr>
          <w:rFonts w:hint="eastAsia"/>
        </w:rPr>
        <w:t>针对公有云API部署模式与本地部署模式，Token管理的核心内容如下：</w:t>
      </w:r>
    </w:p>
    <w:p>
      <w:pPr>
        <w:pStyle w:val="3"/>
        <w:rPr>
          <w:bCs w:val="0"/>
        </w:rPr>
      </w:pPr>
      <w:bookmarkStart w:id="9" w:name="_Toc1233"/>
      <w:bookmarkStart w:id="10" w:name="_Toc23321"/>
      <w:bookmarkStart w:id="11" w:name="_Toc16240"/>
      <w:r>
        <w:rPr>
          <w:rFonts w:hint="eastAsia"/>
        </w:rPr>
        <w:t>（一）</w:t>
      </w:r>
      <w:r>
        <w:t>公有云API</w:t>
      </w:r>
      <w:r>
        <w:rPr>
          <w:rFonts w:hint="eastAsia"/>
        </w:rPr>
        <w:t>模式</w:t>
      </w:r>
      <w:bookmarkEnd w:id="9"/>
      <w:bookmarkEnd w:id="10"/>
      <w:bookmarkEnd w:id="11"/>
    </w:p>
    <w:p>
      <w:pPr>
        <w:ind w:firstLine="640"/>
        <w:rPr>
          <w:b/>
          <w:bCs/>
        </w:rPr>
      </w:pPr>
      <w:r>
        <w:t>公有云API模式</w:t>
      </w:r>
      <w:r>
        <w:rPr>
          <w:rFonts w:hint="eastAsia"/>
        </w:rPr>
        <w:t>，</w:t>
      </w:r>
      <w:r>
        <w:t>是指企业依托外部公有云服务商的算力与模型基础设施，通过标准化接口直接调用大模型推理能力的轻量化应用方式。</w:t>
      </w:r>
      <w:r>
        <w:rPr>
          <w:b/>
          <w:bCs/>
        </w:rPr>
        <w:t>在此模式下，Token是云服务商核算调用成本的核心依据，Token管理</w:t>
      </w:r>
      <w:r>
        <w:rPr>
          <w:rFonts w:hint="eastAsia"/>
          <w:b/>
          <w:bCs/>
        </w:rPr>
        <w:t>的核心在于</w:t>
      </w:r>
      <w:r>
        <w:rPr>
          <w:b/>
          <w:bCs/>
        </w:rPr>
        <w:t>聚焦</w:t>
      </w:r>
      <w:r>
        <w:rPr>
          <w:rFonts w:hint="eastAsia"/>
          <w:b/>
          <w:bCs/>
        </w:rPr>
        <w:t>成本管控与</w:t>
      </w:r>
      <w:r>
        <w:rPr>
          <w:b/>
          <w:bCs/>
        </w:rPr>
        <w:t>数据</w:t>
      </w:r>
      <w:r>
        <w:rPr>
          <w:rFonts w:hint="eastAsia"/>
          <w:b/>
          <w:bCs/>
        </w:rPr>
        <w:t>出域</w:t>
      </w:r>
      <w:r>
        <w:rPr>
          <w:b/>
          <w:bCs/>
        </w:rPr>
        <w:t>风险防控</w:t>
      </w:r>
      <w:r>
        <w:rPr>
          <w:rFonts w:hint="eastAsia"/>
        </w:rPr>
        <w:t>，实现企业AI投入的可视、可管、可算与可追溯。</w:t>
      </w:r>
    </w:p>
    <w:p>
      <w:pPr>
        <w:pStyle w:val="4"/>
        <w:ind w:firstLine="643" w:firstLineChars="0"/>
      </w:pPr>
      <w:bookmarkStart w:id="12" w:name="_Toc24687"/>
      <w:bookmarkStart w:id="13" w:name="_Toc30024"/>
      <w:bookmarkStart w:id="14" w:name="_Toc25588"/>
      <w:r>
        <w:rPr>
          <w:rFonts w:hint="eastAsia"/>
        </w:rPr>
        <w:t>1.对Token用量的管理</w:t>
      </w:r>
      <w:bookmarkEnd w:id="12"/>
      <w:bookmarkEnd w:id="13"/>
      <w:bookmarkEnd w:id="14"/>
    </w:p>
    <w:p>
      <w:pPr>
        <w:numPr>
          <w:ilvl w:val="255"/>
          <w:numId w:val="0"/>
        </w:numPr>
        <w:ind w:firstLine="640"/>
      </w:pPr>
      <w:r>
        <w:rPr>
          <w:rFonts w:hint="eastAsia"/>
        </w:rPr>
        <w:t>API部署模式下，减少Token消耗的重点在于模型应用的系统化管理，即通过统筹模型选型与智能路由、精细化提示词管理、上下文缓存策略，实现对输入、输出、推理和缓存过程中Token用量的优化。</w:t>
      </w:r>
    </w:p>
    <w:p>
      <w:pPr>
        <w:pStyle w:val="5"/>
        <w:ind w:firstLine="643"/>
        <w:rPr>
          <w:rFonts w:ascii="Times New Roman" w:hAnsi="Times New Roman" w:eastAsia="方正仿宋_GBK" w:cs="Times New Roman"/>
          <w:b/>
          <w:bCs/>
          <w:color w:val="auto"/>
          <w:sz w:val="32"/>
          <w:szCs w:val="32"/>
        </w:rPr>
      </w:pPr>
      <w:r>
        <w:rPr>
          <w:rFonts w:hint="eastAsia" w:ascii="Times New Roman" w:hAnsi="Times New Roman" w:eastAsia="方正仿宋_GBK" w:cs="Times New Roman"/>
          <w:b/>
          <w:bCs/>
          <w:color w:val="auto"/>
          <w:sz w:val="32"/>
          <w:szCs w:val="32"/>
        </w:rPr>
        <w:t>（1）模型选型管理</w:t>
      </w:r>
    </w:p>
    <w:p>
      <w:pPr>
        <w:ind w:firstLine="643"/>
      </w:pPr>
      <w:r>
        <w:rPr>
          <w:rFonts w:hint="eastAsia"/>
          <w:b/>
          <w:bCs/>
        </w:rPr>
        <w:t>影响机制</w:t>
      </w:r>
      <w:r>
        <w:rPr>
          <w:rFonts w:hint="eastAsia"/>
        </w:rPr>
        <w:t>：不同参数规模的模型在推理能力、处理问题难度上均存在差别，高参数模型处理复杂推理、高质量文本生成能力强，但单位Token成本高；低参数模型响应快、Token成本低，但处理复杂任务能力不足。另外，同一参数规模模型微调方向与基座能力存在较大差异，面向特定应用场景优先选用原生能力特性更符合场景特征的模型非常重要。此外，在复杂的Agent</w:t>
      </w:r>
      <w:r>
        <w:rPr>
          <w:rFonts w:hint="eastAsia"/>
          <w:vertAlign w:val="superscript"/>
        </w:rPr>
        <w:t>2</w:t>
      </w:r>
      <w:r>
        <w:rPr>
          <w:rFonts w:hint="eastAsia"/>
        </w:rPr>
        <w:t>场景中，模型精准调用外部业务系统工具的能力，优先级高于复杂推理能力。因此，模型选型不能一味追求大参数基座，需规避高规格模型在特定任务下的资源浪费。</w:t>
      </w:r>
    </w:p>
    <w:p>
      <w:pPr>
        <w:ind w:firstLine="643"/>
      </w:pPr>
      <w:r>
        <w:rPr>
          <w:rFonts w:hint="eastAsia"/>
          <w:b/>
          <w:bCs/>
        </w:rPr>
        <w:t>常见不合理管理行为</w:t>
      </w:r>
      <w:r>
        <w:rPr>
          <w:rFonts w:hint="eastAsia"/>
        </w:rPr>
        <w:t>：①企业在系统架构中采用一刀切策略，选用单一的模型应对所有业务场景。②在Agent场景中盲目使用具备复杂规划能力的智能体，模型能力与场景需求错位，导致过度思考与幻觉无效消耗Token。</w:t>
      </w:r>
    </w:p>
    <w:p>
      <w:pPr>
        <w:pStyle w:val="5"/>
        <w:ind w:firstLine="643"/>
        <w:rPr>
          <w:rFonts w:ascii="Times New Roman" w:hAnsi="Times New Roman" w:eastAsia="方正仿宋_GBK" w:cs="Times New Roman"/>
          <w:b/>
          <w:bCs/>
          <w:color w:val="auto"/>
          <w:sz w:val="32"/>
          <w:szCs w:val="32"/>
        </w:rPr>
      </w:pPr>
      <w:r>
        <w:rPr>
          <w:rFonts w:hint="eastAsia" w:ascii="Times New Roman" w:hAnsi="Times New Roman" w:eastAsia="方正仿宋_GBK" w:cs="Times New Roman"/>
          <w:b/>
          <w:bCs/>
          <w:color w:val="auto"/>
          <w:sz w:val="32"/>
          <w:szCs w:val="32"/>
        </w:rPr>
        <w:t>（2）模型路由管理</w:t>
      </w:r>
    </w:p>
    <w:p>
      <w:pPr>
        <w:ind w:firstLine="643"/>
      </w:pPr>
      <w:r>
        <w:rPr>
          <w:rFonts w:hint="eastAsia"/>
          <w:b/>
          <w:bCs/>
        </w:rPr>
        <w:t>影响机制：</w:t>
      </w:r>
      <w:r>
        <w:rPr>
          <w:rFonts w:hint="eastAsia"/>
        </w:rPr>
        <w:t>在企业多模型共存的环境下，根据请求的业务场景、任务复杂度、数据合规要求等，将请求精准路由至最匹配的模型，并结合各模型的实时健康状态、并发负载与API限流状态，执行负载均衡</w:t>
      </w:r>
      <w:r>
        <w:rPr>
          <w:rFonts w:hint="eastAsia"/>
          <w:vertAlign w:val="superscript"/>
        </w:rPr>
        <w:t>3</w:t>
      </w:r>
      <w:r>
        <w:rPr>
          <w:rFonts w:hint="eastAsia"/>
        </w:rPr>
        <w:t>与容灾降级</w:t>
      </w:r>
      <w:r>
        <w:rPr>
          <w:rFonts w:hint="eastAsia"/>
          <w:vertAlign w:val="superscript"/>
        </w:rPr>
        <w:t>4</w:t>
      </w:r>
      <w:r>
        <w:rPr>
          <w:rFonts w:hint="eastAsia"/>
        </w:rPr>
        <w:t>，才能在保障业务高可用与数据安全的前提下，实现算力资源的最优配置与Token成本的有效控制。</w:t>
      </w:r>
    </w:p>
    <w:p>
      <w:pPr>
        <w:ind w:firstLine="643"/>
      </w:pPr>
      <w:r>
        <w:rPr>
          <w:rFonts w:hint="eastAsia"/>
          <w:b/>
          <w:bCs/>
        </w:rPr>
        <w:t>常见不合理管理行为</w:t>
      </w:r>
      <w:r>
        <w:rPr>
          <w:rFonts w:hint="eastAsia"/>
        </w:rPr>
        <w:t>：①缺乏精细化任务分层，所有请求都默认交由最高性能的旗舰模型处理，或为了省钱将强推理任务派给弱模型。②业务系统直接硬编码调用特定供应商的API，没有建立统一的网关进行协议转换和容灾管理。③业务架构缺乏前置的规则拦截层，海量本无需消耗Token的简单任务会直接穿透到大模型层，增加Token消耗量。</w:t>
      </w:r>
    </w:p>
    <w:p>
      <w:pPr>
        <w:pStyle w:val="5"/>
        <w:ind w:firstLine="643"/>
        <w:rPr>
          <w:rFonts w:ascii="Times New Roman" w:hAnsi="Times New Roman" w:eastAsia="方正仿宋_GBK" w:cs="Times New Roman"/>
          <w:color w:val="auto"/>
          <w:sz w:val="32"/>
          <w:szCs w:val="32"/>
        </w:rPr>
      </w:pPr>
      <w:r>
        <w:rPr>
          <w:rFonts w:hint="eastAsia" w:ascii="Times New Roman" w:hAnsi="Times New Roman" w:eastAsia="方正仿宋_GBK" w:cs="Times New Roman"/>
          <w:b/>
          <w:bCs/>
          <w:color w:val="auto"/>
          <w:sz w:val="32"/>
          <w:szCs w:val="32"/>
        </w:rPr>
        <w:t>（3）上下文缓存管理</w:t>
      </w:r>
    </w:p>
    <w:p>
      <w:pPr>
        <w:ind w:firstLine="643"/>
      </w:pPr>
      <w:r>
        <w:rPr>
          <w:rFonts w:hint="eastAsia"/>
          <w:b/>
          <w:bCs/>
        </w:rPr>
        <w:t>影响机制</w:t>
      </w:r>
      <w:r>
        <w:rPr>
          <w:rFonts w:hint="eastAsia"/>
        </w:rPr>
        <w:t>：大模型推理调用过程中，多轮对话、同一内容重复提问等场景普遍存在输入信息重叠。针对这一现象，主流云厂商已引入隐式缓存机制</w:t>
      </w:r>
      <w:r>
        <w:rPr>
          <w:rFonts w:hint="eastAsia"/>
          <w:vertAlign w:val="superscript"/>
        </w:rPr>
        <w:t>5</w:t>
      </w:r>
      <w:r>
        <w:rPr>
          <w:rFonts w:hint="eastAsia"/>
        </w:rPr>
        <w:t>，即当多次请求包含相同的长前缀时，云端会直接复用已存储的KV Cache</w:t>
      </w:r>
      <w:r>
        <w:rPr>
          <w:rFonts w:hint="eastAsia"/>
          <w:vertAlign w:val="superscript"/>
        </w:rPr>
        <w:t>6</w:t>
      </w:r>
      <w:r>
        <w:rPr>
          <w:rFonts w:hint="eastAsia"/>
        </w:rPr>
        <w:t>，跳过重复的预填充计算，缓存命中对应的Token执行优惠计费规则，呈现出输入Token数量不变、实际付费成本显著下降的特征。依托该缓存复用机制，企业需对高频、高重复度的场景构建显示缓存机制，提高模型的注意力命中率，降低响应延迟并削减重复文本带来的算力损耗与调用成本。</w:t>
      </w:r>
    </w:p>
    <w:p>
      <w:pPr>
        <w:numPr>
          <w:ilvl w:val="255"/>
          <w:numId w:val="0"/>
        </w:numPr>
        <w:ind w:firstLine="642" w:firstLineChars="200"/>
      </w:pPr>
      <w:r>
        <w:rPr>
          <w:rFonts w:hint="eastAsia"/>
          <w:b/>
          <w:bCs/>
        </w:rPr>
        <w:t>常见不合理管理行为</w:t>
      </w:r>
      <w:r>
        <w:rPr>
          <w:rFonts w:hint="eastAsia"/>
        </w:rPr>
        <w:t>：①用户频繁开启新会话，导致系统重新介绍背景信息或读取相关文件，导致输入Token按全价计费，无法享受缓存折扣。②企业系统未设置显示缓存机制，或缓存机制将高频变化的信息设置为缓存重点、缓存机制核心要素设置不合理等，导致无法享受计费折扣。</w:t>
      </w:r>
    </w:p>
    <w:p>
      <w:pPr>
        <w:numPr>
          <w:ilvl w:val="255"/>
          <w:numId w:val="0"/>
        </w:numPr>
        <w:jc w:val="center"/>
        <w:rPr>
          <w:rFonts w:hint="eastAsia" w:ascii="黑体" w:hAnsi="黑体" w:eastAsia="黑体" w:cs="黑体"/>
          <w:sz w:val="24"/>
          <w:szCs w:val="21"/>
        </w:rPr>
      </w:pPr>
      <w:r>
        <w:rPr>
          <w:rFonts w:hint="default" w:ascii="Times New Roman" w:hAnsi="Times New Roman" w:eastAsia="方正黑体_GBK" w:cs="Times New Roman"/>
          <w:sz w:val="24"/>
          <w:szCs w:val="21"/>
        </w:rPr>
        <w:t>表</w:t>
      </w:r>
      <w:r>
        <w:rPr>
          <w:rFonts w:hint="default" w:ascii="Times New Roman" w:hAnsi="Times New Roman" w:eastAsia="方正黑体_GBK" w:cs="Times New Roman"/>
          <w:sz w:val="24"/>
          <w:szCs w:val="21"/>
        </w:rPr>
        <w:fldChar w:fldCharType="begin"/>
      </w:r>
      <w:r>
        <w:rPr>
          <w:rFonts w:hint="default" w:ascii="Times New Roman" w:hAnsi="Times New Roman" w:eastAsia="方正黑体_GBK" w:cs="Times New Roman"/>
          <w:sz w:val="24"/>
          <w:szCs w:val="21"/>
        </w:rPr>
        <w:instrText xml:space="preserve"> SEQ 表 \* ARABIC </w:instrText>
      </w:r>
      <w:r>
        <w:rPr>
          <w:rFonts w:hint="default" w:ascii="Times New Roman" w:hAnsi="Times New Roman" w:eastAsia="方正黑体_GBK" w:cs="Times New Roman"/>
          <w:sz w:val="24"/>
          <w:szCs w:val="21"/>
        </w:rPr>
        <w:fldChar w:fldCharType="separate"/>
      </w:r>
      <w:r>
        <w:rPr>
          <w:rFonts w:hint="default" w:ascii="Times New Roman" w:hAnsi="Times New Roman" w:eastAsia="方正黑体_GBK" w:cs="Times New Roman"/>
          <w:sz w:val="24"/>
          <w:szCs w:val="21"/>
        </w:rPr>
        <w:t>1</w:t>
      </w:r>
      <w:r>
        <w:rPr>
          <w:rFonts w:hint="default" w:ascii="Times New Roman" w:hAnsi="Times New Roman" w:eastAsia="方正黑体_GBK" w:cs="Times New Roman"/>
          <w:sz w:val="24"/>
          <w:szCs w:val="21"/>
        </w:rPr>
        <w:fldChar w:fldCharType="end"/>
      </w:r>
      <w:r>
        <w:rPr>
          <w:rFonts w:hint="default" w:ascii="Times New Roman" w:hAnsi="Times New Roman" w:eastAsia="方正黑体_GBK" w:cs="Times New Roman"/>
          <w:sz w:val="24"/>
          <w:szCs w:val="21"/>
        </w:rPr>
        <w:t xml:space="preserve"> 制造业企业云端部署模式下显示缓存核心指标设置建议</w:t>
      </w:r>
    </w:p>
    <w:tbl>
      <w:tblPr>
        <w:tblStyle w:val="26"/>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2749"/>
        <w:gridCol w:w="1793"/>
        <w:gridCol w:w="4119"/>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79" w:hRule="atLeast"/>
          <w:jc w:val="center"/>
        </w:trPr>
        <w:tc>
          <w:tcPr>
            <w:tcW w:w="2749" w:type="dxa"/>
            <w:vAlign w:val="center"/>
          </w:tcPr>
          <w:p>
            <w:pPr>
              <w:keepNext w:val="0"/>
              <w:keepLines w:val="0"/>
              <w:pageBreakBefore w:val="0"/>
              <w:widowControl/>
              <w:numPr>
                <w:ilvl w:val="255"/>
                <w:numId w:val="0"/>
              </w:numPr>
              <w:kinsoku/>
              <w:wordWrap/>
              <w:overflowPunct/>
              <w:topLinePunct w:val="0"/>
              <w:autoSpaceDE/>
              <w:autoSpaceDN/>
              <w:bidi w:val="0"/>
              <w:adjustRightInd/>
              <w:snapToGrid/>
              <w:spacing w:line="360" w:lineRule="exact"/>
              <w:jc w:val="center"/>
              <w:textAlignment w:val="auto"/>
              <w:rPr>
                <w:rFonts w:hint="eastAsia" w:ascii="方正黑体_GBK" w:hAnsi="方正黑体_GBK" w:eastAsia="方正黑体_GBK" w:cs="方正黑体_GBK"/>
                <w:b w:val="0"/>
                <w:bCs w:val="0"/>
                <w:sz w:val="22"/>
                <w:szCs w:val="20"/>
              </w:rPr>
            </w:pPr>
            <w:r>
              <w:rPr>
                <w:rFonts w:hint="eastAsia" w:ascii="方正黑体_GBK" w:hAnsi="方正黑体_GBK" w:eastAsia="方正黑体_GBK" w:cs="方正黑体_GBK"/>
                <w:b w:val="0"/>
                <w:bCs w:val="0"/>
                <w:sz w:val="22"/>
                <w:szCs w:val="20"/>
              </w:rPr>
              <w:t>指标</w:t>
            </w:r>
          </w:p>
        </w:tc>
        <w:tc>
          <w:tcPr>
            <w:tcW w:w="1793" w:type="dxa"/>
            <w:vAlign w:val="center"/>
          </w:tcPr>
          <w:p>
            <w:pPr>
              <w:keepNext w:val="0"/>
              <w:keepLines w:val="0"/>
              <w:pageBreakBefore w:val="0"/>
              <w:widowControl/>
              <w:numPr>
                <w:ilvl w:val="255"/>
                <w:numId w:val="0"/>
              </w:numPr>
              <w:kinsoku/>
              <w:wordWrap/>
              <w:overflowPunct/>
              <w:topLinePunct w:val="0"/>
              <w:autoSpaceDE/>
              <w:autoSpaceDN/>
              <w:bidi w:val="0"/>
              <w:adjustRightInd/>
              <w:snapToGrid/>
              <w:spacing w:line="360" w:lineRule="exact"/>
              <w:jc w:val="center"/>
              <w:textAlignment w:val="auto"/>
              <w:rPr>
                <w:rFonts w:hint="eastAsia" w:ascii="方正黑体_GBK" w:hAnsi="方正黑体_GBK" w:eastAsia="方正黑体_GBK" w:cs="方正黑体_GBK"/>
                <w:b w:val="0"/>
                <w:bCs w:val="0"/>
                <w:sz w:val="22"/>
                <w:szCs w:val="20"/>
              </w:rPr>
            </w:pPr>
            <w:r>
              <w:rPr>
                <w:rFonts w:hint="eastAsia" w:ascii="方正黑体_GBK" w:hAnsi="方正黑体_GBK" w:eastAsia="方正黑体_GBK" w:cs="方正黑体_GBK"/>
                <w:b w:val="0"/>
                <w:bCs w:val="0"/>
                <w:sz w:val="22"/>
                <w:szCs w:val="20"/>
              </w:rPr>
              <w:t>推荐阈值</w:t>
            </w:r>
          </w:p>
        </w:tc>
        <w:tc>
          <w:tcPr>
            <w:tcW w:w="4119" w:type="dxa"/>
            <w:vAlign w:val="center"/>
          </w:tcPr>
          <w:p>
            <w:pPr>
              <w:keepNext w:val="0"/>
              <w:keepLines w:val="0"/>
              <w:pageBreakBefore w:val="0"/>
              <w:widowControl/>
              <w:numPr>
                <w:ilvl w:val="255"/>
                <w:numId w:val="0"/>
              </w:numPr>
              <w:kinsoku/>
              <w:wordWrap/>
              <w:overflowPunct/>
              <w:topLinePunct w:val="0"/>
              <w:autoSpaceDE/>
              <w:autoSpaceDN/>
              <w:bidi w:val="0"/>
              <w:adjustRightInd/>
              <w:snapToGrid/>
              <w:spacing w:line="360" w:lineRule="exact"/>
              <w:jc w:val="center"/>
              <w:textAlignment w:val="auto"/>
              <w:rPr>
                <w:rFonts w:hint="eastAsia" w:ascii="方正黑体_GBK" w:hAnsi="方正黑体_GBK" w:eastAsia="方正黑体_GBK" w:cs="方正黑体_GBK"/>
                <w:b w:val="0"/>
                <w:bCs w:val="0"/>
                <w:sz w:val="22"/>
                <w:szCs w:val="20"/>
              </w:rPr>
            </w:pPr>
            <w:r>
              <w:rPr>
                <w:rFonts w:hint="eastAsia" w:ascii="方正黑体_GBK" w:hAnsi="方正黑体_GBK" w:eastAsia="方正黑体_GBK" w:cs="方正黑体_GBK"/>
                <w:b w:val="0"/>
                <w:bCs w:val="0"/>
                <w:sz w:val="22"/>
                <w:szCs w:val="20"/>
              </w:rPr>
              <w:t>适用场景</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2749" w:type="dxa"/>
          </w:tcPr>
          <w:p>
            <w:pPr>
              <w:widowControl/>
              <w:numPr>
                <w:ilvl w:val="255"/>
                <w:numId w:val="0"/>
              </w:numPr>
              <w:spacing w:line="400" w:lineRule="exact"/>
              <w:jc w:val="center"/>
              <w:rPr>
                <w:sz w:val="22"/>
                <w:szCs w:val="20"/>
              </w:rPr>
            </w:pPr>
            <w:r>
              <w:rPr>
                <w:sz w:val="22"/>
                <w:szCs w:val="20"/>
              </w:rPr>
              <w:t>显式缓存最小Token数</w:t>
            </w:r>
          </w:p>
        </w:tc>
        <w:tc>
          <w:tcPr>
            <w:tcW w:w="1793" w:type="dxa"/>
          </w:tcPr>
          <w:p>
            <w:pPr>
              <w:widowControl/>
              <w:numPr>
                <w:ilvl w:val="255"/>
                <w:numId w:val="0"/>
              </w:numPr>
              <w:spacing w:line="400" w:lineRule="exact"/>
              <w:jc w:val="center"/>
              <w:rPr>
                <w:sz w:val="22"/>
                <w:szCs w:val="20"/>
              </w:rPr>
            </w:pPr>
            <w:r>
              <w:rPr>
                <w:sz w:val="22"/>
                <w:szCs w:val="20"/>
              </w:rPr>
              <w:t>≥1024</w:t>
            </w:r>
          </w:p>
        </w:tc>
        <w:tc>
          <w:tcPr>
            <w:tcW w:w="4119" w:type="dxa"/>
          </w:tcPr>
          <w:p>
            <w:pPr>
              <w:widowControl/>
              <w:numPr>
                <w:ilvl w:val="255"/>
                <w:numId w:val="0"/>
              </w:numPr>
              <w:spacing w:line="400" w:lineRule="exact"/>
              <w:jc w:val="center"/>
              <w:rPr>
                <w:sz w:val="22"/>
                <w:szCs w:val="20"/>
              </w:rPr>
            </w:pPr>
            <w:r>
              <w:rPr>
                <w:sz w:val="22"/>
                <w:szCs w:val="20"/>
              </w:rPr>
              <w:t>高频重复前缀（系统提示词、知识库）</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2749" w:type="dxa"/>
            <w:vAlign w:val="center"/>
          </w:tcPr>
          <w:p>
            <w:pPr>
              <w:widowControl/>
              <w:numPr>
                <w:ilvl w:val="255"/>
                <w:numId w:val="0"/>
              </w:numPr>
              <w:spacing w:line="360" w:lineRule="exact"/>
              <w:jc w:val="center"/>
              <w:rPr>
                <w:sz w:val="22"/>
                <w:szCs w:val="20"/>
              </w:rPr>
            </w:pPr>
            <w:r>
              <w:rPr>
                <w:rFonts w:hint="eastAsia"/>
                <w:sz w:val="22"/>
                <w:szCs w:val="20"/>
              </w:rPr>
              <w:t>显示缓存有效期</w:t>
            </w:r>
          </w:p>
        </w:tc>
        <w:tc>
          <w:tcPr>
            <w:tcW w:w="1793" w:type="dxa"/>
            <w:vAlign w:val="center"/>
          </w:tcPr>
          <w:p>
            <w:pPr>
              <w:widowControl/>
              <w:numPr>
                <w:ilvl w:val="255"/>
                <w:numId w:val="0"/>
              </w:numPr>
              <w:spacing w:line="360" w:lineRule="exact"/>
              <w:jc w:val="center"/>
              <w:rPr>
                <w:sz w:val="22"/>
                <w:szCs w:val="20"/>
              </w:rPr>
            </w:pPr>
            <w:r>
              <w:rPr>
                <w:rFonts w:hint="eastAsia"/>
                <w:sz w:val="22"/>
                <w:szCs w:val="20"/>
              </w:rPr>
              <w:t>5</w:t>
            </w:r>
            <w:r>
              <w:rPr>
                <w:sz w:val="22"/>
                <w:szCs w:val="20"/>
              </w:rPr>
              <w:t>分钟</w:t>
            </w:r>
          </w:p>
          <w:p>
            <w:pPr>
              <w:widowControl/>
              <w:numPr>
                <w:ilvl w:val="255"/>
                <w:numId w:val="0"/>
              </w:numPr>
              <w:spacing w:line="360" w:lineRule="exact"/>
              <w:jc w:val="center"/>
              <w:rPr>
                <w:sz w:val="22"/>
                <w:szCs w:val="20"/>
              </w:rPr>
            </w:pPr>
            <w:r>
              <w:rPr>
                <w:sz w:val="22"/>
                <w:szCs w:val="20"/>
              </w:rPr>
              <w:t>（命中重置）</w:t>
            </w:r>
          </w:p>
        </w:tc>
        <w:tc>
          <w:tcPr>
            <w:tcW w:w="4119" w:type="dxa"/>
            <w:vAlign w:val="center"/>
          </w:tcPr>
          <w:p>
            <w:pPr>
              <w:widowControl/>
              <w:numPr>
                <w:ilvl w:val="255"/>
                <w:numId w:val="0"/>
              </w:numPr>
              <w:spacing w:line="360" w:lineRule="exact"/>
              <w:jc w:val="center"/>
              <w:rPr>
                <w:sz w:val="22"/>
                <w:szCs w:val="20"/>
              </w:rPr>
            </w:pPr>
            <w:r>
              <w:rPr>
                <w:sz w:val="22"/>
                <w:szCs w:val="20"/>
              </w:rPr>
              <w:t>同一前缀在5分钟内被≥2次调用</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2749" w:type="dxa"/>
          </w:tcPr>
          <w:p>
            <w:pPr>
              <w:widowControl/>
              <w:numPr>
                <w:ilvl w:val="255"/>
                <w:numId w:val="0"/>
              </w:numPr>
              <w:spacing w:line="400" w:lineRule="exact"/>
              <w:jc w:val="center"/>
              <w:rPr>
                <w:sz w:val="22"/>
                <w:szCs w:val="20"/>
              </w:rPr>
            </w:pPr>
            <w:r>
              <w:rPr>
                <w:sz w:val="22"/>
                <w:szCs w:val="20"/>
              </w:rPr>
              <w:t>压缩触发阈值</w:t>
            </w:r>
          </w:p>
        </w:tc>
        <w:tc>
          <w:tcPr>
            <w:tcW w:w="1793" w:type="dxa"/>
          </w:tcPr>
          <w:p>
            <w:pPr>
              <w:widowControl/>
              <w:numPr>
                <w:ilvl w:val="255"/>
                <w:numId w:val="0"/>
              </w:numPr>
              <w:spacing w:line="400" w:lineRule="exact"/>
              <w:jc w:val="center"/>
              <w:rPr>
                <w:sz w:val="22"/>
                <w:szCs w:val="20"/>
              </w:rPr>
            </w:pPr>
            <w:r>
              <w:rPr>
                <w:sz w:val="22"/>
                <w:szCs w:val="20"/>
              </w:rPr>
              <w:t>上下文窗口70%</w:t>
            </w:r>
          </w:p>
        </w:tc>
        <w:tc>
          <w:tcPr>
            <w:tcW w:w="4119" w:type="dxa"/>
          </w:tcPr>
          <w:p>
            <w:pPr>
              <w:widowControl/>
              <w:numPr>
                <w:ilvl w:val="255"/>
                <w:numId w:val="0"/>
              </w:numPr>
              <w:spacing w:line="400" w:lineRule="exact"/>
              <w:jc w:val="center"/>
              <w:rPr>
                <w:sz w:val="22"/>
                <w:szCs w:val="20"/>
              </w:rPr>
            </w:pPr>
            <w:r>
              <w:rPr>
                <w:sz w:val="22"/>
                <w:szCs w:val="20"/>
              </w:rPr>
              <w:t>多轮长对话</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2749" w:type="dxa"/>
          </w:tcPr>
          <w:p>
            <w:pPr>
              <w:widowControl/>
              <w:numPr>
                <w:ilvl w:val="255"/>
                <w:numId w:val="0"/>
              </w:numPr>
              <w:spacing w:line="400" w:lineRule="exact"/>
              <w:jc w:val="center"/>
              <w:rPr>
                <w:sz w:val="22"/>
                <w:szCs w:val="20"/>
              </w:rPr>
            </w:pPr>
            <w:r>
              <w:rPr>
                <w:sz w:val="22"/>
                <w:szCs w:val="20"/>
              </w:rPr>
              <w:t>保留阈值</w:t>
            </w:r>
          </w:p>
        </w:tc>
        <w:tc>
          <w:tcPr>
            <w:tcW w:w="1793" w:type="dxa"/>
          </w:tcPr>
          <w:p>
            <w:pPr>
              <w:widowControl/>
              <w:numPr>
                <w:ilvl w:val="255"/>
                <w:numId w:val="0"/>
              </w:numPr>
              <w:spacing w:line="400" w:lineRule="exact"/>
              <w:jc w:val="center"/>
              <w:rPr>
                <w:sz w:val="22"/>
                <w:szCs w:val="20"/>
              </w:rPr>
            </w:pPr>
            <w:r>
              <w:rPr>
                <w:sz w:val="22"/>
                <w:szCs w:val="20"/>
              </w:rPr>
              <w:t>保留最近30%</w:t>
            </w:r>
          </w:p>
        </w:tc>
        <w:tc>
          <w:tcPr>
            <w:tcW w:w="4119" w:type="dxa"/>
          </w:tcPr>
          <w:p>
            <w:pPr>
              <w:widowControl/>
              <w:numPr>
                <w:ilvl w:val="255"/>
                <w:numId w:val="0"/>
              </w:numPr>
              <w:spacing w:line="400" w:lineRule="exact"/>
              <w:jc w:val="center"/>
              <w:rPr>
                <w:sz w:val="22"/>
                <w:szCs w:val="20"/>
              </w:rPr>
            </w:pPr>
            <w:r>
              <w:rPr>
                <w:sz w:val="22"/>
                <w:szCs w:val="20"/>
              </w:rPr>
              <w:t>平衡信息保留与空间释放</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2749" w:type="dxa"/>
            <w:vAlign w:val="center"/>
          </w:tcPr>
          <w:p>
            <w:pPr>
              <w:widowControl/>
              <w:numPr>
                <w:ilvl w:val="255"/>
                <w:numId w:val="0"/>
              </w:numPr>
              <w:spacing w:line="400" w:lineRule="exact"/>
              <w:jc w:val="center"/>
              <w:rPr>
                <w:sz w:val="22"/>
                <w:szCs w:val="20"/>
              </w:rPr>
            </w:pPr>
            <w:r>
              <w:rPr>
                <w:sz w:val="22"/>
                <w:szCs w:val="20"/>
              </w:rPr>
              <w:t>核心业务TTL</w:t>
            </w:r>
            <w:r>
              <w:rPr>
                <w:rFonts w:hint="eastAsia"/>
                <w:sz w:val="22"/>
                <w:szCs w:val="20"/>
                <w:vertAlign w:val="superscript"/>
              </w:rPr>
              <w:t>7</w:t>
            </w:r>
          </w:p>
          <w:p>
            <w:pPr>
              <w:widowControl/>
              <w:numPr>
                <w:ilvl w:val="255"/>
                <w:numId w:val="0"/>
              </w:numPr>
              <w:spacing w:line="400" w:lineRule="exact"/>
              <w:jc w:val="center"/>
              <w:rPr>
                <w:sz w:val="22"/>
                <w:szCs w:val="20"/>
              </w:rPr>
            </w:pPr>
            <w:r>
              <w:rPr>
                <w:rFonts w:hint="eastAsia"/>
                <w:sz w:val="22"/>
                <w:szCs w:val="20"/>
              </w:rPr>
              <w:t>（缓存结果的有效时长）</w:t>
            </w:r>
          </w:p>
        </w:tc>
        <w:tc>
          <w:tcPr>
            <w:tcW w:w="1793" w:type="dxa"/>
            <w:vAlign w:val="center"/>
          </w:tcPr>
          <w:p>
            <w:pPr>
              <w:widowControl/>
              <w:numPr>
                <w:ilvl w:val="255"/>
                <w:numId w:val="0"/>
              </w:numPr>
              <w:spacing w:line="400" w:lineRule="exact"/>
              <w:jc w:val="center"/>
              <w:rPr>
                <w:sz w:val="22"/>
                <w:szCs w:val="20"/>
              </w:rPr>
            </w:pPr>
            <w:r>
              <w:rPr>
                <w:rFonts w:hint="eastAsia"/>
                <w:sz w:val="22"/>
                <w:szCs w:val="20"/>
              </w:rPr>
              <w:t>30分钟</w:t>
            </w:r>
          </w:p>
        </w:tc>
        <w:tc>
          <w:tcPr>
            <w:tcW w:w="4119" w:type="dxa"/>
            <w:vAlign w:val="center"/>
          </w:tcPr>
          <w:p>
            <w:pPr>
              <w:widowControl/>
              <w:numPr>
                <w:ilvl w:val="255"/>
                <w:numId w:val="0"/>
              </w:numPr>
              <w:spacing w:line="400" w:lineRule="exact"/>
              <w:jc w:val="center"/>
              <w:rPr>
                <w:sz w:val="22"/>
                <w:szCs w:val="20"/>
              </w:rPr>
            </w:pPr>
            <w:r>
              <w:rPr>
                <w:sz w:val="22"/>
                <w:szCs w:val="20"/>
              </w:rPr>
              <w:t>风控、审批等深度推理</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2749" w:type="dxa"/>
          </w:tcPr>
          <w:p>
            <w:pPr>
              <w:widowControl/>
              <w:numPr>
                <w:ilvl w:val="255"/>
                <w:numId w:val="0"/>
              </w:numPr>
              <w:spacing w:line="400" w:lineRule="exact"/>
              <w:jc w:val="center"/>
              <w:rPr>
                <w:sz w:val="22"/>
                <w:szCs w:val="20"/>
              </w:rPr>
            </w:pPr>
            <w:r>
              <w:rPr>
                <w:rFonts w:hint="eastAsia"/>
                <w:sz w:val="22"/>
                <w:szCs w:val="20"/>
              </w:rPr>
              <w:t>通用服务TTL</w:t>
            </w:r>
          </w:p>
        </w:tc>
        <w:tc>
          <w:tcPr>
            <w:tcW w:w="1793" w:type="dxa"/>
          </w:tcPr>
          <w:p>
            <w:pPr>
              <w:widowControl/>
              <w:numPr>
                <w:ilvl w:val="255"/>
                <w:numId w:val="0"/>
              </w:numPr>
              <w:spacing w:line="400" w:lineRule="exact"/>
              <w:jc w:val="center"/>
              <w:rPr>
                <w:sz w:val="22"/>
                <w:szCs w:val="20"/>
              </w:rPr>
            </w:pPr>
            <w:r>
              <w:rPr>
                <w:rFonts w:hint="eastAsia"/>
                <w:sz w:val="22"/>
                <w:szCs w:val="20"/>
              </w:rPr>
              <w:t>3分钟</w:t>
            </w:r>
          </w:p>
        </w:tc>
        <w:tc>
          <w:tcPr>
            <w:tcW w:w="4119" w:type="dxa"/>
          </w:tcPr>
          <w:p>
            <w:pPr>
              <w:widowControl/>
              <w:numPr>
                <w:ilvl w:val="255"/>
                <w:numId w:val="0"/>
              </w:numPr>
              <w:spacing w:line="400" w:lineRule="exact"/>
              <w:jc w:val="center"/>
              <w:rPr>
                <w:sz w:val="22"/>
                <w:szCs w:val="20"/>
              </w:rPr>
            </w:pPr>
            <w:r>
              <w:rPr>
                <w:sz w:val="22"/>
                <w:szCs w:val="20"/>
              </w:rPr>
              <w:t>临时性Q&amp;A</w:t>
            </w:r>
          </w:p>
        </w:tc>
      </w:tr>
    </w:tbl>
    <w:p>
      <w:pPr>
        <w:pStyle w:val="5"/>
        <w:ind w:firstLine="643" w:firstLineChars="0"/>
        <w:rPr>
          <w:rFonts w:ascii="Times New Roman" w:hAnsi="Times New Roman" w:eastAsia="方正仿宋_GBK" w:cs="Times New Roman"/>
          <w:b/>
          <w:bCs/>
          <w:color w:val="auto"/>
          <w:sz w:val="32"/>
          <w:szCs w:val="32"/>
        </w:rPr>
      </w:pPr>
      <w:r>
        <w:rPr>
          <w:rFonts w:hint="eastAsia" w:ascii="Times New Roman" w:hAnsi="Times New Roman" w:eastAsia="方正仿宋_GBK" w:cs="Times New Roman"/>
          <w:b/>
          <w:bCs/>
          <w:color w:val="auto"/>
          <w:sz w:val="32"/>
          <w:szCs w:val="32"/>
        </w:rPr>
        <w:t>（4）Prompt</w:t>
      </w:r>
      <w:r>
        <w:rPr>
          <w:rFonts w:hint="eastAsia" w:ascii="Times New Roman" w:hAnsi="Times New Roman" w:eastAsia="方正仿宋_GBK" w:cs="Times New Roman"/>
          <w:b/>
          <w:bCs/>
          <w:color w:val="auto"/>
          <w:sz w:val="32"/>
          <w:szCs w:val="32"/>
          <w:vertAlign w:val="superscript"/>
        </w:rPr>
        <w:t>8</w:t>
      </w:r>
      <w:r>
        <w:rPr>
          <w:rFonts w:hint="eastAsia" w:ascii="Times New Roman" w:hAnsi="Times New Roman" w:eastAsia="方正仿宋_GBK" w:cs="Times New Roman"/>
          <w:b/>
          <w:bCs/>
          <w:color w:val="auto"/>
          <w:sz w:val="32"/>
          <w:szCs w:val="32"/>
        </w:rPr>
        <w:t>管理</w:t>
      </w:r>
    </w:p>
    <w:p>
      <w:pPr>
        <w:ind w:firstLine="643"/>
      </w:pPr>
      <w:r>
        <w:rPr>
          <w:rFonts w:hint="eastAsia"/>
          <w:b/>
          <w:bCs/>
        </w:rPr>
        <w:t>影响机制</w:t>
      </w:r>
      <w:r>
        <w:rPr>
          <w:rFonts w:hint="eastAsia"/>
        </w:rPr>
        <w:t>：制造业的核心难点在于模型缺乏领域知识，需通过Prompt管理框定模型在专业领域内作答，抑制幻觉，避免因大量幻觉造成Token无效消耗。一方面，在用户端，用户输入的提示词长度、指令清晰度直接影响着Token消耗量。指令越清晰，模型输出的冗余和试探性内容越少，总Token消耗越低；另一方面，在系统端，在System Prompt</w:t>
      </w:r>
      <w:r>
        <w:rPr>
          <w:rFonts w:hint="eastAsia"/>
          <w:vertAlign w:val="superscript"/>
        </w:rPr>
        <w:t>9</w:t>
      </w:r>
      <w:r>
        <w:rPr>
          <w:rFonts w:hint="eastAsia"/>
        </w:rPr>
        <w:t>中固定写入角色定义、专业领域约束、术语规范和输出格式等稳定内容，有利于多轮交互中前缀缓存命中，减少重复的prefill</w:t>
      </w:r>
      <w:r>
        <w:rPr>
          <w:rFonts w:hint="eastAsia"/>
          <w:vertAlign w:val="superscript"/>
        </w:rPr>
        <w:t>10</w:t>
      </w:r>
      <w:r>
        <w:rPr>
          <w:rFonts w:hint="eastAsia"/>
        </w:rPr>
        <w:t>计算开销，降低首Token延迟。</w:t>
      </w:r>
    </w:p>
    <w:p>
      <w:pPr>
        <w:numPr>
          <w:ilvl w:val="255"/>
          <w:numId w:val="0"/>
        </w:numPr>
        <w:ind w:firstLine="643"/>
      </w:pPr>
      <w:r>
        <w:rPr>
          <w:rFonts w:hint="eastAsia"/>
          <w:b/>
          <w:bCs/>
        </w:rPr>
        <w:t>常见不合理管理行为</w:t>
      </w:r>
      <w:r>
        <w:rPr>
          <w:rFonts w:hint="eastAsia"/>
        </w:rPr>
        <w:t>：①企业在编写Prompt时，存在无角色约束、无输出格式约束、指令模糊笼统等问题，同一概念在不同Prompt中术语表述不统一，业务参数直接硬编码在模板中而非通过变量动态注入。②在架构设计层面，企业将动态业务数据混入System Prompt，导致多轮交互中前缀缓存无法命中，重复计算开销居高不下。</w:t>
      </w:r>
    </w:p>
    <w:p>
      <w:pPr>
        <w:pStyle w:val="4"/>
        <w:ind w:firstLine="643"/>
      </w:pPr>
      <w:bookmarkStart w:id="15" w:name="_Toc859"/>
      <w:bookmarkStart w:id="16" w:name="_Toc13762"/>
      <w:bookmarkStart w:id="17" w:name="_Toc2498"/>
      <w:r>
        <w:rPr>
          <w:rFonts w:hint="eastAsia"/>
        </w:rPr>
        <w:t>2.对成本管控的管理</w:t>
      </w:r>
      <w:bookmarkEnd w:id="15"/>
      <w:bookmarkEnd w:id="16"/>
      <w:bookmarkEnd w:id="17"/>
    </w:p>
    <w:p>
      <w:pPr>
        <w:ind w:firstLine="640"/>
      </w:pPr>
      <w:r>
        <w:rPr>
          <w:rFonts w:hint="eastAsia"/>
        </w:rPr>
        <w:t>API调用具有高频、碎片化和多并发的特点，传统的总账式财务管理极易导致成本失控。通过建立精细化的Token成本核算体系，将费用颗粒度细化到部门级、项目级乃至业务级，将AI消耗与业务收益绑定，是打破Token应用“黑盒”，实现企业AI投入的可视、可管、可算与可追溯的重要手段。</w:t>
      </w:r>
    </w:p>
    <w:p>
      <w:pPr>
        <w:pStyle w:val="5"/>
        <w:ind w:firstLine="643"/>
        <w:rPr>
          <w:rFonts w:ascii="Times New Roman" w:hAnsi="Times New Roman" w:eastAsia="方正仿宋_GBK" w:cs="Times New Roman"/>
          <w:b/>
          <w:bCs/>
          <w:color w:val="auto"/>
          <w:sz w:val="32"/>
          <w:szCs w:val="32"/>
        </w:rPr>
      </w:pPr>
      <w:r>
        <w:rPr>
          <w:rFonts w:hint="eastAsia" w:ascii="Times New Roman" w:hAnsi="Times New Roman" w:eastAsia="方正仿宋_GBK" w:cs="Times New Roman"/>
          <w:b/>
          <w:bCs/>
          <w:color w:val="auto"/>
          <w:sz w:val="32"/>
          <w:szCs w:val="32"/>
        </w:rPr>
        <w:t>（1）用量配额管理</w:t>
      </w:r>
    </w:p>
    <w:p>
      <w:pPr>
        <w:ind w:firstLine="643"/>
      </w:pPr>
      <w:r>
        <w:rPr>
          <w:rFonts w:hint="eastAsia"/>
          <w:b/>
          <w:bCs/>
        </w:rPr>
        <w:t>影响机制</w:t>
      </w:r>
      <w:r>
        <w:rPr>
          <w:rFonts w:hint="eastAsia"/>
        </w:rPr>
        <w:t>：目前，公有云厂商在API调用时并发技术已十分成熟，能够支撑企业内部多业务部门、多项目并行的模型应用请求。在此背景下，一旦缺乏明确的边界限制，极易引发预算失控与资源挤兑。通过为不同业务线、部门或独立项目设置独立的Token配额，能够确保各个业务单元仅在分配的预算池内运行，不仅防止某个业务的突发流量或异常循环调用导致企业整体算力资源耗尽，还能通过差异化配额确保核心生产业务的Token调用额度。</w:t>
      </w:r>
    </w:p>
    <w:p>
      <w:pPr>
        <w:ind w:firstLine="643"/>
      </w:pPr>
      <w:r>
        <w:rPr>
          <w:rFonts w:hint="eastAsia"/>
          <w:b/>
          <w:bCs/>
        </w:rPr>
        <w:t>常见不合理管理行为</w:t>
      </w:r>
      <w:r>
        <w:rPr>
          <w:rFonts w:hint="eastAsia"/>
        </w:rPr>
        <w:t>：①企业未根据各业务线的实际流量特征和重要程度进行差异化配置，导致低频高优业务与高频低优业务抢占相同的并发速率，造成核心业务在高峰期响应延迟。②企业仅在项目初期进行Token配额分配，缺乏事后的成本归因与ROI</w:t>
      </w:r>
      <w:r>
        <w:rPr>
          <w:rFonts w:hint="eastAsia"/>
          <w:vertAlign w:val="superscript"/>
        </w:rPr>
        <w:t>11</w:t>
      </w:r>
      <w:r>
        <w:rPr>
          <w:rFonts w:hint="eastAsia"/>
        </w:rPr>
        <w:t>评估，对长期消耗高但业务收益低的项目未及时收回或削减配额，导致资源长期被无效占用。</w:t>
      </w:r>
    </w:p>
    <w:p>
      <w:pPr>
        <w:pStyle w:val="5"/>
        <w:ind w:firstLine="643"/>
        <w:rPr>
          <w:rFonts w:ascii="Times New Roman" w:hAnsi="Times New Roman" w:eastAsia="方正仿宋_GBK" w:cs="Times New Roman"/>
          <w:b/>
          <w:bCs/>
          <w:color w:val="auto"/>
          <w:sz w:val="32"/>
          <w:szCs w:val="32"/>
        </w:rPr>
      </w:pPr>
      <w:r>
        <w:rPr>
          <w:rFonts w:hint="eastAsia" w:ascii="Times New Roman" w:hAnsi="Times New Roman" w:eastAsia="方正仿宋_GBK" w:cs="Times New Roman"/>
          <w:b/>
          <w:bCs/>
          <w:color w:val="auto"/>
          <w:sz w:val="32"/>
          <w:szCs w:val="32"/>
        </w:rPr>
        <w:t>（2）财务归因管理</w:t>
      </w:r>
    </w:p>
    <w:p>
      <w:pPr>
        <w:ind w:firstLine="643"/>
      </w:pPr>
      <w:r>
        <w:rPr>
          <w:rFonts w:hint="eastAsia"/>
          <w:b/>
          <w:bCs/>
        </w:rPr>
        <w:t>影响机制</w:t>
      </w:r>
      <w:r>
        <w:rPr>
          <w:rFonts w:hint="eastAsia"/>
        </w:rPr>
        <w:t>：公有云API模式下，Token消耗是跟用户量、业务场景线性相关的，若所有部门共享一个账单，极易出现验证困难的结果。通过建立财务归因体系，将Token消耗费用精准拆解到具体部门、项目组甚至产品线，为企业内部费用展示与成本结算提供数据依据，从而主动约束不合理的调用行为。</w:t>
      </w:r>
    </w:p>
    <w:p>
      <w:pPr>
        <w:ind w:firstLine="643"/>
      </w:pPr>
      <w:r>
        <w:rPr>
          <w:rFonts w:hint="eastAsia"/>
          <w:b/>
          <w:bCs/>
        </w:rPr>
        <w:t>常见不合理管理行为</w:t>
      </w:r>
      <w:r>
        <w:rPr>
          <w:rFonts w:hint="eastAsia"/>
        </w:rPr>
        <w:t>：采用统一账单，缺乏精细化的成本归因，导致大量资源在系统中持续被消耗，却不清楚消耗在哪、产生的业务价值，最终陷入验证黑洞。</w:t>
      </w:r>
    </w:p>
    <w:p>
      <w:pPr>
        <w:pStyle w:val="5"/>
        <w:ind w:firstLine="643"/>
        <w:rPr>
          <w:rFonts w:ascii="Times New Roman" w:hAnsi="Times New Roman" w:eastAsia="方正仿宋_GBK" w:cs="Times New Roman"/>
          <w:b/>
          <w:bCs/>
          <w:color w:val="auto"/>
          <w:sz w:val="32"/>
          <w:szCs w:val="32"/>
        </w:rPr>
      </w:pPr>
      <w:r>
        <w:rPr>
          <w:rFonts w:hint="eastAsia" w:ascii="Times New Roman" w:hAnsi="Times New Roman" w:eastAsia="方正仿宋_GBK" w:cs="Times New Roman"/>
          <w:b/>
          <w:bCs/>
          <w:color w:val="auto"/>
          <w:sz w:val="32"/>
          <w:szCs w:val="32"/>
        </w:rPr>
        <w:t>（3）ROI评估管理</w:t>
      </w:r>
    </w:p>
    <w:p>
      <w:pPr>
        <w:ind w:firstLine="643"/>
      </w:pPr>
      <w:r>
        <w:rPr>
          <w:rFonts w:hint="eastAsia"/>
          <w:b/>
          <w:bCs/>
        </w:rPr>
        <w:t>影响机制</w:t>
      </w:r>
      <w:r>
        <w:rPr>
          <w:rFonts w:hint="eastAsia"/>
        </w:rPr>
        <w:t>：在Token成本归因的基础上，进一步量化Token消耗所转化出的业务收益，企业才能确认不同AI项目的投入产出比，从而对于投资回报率高的核心业务追加预算，对于投资回报率低的边缘项目削减配额，以确保企业AI投入始终沿高价值方向演进。</w:t>
      </w:r>
    </w:p>
    <w:p>
      <w:pPr>
        <w:ind w:firstLine="643"/>
      </w:pPr>
      <w:r>
        <w:rPr>
          <w:rFonts w:hint="eastAsia"/>
          <w:b/>
          <w:bCs/>
        </w:rPr>
        <w:t>常见不合理管理行为</w:t>
      </w:r>
      <w:r>
        <w:rPr>
          <w:rFonts w:hint="eastAsia"/>
        </w:rPr>
        <w:t>：制定的ROI评估标准不合理，或ROI折算口径全局不统一，导致数据无法横向对比。</w:t>
      </w:r>
    </w:p>
    <w:p>
      <w:pPr>
        <w:pStyle w:val="4"/>
        <w:ind w:firstLine="643"/>
      </w:pPr>
      <w:bookmarkStart w:id="18" w:name="_Toc25007"/>
      <w:bookmarkStart w:id="19" w:name="_Toc29440"/>
      <w:bookmarkStart w:id="20" w:name="_Toc8376"/>
      <w:r>
        <w:rPr>
          <w:rFonts w:hint="eastAsia"/>
        </w:rPr>
        <w:t>3.对数据安全的管理</w:t>
      </w:r>
      <w:bookmarkEnd w:id="18"/>
      <w:bookmarkEnd w:id="19"/>
      <w:bookmarkEnd w:id="20"/>
    </w:p>
    <w:p>
      <w:pPr>
        <w:numPr>
          <w:ilvl w:val="255"/>
          <w:numId w:val="0"/>
        </w:numPr>
        <w:ind w:firstLine="640" w:firstLineChars="200"/>
      </w:pPr>
      <w:r>
        <w:rPr>
          <w:rFonts w:hint="eastAsia"/>
        </w:rPr>
        <w:t>企业通过API调用大模型时，数据传输的公网、数据云端存储的数据库以及访问数据的端口均存在被攻击的风险，Token管理作为数据安全管理的核心防线，成为企业数据出域安全管控的关键抓手。</w:t>
      </w:r>
    </w:p>
    <w:p>
      <w:pPr>
        <w:pStyle w:val="5"/>
        <w:ind w:firstLine="643"/>
        <w:rPr>
          <w:rFonts w:ascii="Times New Roman" w:hAnsi="Times New Roman" w:eastAsia="方正仿宋_GBK" w:cs="Times New Roman"/>
          <w:color w:val="auto"/>
          <w:sz w:val="32"/>
          <w:szCs w:val="32"/>
        </w:rPr>
      </w:pPr>
      <w:r>
        <w:rPr>
          <w:rFonts w:hint="eastAsia" w:ascii="Times New Roman" w:hAnsi="Times New Roman" w:eastAsia="方正仿宋_GBK" w:cs="Times New Roman"/>
          <w:b/>
          <w:bCs/>
          <w:color w:val="auto"/>
          <w:sz w:val="32"/>
          <w:szCs w:val="32"/>
        </w:rPr>
        <w:t>（1）数据出域脱敏管理</w:t>
      </w:r>
    </w:p>
    <w:p>
      <w:pPr>
        <w:ind w:firstLine="643"/>
      </w:pPr>
      <w:r>
        <w:rPr>
          <w:rFonts w:hint="eastAsia"/>
          <w:b/>
          <w:bCs/>
        </w:rPr>
        <w:t>影响机制</w:t>
      </w:r>
      <w:r>
        <w:rPr>
          <w:rFonts w:hint="eastAsia"/>
        </w:rPr>
        <w:t>：API调用模式下，Prompt和上下文数据往往会以日志、缓存或数据库记录的形式落地，将包含敏感数据的Prompt发送至云端模型时，存在被留存、泄露或用于模型训练的风险。因此，在数据发送给云端模型之前，通过Token安全网关实时扫描Prompt内容，拦截违规内容，防范员工在非涉密AI工具中输入内部敏感数据导致的投喂式泄密，以及黑客通过海量Token汇总分析挖掘涉密信息的碎片式泄密，是防止核心数据流入云端模型训练或推理链路的关键手段。</w:t>
      </w:r>
    </w:p>
    <w:p>
      <w:pPr>
        <w:ind w:firstLine="643"/>
      </w:pPr>
      <w:r>
        <w:rPr>
          <w:rFonts w:hint="eastAsia"/>
          <w:b/>
          <w:bCs/>
        </w:rPr>
        <w:t>常见不合理管理行为</w:t>
      </w:r>
      <w:r>
        <w:rPr>
          <w:rFonts w:hint="eastAsia"/>
        </w:rPr>
        <w:t>：①企业仅依赖传统的文件级或数据库级脱敏，直接将包含商业机密、个人隐私的原始文本作为Prompt发送给大模型。②企业AI工具的使用权限与员工的业务权限未做分级管控，发生越权调用情况。</w:t>
      </w:r>
    </w:p>
    <w:p>
      <w:pPr>
        <w:pStyle w:val="5"/>
        <w:ind w:firstLine="643"/>
        <w:rPr>
          <w:rFonts w:ascii="Times New Roman" w:hAnsi="Times New Roman" w:eastAsia="方正仿宋_GBK" w:cs="Times New Roman"/>
          <w:b/>
          <w:bCs/>
          <w:color w:val="auto"/>
          <w:sz w:val="32"/>
          <w:szCs w:val="32"/>
        </w:rPr>
      </w:pPr>
      <w:r>
        <w:rPr>
          <w:rFonts w:hint="eastAsia" w:ascii="Times New Roman" w:hAnsi="Times New Roman" w:eastAsia="方正仿宋_GBK" w:cs="Times New Roman"/>
          <w:b/>
          <w:bCs/>
          <w:color w:val="auto"/>
          <w:sz w:val="32"/>
          <w:szCs w:val="32"/>
        </w:rPr>
        <w:t>（2）API凭证安全管理</w:t>
      </w:r>
    </w:p>
    <w:p>
      <w:pPr>
        <w:ind w:firstLine="643"/>
      </w:pPr>
      <w:r>
        <w:rPr>
          <w:rFonts w:hint="eastAsia"/>
          <w:b/>
          <w:bCs/>
        </w:rPr>
        <w:t>影响机制</w:t>
      </w:r>
      <w:r>
        <w:rPr>
          <w:rFonts w:hint="eastAsia"/>
        </w:rPr>
        <w:t>：API凭证是企业链接公有云的唯一专属凭证，与企业大模型应用账户安全与财务费用直接关联。一方面，API凭证泄露可能造成攻击者恶意盗刷，带来Token消耗失控的后果。另一方面，合理的API凭证管理要求为不同的业务、项目甚至不同的Agent分配独立凭证或子账号凭证，使得Token的消耗可以按凭证级别、会话级别甚至任务级别进行精准归因，从而实现企业成本优化与预算控制。</w:t>
      </w:r>
    </w:p>
    <w:p>
      <w:pPr>
        <w:ind w:firstLine="643"/>
      </w:pPr>
      <w:r>
        <w:rPr>
          <w:rFonts w:hint="eastAsia"/>
          <w:b/>
          <w:bCs/>
        </w:rPr>
        <w:t>常见不合理管理行为</w:t>
      </w:r>
      <w:r>
        <w:rPr>
          <w:rFonts w:hint="eastAsia"/>
        </w:rPr>
        <w:t>：①企业将API凭证明文硬编码写入前端代码、代码库或日志等公开或半公开环境，或者多个项目共享同一个拥有全量权限的主凭证。②企业缺乏凭证的定期轮换和自动过期机制，员工离职或项目下线后，旧凭证仍在后台运行；或未对API凭证设置调用频率限制和Token预算上限。</w:t>
      </w:r>
    </w:p>
    <w:p>
      <w:pPr>
        <w:pStyle w:val="3"/>
        <w:rPr>
          <w:bCs w:val="0"/>
        </w:rPr>
      </w:pPr>
      <w:bookmarkStart w:id="21" w:name="_Toc3256"/>
      <w:bookmarkStart w:id="22" w:name="_Toc4403"/>
      <w:bookmarkStart w:id="23" w:name="_Toc4554"/>
      <w:r>
        <w:rPr>
          <w:rFonts w:hint="eastAsia"/>
        </w:rPr>
        <w:t>（二）</w:t>
      </w:r>
      <w:r>
        <w:t>本地部署</w:t>
      </w:r>
      <w:r>
        <w:rPr>
          <w:rFonts w:hint="eastAsia"/>
          <w:bCs w:val="0"/>
        </w:rPr>
        <w:t>模式</w:t>
      </w:r>
      <w:bookmarkEnd w:id="21"/>
      <w:bookmarkEnd w:id="22"/>
      <w:bookmarkEnd w:id="23"/>
    </w:p>
    <w:p>
      <w:pPr>
        <w:ind w:firstLine="640"/>
      </w:pPr>
      <w:r>
        <w:t>本地部署</w:t>
      </w:r>
      <w:r>
        <w:rPr>
          <w:rFonts w:hint="eastAsia"/>
        </w:rPr>
        <w:t>模式，是指将模型部署在企业自有服务器或私有云环境中，将其封装为内部API服务以提供推理能力的模式。在此模式下，企业自持GPU、服务器等硬件资源，不存在云端按Token计费的规则，Token消耗与企业自有算力、存储资源占用直接关联。Token管理的核心在于依托Token消耗规律统筹全局硬件资源调度，提升算力基础设施利用效能。</w:t>
      </w:r>
    </w:p>
    <w:p>
      <w:pPr>
        <w:pStyle w:val="4"/>
        <w:ind w:firstLine="643" w:firstLineChars="0"/>
      </w:pPr>
      <w:bookmarkStart w:id="24" w:name="_Toc14588"/>
      <w:bookmarkStart w:id="25" w:name="_Toc24101"/>
      <w:bookmarkStart w:id="26" w:name="_Toc32517"/>
      <w:r>
        <w:rPr>
          <w:rFonts w:hint="eastAsia"/>
        </w:rPr>
        <w:t>1.对显存资源的管理</w:t>
      </w:r>
      <w:bookmarkEnd w:id="24"/>
      <w:bookmarkEnd w:id="25"/>
      <w:bookmarkEnd w:id="26"/>
    </w:p>
    <w:p>
      <w:pPr>
        <w:numPr>
          <w:ilvl w:val="255"/>
          <w:numId w:val="0"/>
        </w:numPr>
        <w:ind w:firstLine="640" w:firstLineChars="200"/>
      </w:pPr>
      <w:r>
        <w:rPr>
          <w:rFonts w:hint="eastAsia"/>
        </w:rPr>
        <w:t>本地部署模式下，GPU高带宽显存承载推理过程中全部输入、输出Token，其承载的Token上限受到动态显存容量约束。冗余Token、超长上下文会抬高显存占用峰值，而显存分配调度效率也会反向影响系统可支撑的Token并发规模。通过精细化治理上下文缓存，削减重复Token带来的稳态显存占用；优化动态显存分配机制，解决显存碎片问题，可提升硬件对Token请求的承载效率。</w:t>
      </w:r>
    </w:p>
    <w:p>
      <w:pPr>
        <w:pStyle w:val="5"/>
        <w:ind w:firstLine="643"/>
        <w:rPr>
          <w:rFonts w:ascii="Times New Roman" w:hAnsi="Times New Roman" w:eastAsia="方正仿宋_GBK" w:cs="Times New Roman"/>
          <w:b/>
          <w:bCs/>
          <w:color w:val="auto"/>
          <w:sz w:val="32"/>
          <w:szCs w:val="32"/>
        </w:rPr>
      </w:pPr>
      <w:r>
        <w:rPr>
          <w:rFonts w:hint="eastAsia" w:ascii="Times New Roman" w:hAnsi="Times New Roman" w:eastAsia="方正仿宋_GBK" w:cs="Times New Roman"/>
          <w:b/>
          <w:bCs/>
          <w:color w:val="auto"/>
          <w:sz w:val="32"/>
          <w:szCs w:val="32"/>
        </w:rPr>
        <w:t>（1）上下文缓存管理</w:t>
      </w:r>
    </w:p>
    <w:p>
      <w:pPr>
        <w:ind w:firstLine="643"/>
      </w:pPr>
      <w:r>
        <w:rPr>
          <w:rFonts w:hint="eastAsia"/>
          <w:b/>
          <w:bCs/>
        </w:rPr>
        <w:t>影响机制：</w:t>
      </w:r>
      <w:r>
        <w:rPr>
          <w:rFonts w:hint="eastAsia"/>
        </w:rPr>
        <w:t>工业场景存在大量重复推理基线文本，如标准化提示词、通用手册、规范、固定台账字段等静态上下文Token。模型推理时，KV Cache需要不断读取和写入历史对话的缓存，若无有效的上下文缓存机制，每一次同类型业务推理都会重复加载全套基线文本，持续挤占有限的GPU显存，形成无价值的基线Token开销，导致并发能力急剧下降、响应延迟飙升，最终触发显存溢出</w:t>
      </w:r>
      <w:r>
        <w:rPr>
          <w:rFonts w:hint="eastAsia"/>
          <w:vertAlign w:val="superscript"/>
        </w:rPr>
        <w:t>12</w:t>
      </w:r>
      <w:r>
        <w:rPr>
          <w:rFonts w:hint="eastAsia"/>
        </w:rPr>
        <w:t>致使服务崩溃。</w:t>
      </w:r>
    </w:p>
    <w:p>
      <w:pPr>
        <w:numPr>
          <w:ilvl w:val="255"/>
          <w:numId w:val="0"/>
        </w:numPr>
        <w:ind w:firstLine="642" w:firstLineChars="200"/>
      </w:pPr>
      <w:r>
        <w:rPr>
          <w:rFonts w:hint="eastAsia"/>
          <w:b/>
          <w:bCs/>
        </w:rPr>
        <w:t>常见不合理管理行为</w:t>
      </w:r>
      <w:r>
        <w:rPr>
          <w:rFonts w:hint="eastAsia"/>
        </w:rPr>
        <w:t>：①未划分缓存显存配额，所有会话的完整上下文长期常驻显存，大量低活跃度、低频访问的历史会话缓存持续堆积，挤占新推理任务的KV Cache空间，迫使新会话强制截断有效业务Token，或引发显存溢出。②未配置缓存淘汰规则，长期闲置会话上下文持续留存，显存资源被低频低价值Token长期占用，GPU整体Token并发承载能力下降。③多会话重复召回相同知识库片段时，缓存未做统一索引，多份相同Token向量重复存储，缓存冗余叠加上下文原生冗余，双重推高显存Token负载。</w:t>
      </w:r>
    </w:p>
    <w:p>
      <w:pPr>
        <w:numPr>
          <w:ilvl w:val="255"/>
          <w:numId w:val="0"/>
        </w:numPr>
        <w:jc w:val="center"/>
        <w:rPr>
          <w:rFonts w:hint="default" w:ascii="Times New Roman" w:hAnsi="Times New Roman" w:eastAsia="方正黑体_GBK" w:cs="Times New Roman"/>
          <w:sz w:val="24"/>
          <w:szCs w:val="21"/>
        </w:rPr>
      </w:pPr>
      <w:r>
        <w:rPr>
          <w:rFonts w:hint="default" w:ascii="Times New Roman" w:hAnsi="Times New Roman" w:eastAsia="方正黑体_GBK" w:cs="Times New Roman"/>
          <w:sz w:val="24"/>
          <w:szCs w:val="21"/>
        </w:rPr>
        <w:t>表</w:t>
      </w:r>
      <w:r>
        <w:rPr>
          <w:rFonts w:hint="default" w:ascii="Times New Roman" w:hAnsi="Times New Roman" w:eastAsia="方正黑体_GBK" w:cs="Times New Roman"/>
          <w:sz w:val="24"/>
          <w:szCs w:val="21"/>
        </w:rPr>
        <w:fldChar w:fldCharType="begin"/>
      </w:r>
      <w:r>
        <w:rPr>
          <w:rFonts w:hint="default" w:ascii="Times New Roman" w:hAnsi="Times New Roman" w:eastAsia="方正黑体_GBK" w:cs="Times New Roman"/>
          <w:sz w:val="24"/>
          <w:szCs w:val="21"/>
        </w:rPr>
        <w:instrText xml:space="preserve"> SEQ 表 \* ARABIC </w:instrText>
      </w:r>
      <w:r>
        <w:rPr>
          <w:rFonts w:hint="default" w:ascii="Times New Roman" w:hAnsi="Times New Roman" w:eastAsia="方正黑体_GBK" w:cs="Times New Roman"/>
          <w:sz w:val="24"/>
          <w:szCs w:val="21"/>
        </w:rPr>
        <w:fldChar w:fldCharType="separate"/>
      </w:r>
      <w:r>
        <w:rPr>
          <w:rFonts w:hint="default" w:ascii="Times New Roman" w:hAnsi="Times New Roman" w:eastAsia="方正黑体_GBK" w:cs="Times New Roman"/>
          <w:sz w:val="24"/>
          <w:szCs w:val="21"/>
        </w:rPr>
        <w:t>2</w:t>
      </w:r>
      <w:r>
        <w:rPr>
          <w:rFonts w:hint="default" w:ascii="Times New Roman" w:hAnsi="Times New Roman" w:eastAsia="方正黑体_GBK" w:cs="Times New Roman"/>
          <w:sz w:val="24"/>
          <w:szCs w:val="21"/>
        </w:rPr>
        <w:fldChar w:fldCharType="end"/>
      </w:r>
      <w:r>
        <w:rPr>
          <w:rFonts w:hint="default" w:ascii="Times New Roman" w:hAnsi="Times New Roman" w:eastAsia="方正黑体_GBK" w:cs="Times New Roman"/>
          <w:sz w:val="24"/>
          <w:szCs w:val="21"/>
        </w:rPr>
        <w:t xml:space="preserve"> 制造业企业本地部署模式下显示缓存核心指标设置建议</w:t>
      </w:r>
    </w:p>
    <w:tbl>
      <w:tblPr>
        <w:tblStyle w:val="26"/>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2749"/>
        <w:gridCol w:w="1324"/>
        <w:gridCol w:w="4459"/>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2749" w:type="dxa"/>
            <w:vAlign w:val="center"/>
          </w:tcPr>
          <w:p>
            <w:pPr>
              <w:keepNext w:val="0"/>
              <w:keepLines w:val="0"/>
              <w:pageBreakBefore w:val="0"/>
              <w:widowControl/>
              <w:numPr>
                <w:ilvl w:val="255"/>
                <w:numId w:val="0"/>
              </w:numPr>
              <w:kinsoku/>
              <w:wordWrap/>
              <w:overflowPunct/>
              <w:topLinePunct w:val="0"/>
              <w:autoSpaceDE/>
              <w:autoSpaceDN/>
              <w:bidi w:val="0"/>
              <w:adjustRightInd/>
              <w:snapToGrid/>
              <w:spacing w:line="360" w:lineRule="exact"/>
              <w:jc w:val="center"/>
              <w:textAlignment w:val="auto"/>
              <w:rPr>
                <w:rFonts w:hint="eastAsia" w:ascii="方正黑体_GBK" w:hAnsi="方正黑体_GBK" w:eastAsia="方正黑体_GBK" w:cs="方正黑体_GBK"/>
                <w:b w:val="0"/>
                <w:bCs w:val="0"/>
                <w:sz w:val="22"/>
                <w:szCs w:val="20"/>
              </w:rPr>
            </w:pPr>
            <w:r>
              <w:rPr>
                <w:rFonts w:hint="eastAsia" w:ascii="方正黑体_GBK" w:hAnsi="方正黑体_GBK" w:eastAsia="方正黑体_GBK" w:cs="方正黑体_GBK"/>
                <w:b w:val="0"/>
                <w:bCs w:val="0"/>
                <w:sz w:val="22"/>
                <w:szCs w:val="20"/>
              </w:rPr>
              <w:t>指标</w:t>
            </w:r>
          </w:p>
        </w:tc>
        <w:tc>
          <w:tcPr>
            <w:tcW w:w="1324" w:type="dxa"/>
            <w:vAlign w:val="center"/>
          </w:tcPr>
          <w:p>
            <w:pPr>
              <w:keepNext w:val="0"/>
              <w:keepLines w:val="0"/>
              <w:pageBreakBefore w:val="0"/>
              <w:widowControl/>
              <w:numPr>
                <w:ilvl w:val="255"/>
                <w:numId w:val="0"/>
              </w:numPr>
              <w:kinsoku/>
              <w:wordWrap/>
              <w:overflowPunct/>
              <w:topLinePunct w:val="0"/>
              <w:autoSpaceDE/>
              <w:autoSpaceDN/>
              <w:bidi w:val="0"/>
              <w:adjustRightInd/>
              <w:snapToGrid/>
              <w:spacing w:line="360" w:lineRule="exact"/>
              <w:jc w:val="center"/>
              <w:textAlignment w:val="auto"/>
              <w:rPr>
                <w:rFonts w:hint="eastAsia" w:ascii="方正黑体_GBK" w:hAnsi="方正黑体_GBK" w:eastAsia="方正黑体_GBK" w:cs="方正黑体_GBK"/>
                <w:b w:val="0"/>
                <w:bCs w:val="0"/>
                <w:sz w:val="22"/>
                <w:szCs w:val="20"/>
              </w:rPr>
            </w:pPr>
            <w:r>
              <w:rPr>
                <w:rFonts w:hint="eastAsia" w:ascii="方正黑体_GBK" w:hAnsi="方正黑体_GBK" w:eastAsia="方正黑体_GBK" w:cs="方正黑体_GBK"/>
                <w:b w:val="0"/>
                <w:bCs w:val="0"/>
                <w:sz w:val="22"/>
                <w:szCs w:val="20"/>
              </w:rPr>
              <w:t>推荐阈值</w:t>
            </w:r>
          </w:p>
        </w:tc>
        <w:tc>
          <w:tcPr>
            <w:tcW w:w="4459" w:type="dxa"/>
            <w:vAlign w:val="center"/>
          </w:tcPr>
          <w:p>
            <w:pPr>
              <w:keepNext w:val="0"/>
              <w:keepLines w:val="0"/>
              <w:pageBreakBefore w:val="0"/>
              <w:widowControl/>
              <w:numPr>
                <w:ilvl w:val="255"/>
                <w:numId w:val="0"/>
              </w:numPr>
              <w:kinsoku/>
              <w:wordWrap/>
              <w:overflowPunct/>
              <w:topLinePunct w:val="0"/>
              <w:autoSpaceDE/>
              <w:autoSpaceDN/>
              <w:bidi w:val="0"/>
              <w:adjustRightInd/>
              <w:snapToGrid/>
              <w:spacing w:line="360" w:lineRule="exact"/>
              <w:jc w:val="center"/>
              <w:textAlignment w:val="auto"/>
              <w:rPr>
                <w:rFonts w:hint="eastAsia" w:ascii="方正黑体_GBK" w:hAnsi="方正黑体_GBK" w:eastAsia="方正黑体_GBK" w:cs="方正黑体_GBK"/>
                <w:b w:val="0"/>
                <w:bCs w:val="0"/>
                <w:sz w:val="22"/>
                <w:szCs w:val="20"/>
              </w:rPr>
            </w:pPr>
            <w:r>
              <w:rPr>
                <w:rFonts w:hint="eastAsia" w:ascii="方正黑体_GBK" w:hAnsi="方正黑体_GBK" w:eastAsia="方正黑体_GBK" w:cs="方正黑体_GBK"/>
                <w:b w:val="0"/>
                <w:bCs w:val="0"/>
                <w:sz w:val="22"/>
                <w:szCs w:val="20"/>
              </w:rPr>
              <w:t>适用场景</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2749" w:type="dxa"/>
            <w:vAlign w:val="center"/>
          </w:tcPr>
          <w:p>
            <w:pPr>
              <w:widowControl/>
              <w:numPr>
                <w:ilvl w:val="255"/>
                <w:numId w:val="0"/>
              </w:numPr>
              <w:spacing w:line="340" w:lineRule="exact"/>
              <w:jc w:val="center"/>
              <w:rPr>
                <w:sz w:val="22"/>
                <w:szCs w:val="20"/>
              </w:rPr>
            </w:pPr>
            <w:r>
              <w:rPr>
                <w:sz w:val="22"/>
                <w:szCs w:val="20"/>
              </w:rPr>
              <w:t>显存利用率上限</w:t>
            </w:r>
          </w:p>
        </w:tc>
        <w:tc>
          <w:tcPr>
            <w:tcW w:w="1324" w:type="dxa"/>
            <w:vAlign w:val="center"/>
          </w:tcPr>
          <w:p>
            <w:pPr>
              <w:widowControl/>
              <w:numPr>
                <w:ilvl w:val="255"/>
                <w:numId w:val="0"/>
              </w:numPr>
              <w:spacing w:line="340" w:lineRule="exact"/>
              <w:jc w:val="center"/>
              <w:rPr>
                <w:sz w:val="22"/>
                <w:szCs w:val="20"/>
              </w:rPr>
            </w:pPr>
            <w:r>
              <w:rPr>
                <w:rFonts w:hint="eastAsia"/>
                <w:sz w:val="22"/>
                <w:szCs w:val="20"/>
              </w:rPr>
              <w:t>70</w:t>
            </w:r>
            <w:r>
              <w:rPr>
                <w:sz w:val="22"/>
                <w:szCs w:val="20"/>
              </w:rPr>
              <w:t>%~85%</w:t>
            </w:r>
          </w:p>
        </w:tc>
        <w:tc>
          <w:tcPr>
            <w:tcW w:w="4459" w:type="dxa"/>
            <w:vAlign w:val="center"/>
          </w:tcPr>
          <w:p>
            <w:pPr>
              <w:widowControl/>
              <w:numPr>
                <w:ilvl w:val="255"/>
                <w:numId w:val="0"/>
              </w:numPr>
              <w:spacing w:line="340" w:lineRule="exact"/>
              <w:jc w:val="center"/>
              <w:rPr>
                <w:sz w:val="22"/>
                <w:szCs w:val="20"/>
              </w:rPr>
            </w:pPr>
            <w:r>
              <w:rPr>
                <w:sz w:val="22"/>
                <w:szCs w:val="20"/>
              </w:rPr>
              <w:t>低于70%</w:t>
            </w:r>
            <w:r>
              <w:rPr>
                <w:rFonts w:hint="eastAsia"/>
                <w:sz w:val="22"/>
                <w:szCs w:val="20"/>
              </w:rPr>
              <w:t>造成</w:t>
            </w:r>
            <w:r>
              <w:rPr>
                <w:sz w:val="22"/>
                <w:szCs w:val="20"/>
              </w:rPr>
              <w:t>资源浪费；超过85%极易触发OOM</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2749" w:type="dxa"/>
            <w:vAlign w:val="center"/>
          </w:tcPr>
          <w:p>
            <w:pPr>
              <w:widowControl/>
              <w:numPr>
                <w:ilvl w:val="255"/>
                <w:numId w:val="0"/>
              </w:numPr>
              <w:spacing w:line="400" w:lineRule="exact"/>
              <w:jc w:val="center"/>
              <w:rPr>
                <w:sz w:val="22"/>
                <w:szCs w:val="20"/>
              </w:rPr>
            </w:pPr>
            <w:r>
              <w:rPr>
                <w:sz w:val="22"/>
                <w:szCs w:val="20"/>
              </w:rPr>
              <w:t>P99延迟</w:t>
            </w:r>
            <w:r>
              <w:rPr>
                <w:rFonts w:hint="eastAsia"/>
                <w:sz w:val="22"/>
                <w:szCs w:val="20"/>
                <w:vertAlign w:val="superscript"/>
              </w:rPr>
              <w:t>13</w:t>
            </w:r>
          </w:p>
        </w:tc>
        <w:tc>
          <w:tcPr>
            <w:tcW w:w="1324" w:type="dxa"/>
            <w:vAlign w:val="center"/>
          </w:tcPr>
          <w:p>
            <w:pPr>
              <w:widowControl/>
              <w:numPr>
                <w:ilvl w:val="255"/>
                <w:numId w:val="0"/>
              </w:numPr>
              <w:spacing w:line="400" w:lineRule="exact"/>
              <w:jc w:val="center"/>
              <w:rPr>
                <w:sz w:val="22"/>
                <w:szCs w:val="20"/>
              </w:rPr>
            </w:pPr>
            <w:r>
              <w:rPr>
                <w:rFonts w:hint="eastAsia"/>
                <w:sz w:val="22"/>
                <w:szCs w:val="20"/>
              </w:rPr>
              <w:t>≤500ms</w:t>
            </w:r>
          </w:p>
        </w:tc>
        <w:tc>
          <w:tcPr>
            <w:tcW w:w="4459" w:type="dxa"/>
            <w:vAlign w:val="center"/>
          </w:tcPr>
          <w:p>
            <w:pPr>
              <w:widowControl/>
              <w:numPr>
                <w:ilvl w:val="255"/>
                <w:numId w:val="0"/>
              </w:numPr>
              <w:spacing w:line="400" w:lineRule="exact"/>
              <w:jc w:val="center"/>
              <w:rPr>
                <w:sz w:val="22"/>
                <w:szCs w:val="20"/>
              </w:rPr>
            </w:pPr>
            <w:r>
              <w:rPr>
                <w:sz w:val="22"/>
                <w:szCs w:val="20"/>
              </w:rPr>
              <w:t>超过500ms说明系统有瓶颈，用户体验差</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jc w:val="center"/>
        </w:trPr>
        <w:tc>
          <w:tcPr>
            <w:tcW w:w="2749" w:type="dxa"/>
            <w:vAlign w:val="center"/>
          </w:tcPr>
          <w:p>
            <w:pPr>
              <w:widowControl/>
              <w:numPr>
                <w:ilvl w:val="255"/>
                <w:numId w:val="0"/>
              </w:numPr>
              <w:spacing w:line="400" w:lineRule="exact"/>
              <w:jc w:val="center"/>
              <w:rPr>
                <w:sz w:val="22"/>
                <w:szCs w:val="20"/>
              </w:rPr>
            </w:pPr>
            <w:r>
              <w:rPr>
                <w:sz w:val="22"/>
                <w:szCs w:val="20"/>
              </w:rPr>
              <w:t>上下文窗口设置</w:t>
            </w:r>
          </w:p>
        </w:tc>
        <w:tc>
          <w:tcPr>
            <w:tcW w:w="1324" w:type="dxa"/>
            <w:vAlign w:val="center"/>
          </w:tcPr>
          <w:p>
            <w:pPr>
              <w:widowControl/>
              <w:numPr>
                <w:ilvl w:val="255"/>
                <w:numId w:val="0"/>
              </w:numPr>
              <w:spacing w:line="400" w:lineRule="exact"/>
              <w:jc w:val="center"/>
              <w:rPr>
                <w:sz w:val="22"/>
                <w:szCs w:val="20"/>
              </w:rPr>
            </w:pPr>
            <w:r>
              <w:rPr>
                <w:sz w:val="22"/>
                <w:szCs w:val="20"/>
              </w:rPr>
              <w:t>根据模型参数量调整</w:t>
            </w:r>
          </w:p>
        </w:tc>
        <w:tc>
          <w:tcPr>
            <w:tcW w:w="4459" w:type="dxa"/>
            <w:vAlign w:val="center"/>
          </w:tcPr>
          <w:p>
            <w:pPr>
              <w:widowControl/>
              <w:numPr>
                <w:ilvl w:val="255"/>
                <w:numId w:val="0"/>
              </w:numPr>
              <w:spacing w:line="400" w:lineRule="exact"/>
              <w:jc w:val="center"/>
              <w:rPr>
                <w:sz w:val="22"/>
                <w:szCs w:val="20"/>
              </w:rPr>
            </w:pPr>
            <w:r>
              <w:rPr>
                <w:sz w:val="22"/>
                <w:szCs w:val="20"/>
              </w:rPr>
              <w:t>与 maxTokens 保持约4:1比例</w:t>
            </w:r>
            <w:r>
              <w:rPr>
                <w:sz w:val="22"/>
                <w:szCs w:val="20"/>
              </w:rPr>
              <w:br w:type="textWrapping"/>
            </w:r>
            <w:r>
              <w:rPr>
                <w:sz w:val="22"/>
                <w:szCs w:val="20"/>
              </w:rPr>
              <w:t>（</w:t>
            </w:r>
            <w:r>
              <w:rPr>
                <w:rFonts w:hint="eastAsia"/>
                <w:sz w:val="22"/>
                <w:szCs w:val="20"/>
              </w:rPr>
              <w:t>如</w:t>
            </w:r>
            <w:r>
              <w:rPr>
                <w:sz w:val="22"/>
                <w:szCs w:val="20"/>
              </w:rPr>
              <w:t>7B模型建议≤131K tokens）</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2749" w:type="dxa"/>
            <w:vAlign w:val="center"/>
          </w:tcPr>
          <w:p>
            <w:pPr>
              <w:widowControl/>
              <w:numPr>
                <w:ilvl w:val="255"/>
                <w:numId w:val="0"/>
              </w:numPr>
              <w:spacing w:line="400" w:lineRule="exact"/>
              <w:jc w:val="center"/>
              <w:rPr>
                <w:sz w:val="22"/>
                <w:szCs w:val="20"/>
              </w:rPr>
            </w:pPr>
            <w:r>
              <w:rPr>
                <w:rFonts w:hint="eastAsia"/>
                <w:sz w:val="22"/>
                <w:szCs w:val="20"/>
              </w:rPr>
              <w:t>上下文截断率</w:t>
            </w:r>
          </w:p>
        </w:tc>
        <w:tc>
          <w:tcPr>
            <w:tcW w:w="1324" w:type="dxa"/>
            <w:vAlign w:val="center"/>
          </w:tcPr>
          <w:p>
            <w:pPr>
              <w:widowControl/>
              <w:numPr>
                <w:ilvl w:val="255"/>
                <w:numId w:val="0"/>
              </w:numPr>
              <w:spacing w:line="400" w:lineRule="exact"/>
              <w:jc w:val="center"/>
              <w:rPr>
                <w:sz w:val="22"/>
                <w:szCs w:val="20"/>
              </w:rPr>
            </w:pPr>
            <w:r>
              <w:rPr>
                <w:sz w:val="22"/>
                <w:szCs w:val="20"/>
              </w:rPr>
              <w:t>≤5%</w:t>
            </w:r>
          </w:p>
        </w:tc>
        <w:tc>
          <w:tcPr>
            <w:tcW w:w="4459" w:type="dxa"/>
            <w:vAlign w:val="center"/>
          </w:tcPr>
          <w:p>
            <w:pPr>
              <w:widowControl/>
              <w:numPr>
                <w:ilvl w:val="255"/>
                <w:numId w:val="0"/>
              </w:numPr>
              <w:spacing w:line="400" w:lineRule="exact"/>
              <w:jc w:val="center"/>
              <w:rPr>
                <w:sz w:val="22"/>
                <w:szCs w:val="20"/>
              </w:rPr>
            </w:pPr>
            <w:r>
              <w:rPr>
                <w:sz w:val="22"/>
                <w:szCs w:val="20"/>
              </w:rPr>
              <w:t>超过5%说明窗口设太小，信息被丢弃太多</w:t>
            </w:r>
          </w:p>
        </w:tc>
      </w:tr>
    </w:tbl>
    <w:p>
      <w:pPr>
        <w:pStyle w:val="5"/>
        <w:ind w:firstLine="643"/>
        <w:rPr>
          <w:rFonts w:ascii="Times New Roman" w:hAnsi="Times New Roman" w:eastAsia="方正仿宋_GBK" w:cs="Times New Roman"/>
          <w:b/>
          <w:bCs/>
          <w:color w:val="auto"/>
          <w:sz w:val="32"/>
          <w:szCs w:val="32"/>
        </w:rPr>
      </w:pPr>
      <w:r>
        <w:rPr>
          <w:rFonts w:hint="eastAsia" w:ascii="Times New Roman" w:hAnsi="Times New Roman" w:eastAsia="方正仿宋_GBK" w:cs="Times New Roman"/>
          <w:b/>
          <w:bCs/>
          <w:color w:val="auto"/>
          <w:sz w:val="32"/>
          <w:szCs w:val="32"/>
        </w:rPr>
        <w:t>（2）动态显存管理</w:t>
      </w:r>
    </w:p>
    <w:p>
      <w:pPr>
        <w:numPr>
          <w:ilvl w:val="255"/>
          <w:numId w:val="0"/>
        </w:numPr>
        <w:ind w:firstLine="642" w:firstLineChars="200"/>
        <w:rPr>
          <w:rFonts w:cs="Times New Roman"/>
          <w:szCs w:val="32"/>
        </w:rPr>
      </w:pPr>
      <w:r>
        <w:rPr>
          <w:rFonts w:hint="eastAsia" w:cs="Times New Roman"/>
          <w:b/>
          <w:bCs/>
          <w:szCs w:val="32"/>
        </w:rPr>
        <w:t>影响机制：</w:t>
      </w:r>
      <w:r>
        <w:rPr>
          <w:rFonts w:hint="eastAsia" w:cs="Times New Roman"/>
          <w:szCs w:val="32"/>
        </w:rPr>
        <w:t>由于不同业务请求的上下文长度差异巨大，频繁的显存申请与释放极易导致显存碎片化</w:t>
      </w:r>
      <w:r>
        <w:rPr>
          <w:rFonts w:hint="eastAsia" w:cs="Times New Roman"/>
          <w:szCs w:val="32"/>
          <w:vertAlign w:val="superscript"/>
        </w:rPr>
        <w:t>14</w:t>
      </w:r>
      <w:r>
        <w:rPr>
          <w:rFonts w:hint="eastAsia" w:cs="Times New Roman"/>
          <w:szCs w:val="32"/>
        </w:rPr>
        <w:t>，即存在较多总空闲显存，但找不到连续的显存块来分配，导致系统无法有效支撑新的Token请求。通过引入动态显存分配机制，允许不同长度的Token请求在同一批次中并行处理，才能有效消除显存碎片，确保显存始终处于高位运转，最大化保障系统对并发Token请求的承载能力。</w:t>
      </w:r>
    </w:p>
    <w:p>
      <w:pPr>
        <w:numPr>
          <w:ilvl w:val="255"/>
          <w:numId w:val="0"/>
        </w:numPr>
        <w:ind w:firstLine="642" w:firstLineChars="200"/>
        <w:rPr>
          <w:rFonts w:cs="Times New Roman"/>
          <w:szCs w:val="32"/>
        </w:rPr>
      </w:pPr>
      <w:r>
        <w:rPr>
          <w:rFonts w:hint="eastAsia" w:cs="Times New Roman"/>
          <w:b/>
          <w:bCs/>
          <w:szCs w:val="32"/>
        </w:rPr>
        <w:t>常见不合理管理行为：</w:t>
      </w:r>
      <w:r>
        <w:rPr>
          <w:rFonts w:hint="eastAsia" w:cs="Times New Roman"/>
          <w:szCs w:val="32"/>
        </w:rPr>
        <w:t>①采用传统的静态预分配模式，内存池设置过大导致显存资源浪费，或者设置过小无法根据实际请求动态调整。②依赖框架默认的显存管理机制，不进行碎片整理。</w:t>
      </w:r>
    </w:p>
    <w:p>
      <w:pPr>
        <w:pStyle w:val="4"/>
        <w:ind w:firstLine="643"/>
      </w:pPr>
      <w:bookmarkStart w:id="27" w:name="_Toc15809"/>
      <w:bookmarkStart w:id="28" w:name="_Toc26943"/>
      <w:bookmarkStart w:id="29" w:name="_Toc23819"/>
      <w:r>
        <w:rPr>
          <w:rFonts w:hint="eastAsia"/>
        </w:rPr>
        <w:t>2.对计算资源的管理</w:t>
      </w:r>
      <w:bookmarkEnd w:id="27"/>
      <w:bookmarkEnd w:id="28"/>
    </w:p>
    <w:p>
      <w:pPr>
        <w:numPr>
          <w:ilvl w:val="255"/>
          <w:numId w:val="0"/>
        </w:numPr>
        <w:ind w:firstLine="640"/>
      </w:pPr>
      <w:r>
        <w:rPr>
          <w:rFonts w:hint="eastAsia"/>
        </w:rPr>
        <w:t>本地部署模式下，Token是模型算力资源消耗的量化逻辑表征，能精准反映不同业务场景的资源需求特征，是算力调度与资源分配的核心依据。反之，本地服务器的GPU计算能力与调度机制构成模型推理的物理支撑，直接约束系统可承载的Token规模上限。因此，企业需在掌握业务模型Token需求的前提下，通过一系列GPU管理手段，确保Token的瞬时吞吐量始终在GPU算力的安全范围内，避免算力过载，实现算力资源的高效利用与业务的快速稳定响应。</w:t>
      </w:r>
    </w:p>
    <w:p>
      <w:pPr>
        <w:pStyle w:val="5"/>
        <w:ind w:firstLine="643"/>
        <w:rPr>
          <w:rFonts w:ascii="Times New Roman" w:hAnsi="Times New Roman" w:eastAsia="方正仿宋_GBK" w:cs="Times New Roman"/>
          <w:b/>
          <w:bCs/>
          <w:color w:val="auto"/>
          <w:sz w:val="32"/>
          <w:szCs w:val="32"/>
        </w:rPr>
      </w:pPr>
      <w:r>
        <w:rPr>
          <w:rFonts w:hint="eastAsia" w:ascii="Times New Roman" w:hAnsi="Times New Roman" w:eastAsia="方正仿宋_GBK" w:cs="Times New Roman"/>
          <w:b/>
          <w:bCs/>
          <w:color w:val="auto"/>
          <w:sz w:val="32"/>
          <w:szCs w:val="32"/>
        </w:rPr>
        <w:t>（1）模型选型管理</w:t>
      </w:r>
    </w:p>
    <w:p>
      <w:pPr>
        <w:ind w:firstLine="643"/>
      </w:pPr>
      <w:r>
        <w:rPr>
          <w:rFonts w:hint="eastAsia"/>
          <w:b/>
          <w:bCs/>
        </w:rPr>
        <w:t>影响机制：</w:t>
      </w:r>
      <w:r>
        <w:rPr>
          <w:rFonts w:hint="eastAsia"/>
        </w:rPr>
        <w:t>模型参数量、精度格式、上下文窗口原生上限，是单枚Token计算开销的底层基准。大参数、FP16/FP32等高精度模型处理同等长度Token时，会占用更多计算单元，推理时延显著拉长。若盲目选用超大模型承载轻量Token查询业务，或采用通用模型进行泛化推理、微调的模式，会造成计算算力长期闲置浪费；反之，小模型承载超长Token请求，则会出现算力不足、推理排队拥堵。因此，根据业务真实Token吞吐量需求匹配合适的模型是保障推理效率的核心前提。</w:t>
      </w:r>
    </w:p>
    <w:p>
      <w:pPr>
        <w:ind w:firstLine="643"/>
      </w:pPr>
      <w:r>
        <w:rPr>
          <w:rFonts w:hint="eastAsia"/>
          <w:b/>
          <w:bCs/>
        </w:rPr>
        <w:t>常见不合理管理行为</w:t>
      </w:r>
      <w:r>
        <w:rPr>
          <w:rFonts w:hint="eastAsia"/>
        </w:rPr>
        <w:t>：①企业未按照业务Token特征匹配模型规格，如生产刚性短交互Token业务选用推理大模型；长上下文多Token业务匹配轻量级模型。②企业未对非高精度推理业务进行精度压缩，单Token计算算力消耗大，同等硬件下Token并发量受限。</w:t>
      </w:r>
    </w:p>
    <w:p>
      <w:pPr>
        <w:pStyle w:val="5"/>
        <w:ind w:firstLine="643"/>
        <w:rPr>
          <w:rFonts w:ascii="Times New Roman" w:hAnsi="Times New Roman" w:eastAsia="方正仿宋_GBK" w:cs="Times New Roman"/>
          <w:b/>
          <w:bCs/>
          <w:color w:val="auto"/>
          <w:sz w:val="32"/>
          <w:szCs w:val="32"/>
        </w:rPr>
      </w:pPr>
      <w:r>
        <w:rPr>
          <w:rFonts w:hint="eastAsia" w:ascii="Times New Roman" w:hAnsi="Times New Roman" w:eastAsia="方正仿宋_GBK" w:cs="Times New Roman"/>
          <w:b/>
          <w:bCs/>
          <w:color w:val="auto"/>
          <w:sz w:val="32"/>
          <w:szCs w:val="32"/>
        </w:rPr>
        <w:t>（2）算力配额管理</w:t>
      </w:r>
    </w:p>
    <w:p>
      <w:pPr>
        <w:ind w:firstLine="643"/>
      </w:pPr>
      <w:r>
        <w:rPr>
          <w:rFonts w:hint="eastAsia"/>
          <w:b/>
          <w:bCs/>
        </w:rPr>
        <w:t>影响机制</w:t>
      </w:r>
      <w:r>
        <w:rPr>
          <w:rFonts w:hint="eastAsia"/>
        </w:rPr>
        <w:t>：不同业务线Token负载特征差异显著，无配额约束时，批量长Token任务会持续占用绝大多数计算资源，挤压实时生产业务所需的计算资源，出现高优先级业务算力供给不足。一方面，通过静态分层配额，从硬件层面划分各业务算力占用上限，刚性隔离不同业务Token计算负载冲突，可保障生产业务稳定运行。另一方面，在配额体系设计阶段预留标准化外部配额对接接口，可有效弥补自有服务器本地静态配额资源总量受限、峰值弹性不足的短板；同时统一内外算力、Token资源管控标准，实现消耗台账隔离审计，可全面提升企业Token资源管控的规范性与长期可拓展性。</w:t>
      </w:r>
    </w:p>
    <w:p>
      <w:pPr>
        <w:ind w:firstLine="643"/>
      </w:pPr>
      <w:r>
        <w:rPr>
          <w:rFonts w:hint="eastAsia"/>
          <w:b/>
          <w:bCs/>
        </w:rPr>
        <w:t>常见不合理管理行为</w:t>
      </w:r>
      <w:r>
        <w:rPr>
          <w:rFonts w:hint="eastAsia"/>
        </w:rPr>
        <w:t>：①企业无法科学评估不同任务请求的模型应用需求，不能为不同业务线设置科学合理的算力配额。②企业算力配额设置不合理，导致本地有限算力被低价值请求大量占用，限制核心业务的响应速度。</w:t>
      </w:r>
    </w:p>
    <w:p>
      <w:pPr>
        <w:pStyle w:val="5"/>
        <w:ind w:firstLine="643"/>
        <w:rPr>
          <w:rFonts w:ascii="Times New Roman" w:hAnsi="Times New Roman" w:eastAsia="方正仿宋_GBK" w:cs="Times New Roman"/>
          <w:b/>
          <w:bCs/>
          <w:color w:val="auto"/>
          <w:sz w:val="32"/>
          <w:szCs w:val="32"/>
        </w:rPr>
      </w:pPr>
      <w:r>
        <w:rPr>
          <w:rFonts w:hint="eastAsia" w:ascii="Times New Roman" w:hAnsi="Times New Roman" w:eastAsia="方正仿宋_GBK" w:cs="Times New Roman"/>
          <w:b/>
          <w:bCs/>
          <w:color w:val="auto"/>
          <w:sz w:val="32"/>
          <w:szCs w:val="32"/>
        </w:rPr>
        <w:t>（3）算力调度管理</w:t>
      </w:r>
    </w:p>
    <w:p>
      <w:pPr>
        <w:ind w:firstLine="643"/>
      </w:pPr>
      <w:r>
        <w:rPr>
          <w:rFonts w:hint="eastAsia"/>
          <w:b/>
          <w:bCs/>
        </w:rPr>
        <w:t>影响机制</w:t>
      </w:r>
      <w:r>
        <w:rPr>
          <w:rFonts w:hint="eastAsia"/>
        </w:rPr>
        <w:t>：企业的业务请求具有明显的峰谷特征，也具有不同的服务等级协议。</w:t>
      </w:r>
      <w:r>
        <w:rPr>
          <w:rFonts w:hint="eastAsia" w:cs="Times New Roman"/>
          <w:szCs w:val="32"/>
        </w:rPr>
        <w:t>在</w:t>
      </w:r>
      <w:r>
        <w:rPr>
          <w:rFonts w:hint="eastAsia"/>
        </w:rPr>
        <w:t>本地业务算力配额已设定的情况下，系统能够实时监测资源负载，并在业务高峰期进行动态调配，保障核心业务请求获得优先响应，避免因算力过载导致的请求排队与超时，保障推理服务的稳定高效</w:t>
      </w:r>
      <w:r>
        <w:rPr>
          <w:rFonts w:hint="eastAsia" w:cs="Times New Roman"/>
          <w:szCs w:val="32"/>
        </w:rPr>
        <w:t>，是提升本地硬件的整体Token产出效率和资源利用率的重要因素</w:t>
      </w:r>
      <w:r>
        <w:rPr>
          <w:rFonts w:hint="eastAsia"/>
        </w:rPr>
        <w:t>。</w:t>
      </w:r>
    </w:p>
    <w:p>
      <w:pPr>
        <w:numPr>
          <w:ilvl w:val="255"/>
          <w:numId w:val="0"/>
        </w:numPr>
        <w:ind w:firstLine="642" w:firstLineChars="200"/>
      </w:pPr>
      <w:r>
        <w:rPr>
          <w:rFonts w:hint="eastAsia"/>
          <w:b/>
          <w:bCs/>
        </w:rPr>
        <w:t>常见不合理管理行为</w:t>
      </w:r>
      <w:r>
        <w:rPr>
          <w:rFonts w:hint="eastAsia"/>
        </w:rPr>
        <w:t>：①企业未构建优先级排队、动态配额管控机制，在业务高峰期时，核心业务请求不能得到优先响应。②企业系统采用静态分配，导致GPU在等待下一个请求时大量闲置，算力利用率极低。</w:t>
      </w:r>
    </w:p>
    <w:p>
      <w:pPr>
        <w:pStyle w:val="4"/>
        <w:ind w:firstLine="643"/>
      </w:pPr>
      <w:bookmarkStart w:id="30" w:name="_Toc1186"/>
      <w:bookmarkStart w:id="31" w:name="_Toc9436"/>
      <w:r>
        <w:rPr>
          <w:rFonts w:hint="eastAsia"/>
        </w:rPr>
        <w:t>3.对利用效能的管理</w:t>
      </w:r>
      <w:bookmarkEnd w:id="29"/>
      <w:bookmarkEnd w:id="30"/>
      <w:bookmarkEnd w:id="31"/>
    </w:p>
    <w:p>
      <w:pPr>
        <w:numPr>
          <w:ilvl w:val="255"/>
          <w:numId w:val="0"/>
        </w:numPr>
        <w:ind w:firstLine="640"/>
      </w:pPr>
      <w:r>
        <w:rPr>
          <w:rFonts w:hint="eastAsia"/>
        </w:rPr>
        <w:t>本地部署无云端按量计费约束，若不统计单位有效业务对应的Token消耗量，仅关注显存、算力能否承载请求，将导致硬件长期低负载空转，造成算力资源浪费。</w:t>
      </w:r>
    </w:p>
    <w:p>
      <w:pPr>
        <w:pStyle w:val="5"/>
        <w:ind w:firstLine="643"/>
        <w:rPr>
          <w:rFonts w:ascii="Times New Roman" w:hAnsi="Times New Roman" w:eastAsia="方正仿宋_GBK" w:cs="Times New Roman"/>
          <w:b/>
          <w:bCs/>
          <w:color w:val="auto"/>
          <w:sz w:val="32"/>
          <w:szCs w:val="32"/>
        </w:rPr>
      </w:pPr>
      <w:r>
        <w:rPr>
          <w:rFonts w:hint="eastAsia" w:ascii="Times New Roman" w:hAnsi="Times New Roman" w:eastAsia="方正仿宋_GBK" w:cs="Times New Roman"/>
          <w:b/>
          <w:bCs/>
          <w:color w:val="auto"/>
          <w:sz w:val="32"/>
          <w:szCs w:val="32"/>
        </w:rPr>
        <w:t>（1）全链路监控管理</w:t>
      </w:r>
    </w:p>
    <w:p>
      <w:pPr>
        <w:ind w:firstLine="643"/>
        <w:rPr>
          <w:rFonts w:cs="Times New Roman"/>
          <w:szCs w:val="32"/>
        </w:rPr>
      </w:pPr>
      <w:r>
        <w:rPr>
          <w:rFonts w:hint="eastAsia" w:cs="Times New Roman"/>
          <w:b/>
          <w:bCs/>
          <w:szCs w:val="32"/>
        </w:rPr>
        <w:t>影响机制：</w:t>
      </w:r>
      <w:r>
        <w:rPr>
          <w:rFonts w:hint="eastAsia" w:cs="Times New Roman"/>
          <w:szCs w:val="32"/>
        </w:rPr>
        <w:t>Token产出效率的波动往往由底层隐蔽的性能瓶颈引起，通过建立涵盖Token生成速率、首字延迟、缓存命中率及无效Token占比的全链路监控体系，企业能够将抽象的算力消耗转化为具象的性能指标。同时，配合科学的异常告警阈值，能够帮助运维团队从海量日志中快速剥离干扰项，精准定位导致Token产出效率下降的原因，从而大幅缩短故障排查时间，避免算力在低效状态下长期空耗。</w:t>
      </w:r>
    </w:p>
    <w:p>
      <w:pPr>
        <w:ind w:firstLine="643"/>
        <w:rPr>
          <w:b/>
          <w:bCs/>
        </w:rPr>
      </w:pPr>
      <w:r>
        <w:rPr>
          <w:rFonts w:hint="eastAsia" w:cs="Times New Roman"/>
          <w:b/>
          <w:bCs/>
          <w:szCs w:val="32"/>
        </w:rPr>
        <w:t>常见不合理管理行为：</w:t>
      </w:r>
      <w:r>
        <w:rPr>
          <w:rFonts w:hint="eastAsia" w:cs="Times New Roman"/>
          <w:szCs w:val="32"/>
        </w:rPr>
        <w:t>企业仅停留在传统的API网关层监控，缺乏对模型推理内部状态的深度可观测性，当Token产出效率下降时，运维人员难以快速区分是网络问题、模型推理瓶颈还是上下文过长导致的显存溢出，故障排查耗时长，导致算力空耗。</w:t>
      </w:r>
    </w:p>
    <w:p>
      <w:pPr>
        <w:pStyle w:val="5"/>
        <w:ind w:firstLine="643"/>
        <w:rPr>
          <w:rFonts w:ascii="Times New Roman" w:hAnsi="Times New Roman" w:eastAsia="方正仿宋_GBK" w:cs="Times New Roman"/>
          <w:color w:val="auto"/>
          <w:sz w:val="32"/>
          <w:szCs w:val="32"/>
        </w:rPr>
      </w:pPr>
      <w:bookmarkStart w:id="32" w:name="_Toc20622"/>
      <w:r>
        <w:rPr>
          <w:rFonts w:hint="eastAsia" w:ascii="Times New Roman" w:hAnsi="Times New Roman" w:eastAsia="方正仿宋_GBK" w:cs="Times New Roman"/>
          <w:b/>
          <w:bCs/>
          <w:color w:val="auto"/>
          <w:sz w:val="32"/>
          <w:szCs w:val="32"/>
        </w:rPr>
        <w:t>（2）算力利用率管理</w:t>
      </w:r>
    </w:p>
    <w:p>
      <w:pPr>
        <w:ind w:firstLine="643"/>
      </w:pPr>
      <w:r>
        <w:rPr>
          <w:rFonts w:hint="eastAsia"/>
          <w:b/>
          <w:bCs/>
        </w:rPr>
        <w:t>影响机制</w:t>
      </w:r>
      <w:r>
        <w:rPr>
          <w:rFonts w:hint="eastAsia"/>
        </w:rPr>
        <w:t>：本地部署模式下，最大效用地发挥固定算力资源价值，需要</w:t>
      </w:r>
      <w:r>
        <w:t>采集模型推理全链路Token消耗、GPU硬件运行基础数据，建立Token</w:t>
      </w:r>
      <w:r>
        <w:rPr>
          <w:rFonts w:hint="eastAsia"/>
        </w:rPr>
        <w:t>与</w:t>
      </w:r>
      <w:r>
        <w:t>算力标准化量化映射关系</w:t>
      </w:r>
      <w:r>
        <w:rPr>
          <w:rFonts w:hint="eastAsia"/>
        </w:rPr>
        <w:t>，计算算力利用率，</w:t>
      </w:r>
      <w:r>
        <w:t>生成可视化资源消耗账单。</w:t>
      </w:r>
      <w:r>
        <w:rPr>
          <w:rFonts w:hint="eastAsia"/>
        </w:rPr>
        <w:t>并需</w:t>
      </w:r>
      <w:r>
        <w:t>依托算力利用率指标反向校验显存调度、算力分配策略的落地效果，推动Token管理模式从粗放式资源占用管控，转向以业务价值为导向的精细化资源运营。</w:t>
      </w:r>
    </w:p>
    <w:p>
      <w:pPr>
        <w:ind w:firstLine="643" w:firstLineChars="0"/>
      </w:pPr>
      <w:r>
        <w:rPr>
          <w:rFonts w:hint="eastAsia"/>
          <w:b/>
          <w:bCs/>
        </w:rPr>
        <w:t>常见不合理管理行为</w:t>
      </w:r>
      <w:r>
        <w:rPr>
          <w:rFonts w:hint="eastAsia"/>
        </w:rPr>
        <w:t>：未进行算力利用率监控，或缺少Token与算力指标的绑定监控，企业无法区分无效Token带来的算力空转、长短请求混批造成的算力碎片浪费，长期出现硬件资源闲置、生产业务算力供给不足的矛盾。</w:t>
      </w:r>
    </w:p>
    <w:p>
      <w:pPr>
        <w:pStyle w:val="2"/>
        <w:ind w:firstLine="640"/>
      </w:pPr>
      <w:bookmarkStart w:id="33" w:name="_Toc4856"/>
      <w:bookmarkStart w:id="34" w:name="_Toc5036"/>
      <w:r>
        <w:rPr>
          <w:rFonts w:hint="eastAsia"/>
        </w:rPr>
        <w:t>二、企业Token管理的</w:t>
      </w:r>
      <w:bookmarkEnd w:id="32"/>
      <w:r>
        <w:rPr>
          <w:rFonts w:hint="eastAsia"/>
        </w:rPr>
        <w:t>重点环节</w:t>
      </w:r>
      <w:bookmarkEnd w:id="33"/>
      <w:bookmarkEnd w:id="34"/>
    </w:p>
    <w:p>
      <w:pPr>
        <w:ind w:firstLine="640"/>
        <w:rPr>
          <w:rFonts w:cs="Times New Roman"/>
          <w:szCs w:val="32"/>
        </w:rPr>
      </w:pPr>
      <w:r>
        <w:rPr>
          <w:rFonts w:hint="eastAsia" w:cs="Times New Roman"/>
          <w:szCs w:val="32"/>
        </w:rPr>
        <w:t>公有云API部署和本地部署两种模式</w:t>
      </w:r>
      <w:r>
        <w:rPr>
          <w:rFonts w:cs="Times New Roman"/>
          <w:szCs w:val="32"/>
        </w:rPr>
        <w:t>下Token管控的核心痛点、约束条件各有侧重，但存在统一的基础管控逻辑。</w:t>
      </w:r>
      <w:r>
        <w:rPr>
          <w:rFonts w:hint="eastAsia" w:cs="Times New Roman"/>
          <w:szCs w:val="32"/>
        </w:rPr>
        <w:t>本指引从</w:t>
      </w:r>
      <w:r>
        <w:rPr>
          <w:rFonts w:hint="eastAsia" w:ascii="方正仿宋_GBK" w:hAnsi="方正仿宋_GBK" w:cs="方正仿宋_GBK"/>
          <w:b/>
          <w:szCs w:val="32"/>
        </w:rPr>
        <w:t>事前规划预置、事中运行监控、事后复盘优化</w:t>
      </w:r>
      <w:r>
        <w:rPr>
          <w:rFonts w:hint="eastAsia" w:ascii="方正仿宋_GBK" w:hAnsi="方正仿宋_GBK" w:cs="方正仿宋_GBK"/>
          <w:bCs/>
          <w:szCs w:val="32"/>
        </w:rPr>
        <w:t>全流程环节</w:t>
      </w:r>
      <w:r>
        <w:rPr>
          <w:rFonts w:cs="Times New Roman"/>
          <w:szCs w:val="32"/>
        </w:rPr>
        <w:t>，</w:t>
      </w:r>
      <w:r>
        <w:rPr>
          <w:rFonts w:hint="eastAsia" w:cs="Times New Roman"/>
          <w:szCs w:val="32"/>
        </w:rPr>
        <w:t>介绍在不同环节下，</w:t>
      </w:r>
      <w:r>
        <w:rPr>
          <w:rFonts w:cs="Times New Roman"/>
          <w:szCs w:val="32"/>
        </w:rPr>
        <w:t>企业公有云</w:t>
      </w:r>
      <w:r>
        <w:rPr>
          <w:rFonts w:hint="eastAsia" w:cs="Times New Roman"/>
          <w:szCs w:val="32"/>
        </w:rPr>
        <w:t>部署模式和</w:t>
      </w:r>
      <w:r>
        <w:rPr>
          <w:rFonts w:cs="Times New Roman"/>
          <w:szCs w:val="32"/>
        </w:rPr>
        <w:t>本地部署</w:t>
      </w:r>
      <w:r>
        <w:rPr>
          <w:rFonts w:hint="eastAsia" w:cs="Times New Roman"/>
          <w:szCs w:val="32"/>
        </w:rPr>
        <w:t>模式下</w:t>
      </w:r>
      <w:r>
        <w:rPr>
          <w:rFonts w:cs="Times New Roman"/>
          <w:szCs w:val="32"/>
        </w:rPr>
        <w:t>Token管理</w:t>
      </w:r>
      <w:r>
        <w:rPr>
          <w:rFonts w:hint="eastAsia" w:cs="Times New Roman"/>
          <w:szCs w:val="32"/>
        </w:rPr>
        <w:t>做法</w:t>
      </w:r>
      <w:r>
        <w:rPr>
          <w:rFonts w:cs="Times New Roman"/>
          <w:szCs w:val="32"/>
        </w:rPr>
        <w:t>。</w:t>
      </w:r>
      <w:r>
        <w:rPr>
          <w:rFonts w:hint="eastAsia" w:cs="Times New Roman"/>
          <w:szCs w:val="32"/>
        </w:rPr>
        <w:t>不同部署模式下涉及的管理环节侧重见下表。</w:t>
      </w:r>
    </w:p>
    <w:p>
      <w:pPr>
        <w:ind w:firstLine="0" w:firstLineChars="0"/>
        <w:jc w:val="center"/>
        <w:rPr>
          <w:rFonts w:hint="default" w:ascii="Times New Roman" w:hAnsi="Times New Roman" w:eastAsia="方正黑体_GBK" w:cs="Times New Roman"/>
          <w:sz w:val="24"/>
          <w:szCs w:val="21"/>
        </w:rPr>
      </w:pPr>
      <w:r>
        <w:rPr>
          <w:rFonts w:hint="default" w:ascii="Times New Roman" w:hAnsi="Times New Roman" w:eastAsia="方正黑体_GBK" w:cs="Times New Roman"/>
          <w:sz w:val="24"/>
          <w:szCs w:val="21"/>
        </w:rPr>
        <w:t>表</w:t>
      </w:r>
      <w:r>
        <w:rPr>
          <w:rFonts w:hint="default" w:ascii="Times New Roman" w:hAnsi="Times New Roman" w:eastAsia="方正黑体_GBK" w:cs="Times New Roman"/>
          <w:sz w:val="24"/>
          <w:szCs w:val="21"/>
        </w:rPr>
        <w:fldChar w:fldCharType="begin"/>
      </w:r>
      <w:r>
        <w:rPr>
          <w:rFonts w:hint="default" w:ascii="Times New Roman" w:hAnsi="Times New Roman" w:eastAsia="方正黑体_GBK" w:cs="Times New Roman"/>
          <w:sz w:val="24"/>
          <w:szCs w:val="21"/>
        </w:rPr>
        <w:instrText xml:space="preserve"> SEQ 表 \* ARABIC </w:instrText>
      </w:r>
      <w:r>
        <w:rPr>
          <w:rFonts w:hint="default" w:ascii="Times New Roman" w:hAnsi="Times New Roman" w:eastAsia="方正黑体_GBK" w:cs="Times New Roman"/>
          <w:sz w:val="24"/>
          <w:szCs w:val="21"/>
        </w:rPr>
        <w:fldChar w:fldCharType="separate"/>
      </w:r>
      <w:r>
        <w:rPr>
          <w:rFonts w:hint="default" w:ascii="Times New Roman" w:hAnsi="Times New Roman" w:eastAsia="方正黑体_GBK" w:cs="Times New Roman"/>
          <w:sz w:val="24"/>
          <w:szCs w:val="21"/>
        </w:rPr>
        <w:t>3</w:t>
      </w:r>
      <w:r>
        <w:rPr>
          <w:rFonts w:hint="default" w:ascii="Times New Roman" w:hAnsi="Times New Roman" w:eastAsia="方正黑体_GBK" w:cs="Times New Roman"/>
          <w:sz w:val="24"/>
          <w:szCs w:val="21"/>
        </w:rPr>
        <w:fldChar w:fldCharType="end"/>
      </w:r>
      <w:r>
        <w:rPr>
          <w:rFonts w:hint="default" w:ascii="Times New Roman" w:hAnsi="Times New Roman" w:eastAsia="方正黑体_GBK" w:cs="Times New Roman"/>
          <w:sz w:val="24"/>
          <w:szCs w:val="21"/>
        </w:rPr>
        <w:t xml:space="preserve"> 不同部署模式下涉及的Token管理环节侧重</w:t>
      </w:r>
    </w:p>
    <w:tbl>
      <w:tblPr>
        <w:tblStyle w:val="26"/>
        <w:tblW w:w="8798"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750"/>
        <w:gridCol w:w="2491"/>
        <w:gridCol w:w="2281"/>
        <w:gridCol w:w="2276"/>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2" w:hRule="atLeast"/>
          <w:jc w:val="center"/>
        </w:trPr>
        <w:tc>
          <w:tcPr>
            <w:tcW w:w="0" w:type="auto"/>
            <w:vAlign w:val="center"/>
          </w:tcPr>
          <w:p>
            <w:pPr>
              <w:widowControl/>
              <w:spacing w:line="240" w:lineRule="exact"/>
              <w:ind w:firstLine="0" w:firstLineChars="0"/>
              <w:jc w:val="center"/>
              <w:rPr>
                <w:rFonts w:hint="eastAsia" w:ascii="方正黑体_GBK" w:hAnsi="方正黑体_GBK" w:eastAsia="方正黑体_GBK" w:cs="方正黑体_GBK"/>
                <w:b w:val="0"/>
                <w:bCs w:val="0"/>
                <w:sz w:val="24"/>
              </w:rPr>
            </w:pPr>
            <w:r>
              <w:rPr>
                <w:rFonts w:hint="eastAsia" w:ascii="方正黑体_GBK" w:hAnsi="方正黑体_GBK" w:eastAsia="方正黑体_GBK" w:cs="方正黑体_GBK"/>
                <w:b w:val="0"/>
                <w:bCs w:val="0"/>
                <w:sz w:val="24"/>
              </w:rPr>
              <w:t>流程</w:t>
            </w:r>
          </w:p>
        </w:tc>
        <w:tc>
          <w:tcPr>
            <w:tcW w:w="2491" w:type="dxa"/>
            <w:vAlign w:val="center"/>
          </w:tcPr>
          <w:p>
            <w:pPr>
              <w:widowControl/>
              <w:spacing w:line="240" w:lineRule="exact"/>
              <w:ind w:firstLine="0" w:firstLineChars="0"/>
              <w:jc w:val="center"/>
              <w:rPr>
                <w:rFonts w:hint="eastAsia" w:ascii="方正黑体_GBK" w:hAnsi="方正黑体_GBK" w:eastAsia="方正黑体_GBK" w:cs="方正黑体_GBK"/>
                <w:b w:val="0"/>
                <w:bCs w:val="0"/>
                <w:sz w:val="24"/>
              </w:rPr>
            </w:pPr>
            <w:r>
              <w:rPr>
                <w:rFonts w:hint="eastAsia" w:ascii="方正黑体_GBK" w:hAnsi="方正黑体_GBK" w:eastAsia="方正黑体_GBK" w:cs="方正黑体_GBK"/>
                <w:b w:val="0"/>
                <w:bCs w:val="0"/>
                <w:sz w:val="24"/>
              </w:rPr>
              <w:t>重点环节</w:t>
            </w:r>
          </w:p>
        </w:tc>
        <w:tc>
          <w:tcPr>
            <w:tcW w:w="2281" w:type="dxa"/>
            <w:vAlign w:val="center"/>
          </w:tcPr>
          <w:p>
            <w:pPr>
              <w:widowControl/>
              <w:spacing w:line="240" w:lineRule="exact"/>
              <w:ind w:firstLine="0" w:firstLineChars="0"/>
              <w:jc w:val="center"/>
              <w:rPr>
                <w:rFonts w:hint="eastAsia" w:ascii="方正黑体_GBK" w:hAnsi="方正黑体_GBK" w:eastAsia="方正黑体_GBK" w:cs="方正黑体_GBK"/>
                <w:b w:val="0"/>
                <w:bCs w:val="0"/>
                <w:sz w:val="24"/>
                <w:highlight w:val="yellow"/>
              </w:rPr>
            </w:pPr>
            <w:r>
              <w:rPr>
                <w:rFonts w:hint="eastAsia" w:ascii="方正黑体_GBK" w:hAnsi="方正黑体_GBK" w:eastAsia="方正黑体_GBK" w:cs="方正黑体_GBK"/>
                <w:b w:val="0"/>
                <w:bCs w:val="0"/>
                <w:sz w:val="24"/>
              </w:rPr>
              <w:t>公有云部署模式</w:t>
            </w:r>
          </w:p>
        </w:tc>
        <w:tc>
          <w:tcPr>
            <w:tcW w:w="2276" w:type="dxa"/>
            <w:vAlign w:val="center"/>
          </w:tcPr>
          <w:p>
            <w:pPr>
              <w:widowControl/>
              <w:spacing w:line="240" w:lineRule="exact"/>
              <w:ind w:firstLine="0" w:firstLineChars="0"/>
              <w:jc w:val="center"/>
              <w:rPr>
                <w:rFonts w:hint="eastAsia" w:ascii="方正黑体_GBK" w:hAnsi="方正黑体_GBK" w:eastAsia="方正黑体_GBK" w:cs="方正黑体_GBK"/>
                <w:b w:val="0"/>
                <w:bCs w:val="0"/>
                <w:sz w:val="24"/>
              </w:rPr>
            </w:pPr>
            <w:r>
              <w:rPr>
                <w:rFonts w:hint="eastAsia" w:ascii="方正黑体_GBK" w:hAnsi="方正黑体_GBK" w:eastAsia="方正黑体_GBK" w:cs="方正黑体_GBK"/>
                <w:b w:val="0"/>
                <w:bCs w:val="0"/>
                <w:sz w:val="24"/>
              </w:rPr>
              <w:t>本地部署模式</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5" w:hRule="atLeast"/>
          <w:jc w:val="center"/>
        </w:trPr>
        <w:tc>
          <w:tcPr>
            <w:tcW w:w="0" w:type="auto"/>
            <w:vMerge w:val="restart"/>
            <w:vAlign w:val="center"/>
          </w:tcPr>
          <w:p>
            <w:pPr>
              <w:widowControl/>
              <w:spacing w:line="340" w:lineRule="exact"/>
              <w:ind w:firstLine="0" w:firstLineChars="0"/>
              <w:rPr>
                <w:rFonts w:hint="eastAsia" w:ascii="方正仿宋_GBK" w:hAnsi="方正仿宋_GBK" w:cs="方正仿宋_GBK"/>
                <w:sz w:val="24"/>
              </w:rPr>
            </w:pPr>
            <w:r>
              <w:rPr>
                <w:rFonts w:hint="eastAsia" w:ascii="方正仿宋_GBK" w:hAnsi="方正仿宋_GBK" w:cs="方正仿宋_GBK"/>
                <w:sz w:val="24"/>
              </w:rPr>
              <w:t>事前规划预置</w:t>
            </w:r>
          </w:p>
        </w:tc>
        <w:tc>
          <w:tcPr>
            <w:tcW w:w="2491" w:type="dxa"/>
            <w:vAlign w:val="center"/>
          </w:tcPr>
          <w:p>
            <w:pPr>
              <w:widowControl/>
              <w:spacing w:line="340" w:lineRule="exact"/>
              <w:ind w:firstLine="0" w:firstLineChars="0"/>
              <w:jc w:val="center"/>
              <w:rPr>
                <w:rFonts w:hint="eastAsia" w:ascii="方正仿宋_GBK" w:hAnsi="方正仿宋_GBK" w:cs="方正仿宋_GBK"/>
                <w:sz w:val="24"/>
              </w:rPr>
            </w:pPr>
            <w:r>
              <w:rPr>
                <w:rFonts w:hint="eastAsia" w:ascii="方正仿宋_GBK" w:hAnsi="方正仿宋_GBK" w:cs="方正仿宋_GBK"/>
                <w:sz w:val="24"/>
              </w:rPr>
              <w:t>场景分级与立项评估</w:t>
            </w:r>
          </w:p>
        </w:tc>
        <w:tc>
          <w:tcPr>
            <w:tcW w:w="4557" w:type="dxa"/>
            <w:gridSpan w:val="2"/>
            <w:vAlign w:val="center"/>
          </w:tcPr>
          <w:p>
            <w:pPr>
              <w:widowControl/>
              <w:spacing w:line="340" w:lineRule="exact"/>
              <w:ind w:firstLine="0" w:firstLineChars="0"/>
              <w:jc w:val="center"/>
              <w:rPr>
                <w:rFonts w:ascii="Arial" w:hAnsi="Arial" w:cs="Arial"/>
                <w:sz w:val="24"/>
              </w:rPr>
            </w:pPr>
            <w:r>
              <w:rPr>
                <w:rFonts w:hint="eastAsia" w:ascii="Arial" w:hAnsi="Arial" w:cs="Arial"/>
                <w:sz w:val="24"/>
              </w:rPr>
              <w:t>聚焦场景分级分类</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2" w:hRule="atLeast"/>
          <w:jc w:val="center"/>
        </w:trPr>
        <w:tc>
          <w:tcPr>
            <w:tcW w:w="0" w:type="auto"/>
            <w:vMerge w:val="continue"/>
            <w:vAlign w:val="center"/>
          </w:tcPr>
          <w:p>
            <w:pPr>
              <w:widowControl/>
              <w:spacing w:line="340" w:lineRule="exact"/>
              <w:ind w:firstLine="0" w:firstLineChars="0"/>
              <w:jc w:val="center"/>
              <w:rPr>
                <w:rFonts w:hint="eastAsia" w:ascii="方正仿宋_GBK" w:hAnsi="方正仿宋_GBK" w:cs="方正仿宋_GBK"/>
                <w:sz w:val="24"/>
              </w:rPr>
            </w:pPr>
          </w:p>
        </w:tc>
        <w:tc>
          <w:tcPr>
            <w:tcW w:w="2491" w:type="dxa"/>
            <w:vAlign w:val="center"/>
          </w:tcPr>
          <w:p>
            <w:pPr>
              <w:widowControl/>
              <w:spacing w:line="340" w:lineRule="exact"/>
              <w:ind w:firstLine="0" w:firstLineChars="0"/>
              <w:jc w:val="center"/>
              <w:rPr>
                <w:rFonts w:hint="eastAsia" w:ascii="方正仿宋_GBK" w:hAnsi="方正仿宋_GBK" w:cs="方正仿宋_GBK"/>
                <w:sz w:val="24"/>
              </w:rPr>
            </w:pPr>
            <w:r>
              <w:rPr>
                <w:rFonts w:hint="eastAsia" w:ascii="方正仿宋_GBK" w:hAnsi="方正仿宋_GBK" w:cs="方正仿宋_GBK"/>
                <w:sz w:val="24"/>
              </w:rPr>
              <w:t>模型选型与部署</w:t>
            </w:r>
          </w:p>
        </w:tc>
        <w:tc>
          <w:tcPr>
            <w:tcW w:w="2281" w:type="dxa"/>
            <w:vAlign w:val="center"/>
          </w:tcPr>
          <w:p>
            <w:pPr>
              <w:widowControl/>
              <w:spacing w:line="340" w:lineRule="exact"/>
              <w:ind w:firstLine="0" w:firstLineChars="0"/>
              <w:jc w:val="center"/>
              <w:rPr>
                <w:rFonts w:hint="eastAsia" w:ascii="方正仿宋_GBK" w:hAnsi="方正仿宋_GBK" w:cs="方正仿宋_GBK"/>
                <w:sz w:val="24"/>
              </w:rPr>
            </w:pPr>
            <w:r>
              <w:rPr>
                <w:rFonts w:hint="eastAsia" w:ascii="方正仿宋_GBK" w:hAnsi="方正仿宋_GBK" w:cs="方正仿宋_GBK"/>
                <w:sz w:val="24"/>
              </w:rPr>
              <w:t>聚焦</w:t>
            </w:r>
            <w:r>
              <w:rPr>
                <w:rFonts w:ascii="方正仿宋_GBK" w:hAnsi="方正仿宋_GBK" w:cs="方正仿宋_GBK"/>
                <w:sz w:val="24"/>
              </w:rPr>
              <w:t>非敏感业务</w:t>
            </w:r>
          </w:p>
        </w:tc>
        <w:tc>
          <w:tcPr>
            <w:tcW w:w="2276" w:type="dxa"/>
            <w:vAlign w:val="center"/>
          </w:tcPr>
          <w:p>
            <w:pPr>
              <w:widowControl/>
              <w:spacing w:line="340" w:lineRule="exact"/>
              <w:ind w:firstLine="0" w:firstLineChars="0"/>
              <w:jc w:val="center"/>
              <w:rPr>
                <w:rFonts w:ascii="Arial" w:hAnsi="Arial" w:cs="Arial"/>
                <w:sz w:val="24"/>
              </w:rPr>
            </w:pPr>
            <w:r>
              <w:rPr>
                <w:rFonts w:hint="eastAsia" w:ascii="Arial" w:hAnsi="Arial" w:cs="Arial"/>
                <w:sz w:val="24"/>
              </w:rPr>
              <w:t>聚焦模型与</w:t>
            </w:r>
            <w:r>
              <w:rPr>
                <w:rFonts w:ascii="Arial" w:hAnsi="Arial" w:cs="Arial"/>
                <w:sz w:val="24"/>
              </w:rPr>
              <w:t>场景匹配</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45" w:hRule="atLeast"/>
          <w:jc w:val="center"/>
        </w:trPr>
        <w:tc>
          <w:tcPr>
            <w:tcW w:w="0" w:type="auto"/>
            <w:vMerge w:val="continue"/>
            <w:vAlign w:val="center"/>
          </w:tcPr>
          <w:p>
            <w:pPr>
              <w:widowControl/>
              <w:spacing w:line="340" w:lineRule="exact"/>
              <w:ind w:firstLine="0" w:firstLineChars="0"/>
              <w:jc w:val="center"/>
              <w:rPr>
                <w:rFonts w:cs="Times New Roman"/>
                <w:sz w:val="24"/>
              </w:rPr>
            </w:pPr>
          </w:p>
        </w:tc>
        <w:tc>
          <w:tcPr>
            <w:tcW w:w="2491" w:type="dxa"/>
            <w:vAlign w:val="center"/>
          </w:tcPr>
          <w:p>
            <w:pPr>
              <w:widowControl/>
              <w:spacing w:line="340" w:lineRule="exact"/>
              <w:ind w:firstLine="0" w:firstLineChars="0"/>
              <w:jc w:val="center"/>
              <w:rPr>
                <w:rFonts w:hint="eastAsia" w:ascii="方正仿宋_GBK" w:hAnsi="方正仿宋_GBK" w:cs="方正仿宋_GBK"/>
                <w:sz w:val="24"/>
              </w:rPr>
            </w:pPr>
            <w:r>
              <w:rPr>
                <w:rFonts w:hint="eastAsia" w:ascii="方正仿宋_GBK" w:hAnsi="方正仿宋_GBK" w:cs="方正仿宋_GBK"/>
                <w:sz w:val="24"/>
              </w:rPr>
              <w:t>模型路由配置</w:t>
            </w:r>
          </w:p>
        </w:tc>
        <w:tc>
          <w:tcPr>
            <w:tcW w:w="2281" w:type="dxa"/>
            <w:vAlign w:val="center"/>
          </w:tcPr>
          <w:p>
            <w:pPr>
              <w:widowControl/>
              <w:spacing w:line="340" w:lineRule="exact"/>
              <w:ind w:firstLine="0" w:firstLineChars="0"/>
              <w:jc w:val="center"/>
              <w:rPr>
                <w:rFonts w:hint="eastAsia" w:ascii="方正仿宋_GBK" w:hAnsi="方正仿宋_GBK" w:cs="方正仿宋_GBK"/>
                <w:sz w:val="24"/>
              </w:rPr>
            </w:pPr>
            <w:r>
              <w:rPr>
                <w:rFonts w:hint="eastAsia" w:ascii="方正仿宋_GBK" w:hAnsi="方正仿宋_GBK" w:cs="方正仿宋_GBK"/>
                <w:sz w:val="24"/>
              </w:rPr>
              <w:t>聚焦成本的精准模型调度</w:t>
            </w:r>
          </w:p>
        </w:tc>
        <w:tc>
          <w:tcPr>
            <w:tcW w:w="2276" w:type="dxa"/>
            <w:vAlign w:val="center"/>
          </w:tcPr>
          <w:p>
            <w:pPr>
              <w:widowControl/>
              <w:spacing w:line="340" w:lineRule="exact"/>
              <w:ind w:firstLine="0" w:firstLineChars="0"/>
              <w:jc w:val="center"/>
              <w:rPr>
                <w:rFonts w:ascii="Arial" w:hAnsi="Arial" w:cs="Arial"/>
                <w:sz w:val="24"/>
              </w:rPr>
            </w:pPr>
            <w:r>
              <w:rPr>
                <w:rFonts w:hint="eastAsia" w:ascii="Arial" w:hAnsi="Arial" w:cs="Arial"/>
                <w:sz w:val="24"/>
              </w:rPr>
              <w:t>聚焦算力资源分配的精准模型调度</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8" w:hRule="atLeast"/>
          <w:jc w:val="center"/>
        </w:trPr>
        <w:tc>
          <w:tcPr>
            <w:tcW w:w="0" w:type="auto"/>
            <w:vMerge w:val="continue"/>
            <w:vAlign w:val="center"/>
          </w:tcPr>
          <w:p>
            <w:pPr>
              <w:widowControl/>
              <w:spacing w:line="340" w:lineRule="exact"/>
              <w:ind w:firstLine="0" w:firstLineChars="0"/>
              <w:jc w:val="center"/>
              <w:rPr>
                <w:rFonts w:hint="eastAsia" w:ascii="方正仿宋_GBK" w:hAnsi="方正仿宋_GBK" w:cs="方正仿宋_GBK"/>
                <w:sz w:val="24"/>
              </w:rPr>
            </w:pPr>
          </w:p>
        </w:tc>
        <w:tc>
          <w:tcPr>
            <w:tcW w:w="2491" w:type="dxa"/>
            <w:vAlign w:val="center"/>
          </w:tcPr>
          <w:p>
            <w:pPr>
              <w:widowControl/>
              <w:spacing w:line="340" w:lineRule="exact"/>
              <w:ind w:firstLine="0" w:firstLineChars="0"/>
              <w:jc w:val="center"/>
              <w:rPr>
                <w:rFonts w:hint="eastAsia" w:ascii="方正仿宋_GBK" w:hAnsi="方正仿宋_GBK" w:cs="方正仿宋_GBK"/>
                <w:sz w:val="24"/>
              </w:rPr>
            </w:pPr>
            <w:r>
              <w:rPr>
                <w:rFonts w:hint="eastAsia" w:ascii="方正仿宋_GBK" w:hAnsi="方正仿宋_GBK" w:cs="方正仿宋_GBK"/>
                <w:sz w:val="24"/>
              </w:rPr>
              <w:t>用量配额配置</w:t>
            </w:r>
          </w:p>
        </w:tc>
        <w:tc>
          <w:tcPr>
            <w:tcW w:w="2281" w:type="dxa"/>
            <w:vAlign w:val="center"/>
          </w:tcPr>
          <w:p>
            <w:pPr>
              <w:widowControl/>
              <w:spacing w:line="340" w:lineRule="exact"/>
              <w:ind w:firstLine="0" w:firstLineChars="0"/>
              <w:jc w:val="center"/>
              <w:rPr>
                <w:rFonts w:hint="eastAsia" w:ascii="方正仿宋_GBK" w:hAnsi="方正仿宋_GBK" w:cs="方正仿宋_GBK"/>
                <w:sz w:val="24"/>
              </w:rPr>
            </w:pPr>
            <w:r>
              <w:rPr>
                <w:rFonts w:hint="eastAsia" w:ascii="方正仿宋_GBK" w:hAnsi="方正仿宋_GBK" w:cs="方正仿宋_GBK"/>
                <w:sz w:val="24"/>
              </w:rPr>
              <w:t>云端预算配额设定</w:t>
            </w:r>
          </w:p>
        </w:tc>
        <w:tc>
          <w:tcPr>
            <w:tcW w:w="2276" w:type="dxa"/>
            <w:vAlign w:val="center"/>
          </w:tcPr>
          <w:p>
            <w:pPr>
              <w:widowControl/>
              <w:spacing w:line="340" w:lineRule="exact"/>
              <w:ind w:firstLine="0" w:firstLineChars="0"/>
              <w:jc w:val="center"/>
              <w:rPr>
                <w:rFonts w:hint="eastAsia" w:ascii="方正仿宋_GBK" w:hAnsi="方正仿宋_GBK" w:cs="方正仿宋_GBK"/>
                <w:sz w:val="24"/>
              </w:rPr>
            </w:pPr>
            <w:r>
              <w:rPr>
                <w:rFonts w:hint="eastAsia" w:ascii="方正仿宋_GBK" w:hAnsi="方正仿宋_GBK" w:cs="方正仿宋_GBK"/>
                <w:sz w:val="24"/>
              </w:rPr>
              <w:t>算力资源配额配置</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2" w:hRule="atLeast"/>
          <w:jc w:val="center"/>
        </w:trPr>
        <w:tc>
          <w:tcPr>
            <w:tcW w:w="0" w:type="auto"/>
            <w:vMerge w:val="continue"/>
            <w:vAlign w:val="center"/>
          </w:tcPr>
          <w:p>
            <w:pPr>
              <w:widowControl/>
              <w:spacing w:line="340" w:lineRule="exact"/>
              <w:ind w:firstLine="0" w:firstLineChars="0"/>
              <w:jc w:val="center"/>
              <w:rPr>
                <w:rFonts w:hint="eastAsia" w:ascii="方正仿宋_GBK" w:hAnsi="方正仿宋_GBK" w:cs="方正仿宋_GBK"/>
                <w:sz w:val="24"/>
              </w:rPr>
            </w:pPr>
          </w:p>
        </w:tc>
        <w:tc>
          <w:tcPr>
            <w:tcW w:w="2491" w:type="dxa"/>
            <w:vAlign w:val="center"/>
          </w:tcPr>
          <w:p>
            <w:pPr>
              <w:widowControl/>
              <w:spacing w:line="340" w:lineRule="exact"/>
              <w:ind w:firstLine="0" w:firstLineChars="0"/>
              <w:jc w:val="center"/>
              <w:rPr>
                <w:rFonts w:cs="Times New Roman"/>
                <w:sz w:val="24"/>
              </w:rPr>
            </w:pPr>
            <w:r>
              <w:rPr>
                <w:rFonts w:cs="Times New Roman"/>
                <w:sz w:val="24"/>
              </w:rPr>
              <w:t>Prompt工程</w:t>
            </w:r>
          </w:p>
        </w:tc>
        <w:tc>
          <w:tcPr>
            <w:tcW w:w="2281" w:type="dxa"/>
            <w:vAlign w:val="center"/>
          </w:tcPr>
          <w:p>
            <w:pPr>
              <w:widowControl/>
              <w:spacing w:line="340" w:lineRule="exact"/>
              <w:ind w:firstLine="0" w:firstLineChars="0"/>
              <w:jc w:val="center"/>
              <w:rPr>
                <w:rFonts w:hint="eastAsia" w:ascii="方正仿宋_GBK" w:hAnsi="方正仿宋_GBK" w:cs="方正仿宋_GBK"/>
                <w:sz w:val="24"/>
                <w:highlight w:val="yellow"/>
              </w:rPr>
            </w:pPr>
            <w:r>
              <w:rPr>
                <w:rFonts w:ascii="方正仿宋_GBK" w:hAnsi="方正仿宋_GBK" w:cs="方正仿宋_GBK"/>
                <w:sz w:val="24"/>
              </w:rPr>
              <w:t>固定内容前置</w:t>
            </w:r>
          </w:p>
        </w:tc>
        <w:tc>
          <w:tcPr>
            <w:tcW w:w="2276" w:type="dxa"/>
            <w:vAlign w:val="center"/>
          </w:tcPr>
          <w:p>
            <w:pPr>
              <w:widowControl/>
              <w:spacing w:line="340" w:lineRule="exact"/>
              <w:ind w:firstLine="0" w:firstLineChars="0"/>
              <w:jc w:val="center"/>
              <w:rPr>
                <w:rFonts w:hint="eastAsia" w:ascii="方正仿宋_GBK" w:hAnsi="方正仿宋_GBK" w:cs="方正仿宋_GBK"/>
                <w:sz w:val="24"/>
                <w:highlight w:val="yellow"/>
              </w:rPr>
            </w:pPr>
            <w:r>
              <w:rPr>
                <w:rFonts w:ascii="方正仿宋_GBK" w:hAnsi="方正仿宋_GBK" w:cs="方正仿宋_GBK"/>
                <w:sz w:val="24"/>
              </w:rPr>
              <w:t>精简</w:t>
            </w:r>
            <w:r>
              <w:rPr>
                <w:rFonts w:cs="Times New Roman"/>
                <w:sz w:val="24"/>
              </w:rPr>
              <w:t>Prompt</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2" w:hRule="atLeast"/>
          <w:jc w:val="center"/>
        </w:trPr>
        <w:tc>
          <w:tcPr>
            <w:tcW w:w="0" w:type="auto"/>
            <w:vMerge w:val="continue"/>
            <w:vAlign w:val="center"/>
          </w:tcPr>
          <w:p>
            <w:pPr>
              <w:widowControl/>
              <w:spacing w:line="340" w:lineRule="exact"/>
              <w:ind w:firstLine="0" w:firstLineChars="0"/>
              <w:jc w:val="center"/>
              <w:rPr>
                <w:rFonts w:hint="eastAsia" w:ascii="方正仿宋_GBK" w:hAnsi="方正仿宋_GBK" w:cs="方正仿宋_GBK"/>
                <w:sz w:val="24"/>
              </w:rPr>
            </w:pPr>
          </w:p>
        </w:tc>
        <w:tc>
          <w:tcPr>
            <w:tcW w:w="2491" w:type="dxa"/>
            <w:vAlign w:val="center"/>
          </w:tcPr>
          <w:p>
            <w:pPr>
              <w:widowControl/>
              <w:spacing w:line="340" w:lineRule="exact"/>
              <w:ind w:firstLine="0" w:firstLineChars="0"/>
              <w:jc w:val="center"/>
              <w:rPr>
                <w:rFonts w:hint="eastAsia" w:ascii="方正仿宋_GBK" w:hAnsi="方正仿宋_GBK" w:cs="方正仿宋_GBK"/>
                <w:sz w:val="24"/>
              </w:rPr>
            </w:pPr>
            <w:r>
              <w:rPr>
                <w:rFonts w:hint="eastAsia" w:cs="Times New Roman"/>
                <w:sz w:val="24"/>
              </w:rPr>
              <w:t>RAG配置与更新</w:t>
            </w:r>
          </w:p>
        </w:tc>
        <w:tc>
          <w:tcPr>
            <w:tcW w:w="2281" w:type="dxa"/>
            <w:vAlign w:val="center"/>
          </w:tcPr>
          <w:p>
            <w:pPr>
              <w:widowControl/>
              <w:spacing w:line="340" w:lineRule="exact"/>
              <w:ind w:firstLine="0" w:firstLineChars="0"/>
              <w:jc w:val="center"/>
              <w:rPr>
                <w:rFonts w:hint="eastAsia" w:ascii="方正仿宋_GBK" w:hAnsi="方正仿宋_GBK" w:cs="方正仿宋_GBK"/>
                <w:sz w:val="24"/>
              </w:rPr>
            </w:pPr>
            <w:r>
              <w:rPr>
                <w:rFonts w:hint="eastAsia" w:ascii="方正仿宋_GBK" w:hAnsi="方正仿宋_GBK" w:cs="方正仿宋_GBK"/>
                <w:sz w:val="24"/>
              </w:rPr>
              <w:t>控制检索</w:t>
            </w:r>
            <w:r>
              <w:rPr>
                <w:rFonts w:cs="Times New Roman"/>
                <w:sz w:val="24"/>
              </w:rPr>
              <w:t>Token</w:t>
            </w:r>
            <w:r>
              <w:rPr>
                <w:rFonts w:hint="eastAsia" w:ascii="方正仿宋_GBK" w:hAnsi="方正仿宋_GBK" w:cs="方正仿宋_GBK"/>
                <w:sz w:val="24"/>
              </w:rPr>
              <w:t>量</w:t>
            </w:r>
          </w:p>
        </w:tc>
        <w:tc>
          <w:tcPr>
            <w:tcW w:w="2276" w:type="dxa"/>
            <w:vAlign w:val="center"/>
          </w:tcPr>
          <w:p>
            <w:pPr>
              <w:widowControl/>
              <w:spacing w:line="340" w:lineRule="exact"/>
              <w:ind w:firstLine="0" w:firstLineChars="0"/>
              <w:jc w:val="center"/>
              <w:rPr>
                <w:rFonts w:hint="eastAsia" w:ascii="方正仿宋_GBK" w:hAnsi="方正仿宋_GBK" w:cs="方正仿宋_GBK"/>
                <w:sz w:val="24"/>
              </w:rPr>
            </w:pPr>
            <w:r>
              <w:rPr>
                <w:rFonts w:hint="eastAsia" w:ascii="方正仿宋_GBK" w:hAnsi="方正仿宋_GBK" w:cs="方正仿宋_GBK"/>
                <w:sz w:val="24"/>
              </w:rPr>
              <w:t>优化检索性能效率</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2" w:hRule="atLeast"/>
          <w:jc w:val="center"/>
        </w:trPr>
        <w:tc>
          <w:tcPr>
            <w:tcW w:w="1750" w:type="dxa"/>
            <w:vMerge w:val="restart"/>
            <w:vAlign w:val="center"/>
          </w:tcPr>
          <w:p>
            <w:pPr>
              <w:widowControl/>
              <w:spacing w:line="340" w:lineRule="exact"/>
              <w:ind w:firstLine="0" w:firstLineChars="0"/>
              <w:rPr>
                <w:rFonts w:hint="eastAsia" w:ascii="方正仿宋_GBK" w:hAnsi="方正仿宋_GBK" w:cs="方正仿宋_GBK"/>
                <w:sz w:val="24"/>
              </w:rPr>
            </w:pPr>
            <w:r>
              <w:rPr>
                <w:rFonts w:hint="eastAsia" w:ascii="方正仿宋_GBK" w:hAnsi="方正仿宋_GBK" w:cs="方正仿宋_GBK"/>
                <w:sz w:val="24"/>
              </w:rPr>
              <w:t>事中运行监控</w:t>
            </w:r>
          </w:p>
        </w:tc>
        <w:tc>
          <w:tcPr>
            <w:tcW w:w="2491" w:type="dxa"/>
            <w:vAlign w:val="center"/>
          </w:tcPr>
          <w:p>
            <w:pPr>
              <w:widowControl/>
              <w:spacing w:line="340" w:lineRule="exact"/>
              <w:ind w:firstLine="0" w:firstLineChars="0"/>
              <w:jc w:val="center"/>
              <w:rPr>
                <w:rFonts w:hint="eastAsia" w:ascii="方正仿宋_GBK" w:hAnsi="方正仿宋_GBK" w:cs="方正仿宋_GBK"/>
                <w:sz w:val="24"/>
              </w:rPr>
            </w:pPr>
            <w:r>
              <w:rPr>
                <w:rFonts w:hint="eastAsia" w:ascii="方正仿宋_GBK" w:hAnsi="方正仿宋_GBK" w:cs="方正仿宋_GBK"/>
                <w:sz w:val="24"/>
              </w:rPr>
              <w:t>并发与限流机制</w:t>
            </w:r>
          </w:p>
        </w:tc>
        <w:tc>
          <w:tcPr>
            <w:tcW w:w="2281" w:type="dxa"/>
            <w:vAlign w:val="center"/>
          </w:tcPr>
          <w:p>
            <w:pPr>
              <w:widowControl/>
              <w:spacing w:line="340" w:lineRule="exact"/>
              <w:ind w:firstLine="0" w:firstLineChars="0"/>
              <w:jc w:val="center"/>
              <w:rPr>
                <w:rFonts w:ascii="Arial" w:hAnsi="Arial" w:cs="Arial"/>
                <w:sz w:val="24"/>
              </w:rPr>
            </w:pPr>
            <w:r>
              <w:rPr>
                <w:rFonts w:hint="eastAsia" w:ascii="Arial" w:hAnsi="Arial" w:cs="Arial"/>
                <w:sz w:val="24"/>
              </w:rPr>
              <w:t>网关分级队列与配额联动管控</w:t>
            </w:r>
          </w:p>
        </w:tc>
        <w:tc>
          <w:tcPr>
            <w:tcW w:w="2276" w:type="dxa"/>
            <w:vAlign w:val="center"/>
          </w:tcPr>
          <w:p>
            <w:pPr>
              <w:widowControl/>
              <w:spacing w:line="340" w:lineRule="exact"/>
              <w:ind w:firstLine="0" w:firstLineChars="0"/>
              <w:jc w:val="center"/>
              <w:rPr>
                <w:rFonts w:ascii="Arial" w:hAnsi="Arial" w:cs="Arial"/>
                <w:sz w:val="24"/>
              </w:rPr>
            </w:pPr>
            <w:r>
              <w:rPr>
                <w:rFonts w:hint="eastAsia" w:ascii="Arial" w:hAnsi="Arial" w:cs="Arial"/>
                <w:sz w:val="24"/>
              </w:rPr>
              <w:t>算力动态调度与分级降级释放</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2" w:hRule="atLeast"/>
          <w:jc w:val="center"/>
        </w:trPr>
        <w:tc>
          <w:tcPr>
            <w:tcW w:w="1750" w:type="dxa"/>
            <w:vMerge w:val="continue"/>
            <w:vAlign w:val="center"/>
          </w:tcPr>
          <w:p>
            <w:pPr>
              <w:widowControl/>
              <w:spacing w:line="340" w:lineRule="exact"/>
              <w:ind w:firstLine="0" w:firstLineChars="0"/>
              <w:rPr>
                <w:rFonts w:hint="eastAsia" w:ascii="方正仿宋_GBK" w:hAnsi="方正仿宋_GBK" w:cs="方正仿宋_GBK"/>
                <w:sz w:val="24"/>
              </w:rPr>
            </w:pPr>
          </w:p>
        </w:tc>
        <w:tc>
          <w:tcPr>
            <w:tcW w:w="2491" w:type="dxa"/>
            <w:vAlign w:val="center"/>
          </w:tcPr>
          <w:p>
            <w:pPr>
              <w:widowControl/>
              <w:spacing w:line="340" w:lineRule="exact"/>
              <w:ind w:firstLine="0" w:firstLineChars="0"/>
              <w:jc w:val="center"/>
              <w:rPr>
                <w:rFonts w:hint="eastAsia" w:ascii="方正仿宋_GBK" w:hAnsi="方正仿宋_GBK" w:cs="方正仿宋_GBK"/>
                <w:sz w:val="24"/>
              </w:rPr>
            </w:pPr>
            <w:r>
              <w:rPr>
                <w:rFonts w:hint="eastAsia" w:ascii="方正仿宋_GBK" w:hAnsi="方正仿宋_GBK" w:cs="方正仿宋_GBK"/>
                <w:sz w:val="24"/>
              </w:rPr>
              <w:t>缓存复用与语义拦截</w:t>
            </w:r>
          </w:p>
        </w:tc>
        <w:tc>
          <w:tcPr>
            <w:tcW w:w="2281" w:type="dxa"/>
            <w:vAlign w:val="center"/>
          </w:tcPr>
          <w:p>
            <w:pPr>
              <w:widowControl/>
              <w:spacing w:line="340" w:lineRule="exact"/>
              <w:ind w:firstLine="0" w:firstLineChars="0"/>
              <w:jc w:val="center"/>
              <w:rPr>
                <w:rFonts w:ascii="Arial" w:hAnsi="Arial" w:cs="Arial"/>
                <w:sz w:val="24"/>
              </w:rPr>
            </w:pPr>
            <w:r>
              <w:rPr>
                <w:rFonts w:ascii="Arial" w:hAnsi="Arial" w:cs="Arial"/>
                <w:sz w:val="24"/>
              </w:rPr>
              <w:t>提缓存率省费用</w:t>
            </w:r>
          </w:p>
        </w:tc>
        <w:tc>
          <w:tcPr>
            <w:tcW w:w="2276" w:type="dxa"/>
            <w:vAlign w:val="center"/>
          </w:tcPr>
          <w:p>
            <w:pPr>
              <w:widowControl/>
              <w:spacing w:line="340" w:lineRule="exact"/>
              <w:ind w:firstLine="0" w:firstLineChars="0"/>
              <w:jc w:val="center"/>
              <w:rPr>
                <w:rFonts w:ascii="Arial" w:hAnsi="Arial" w:cs="Arial"/>
                <w:sz w:val="24"/>
              </w:rPr>
            </w:pPr>
            <w:r>
              <w:rPr>
                <w:rFonts w:ascii="Arial" w:hAnsi="Arial" w:cs="Arial"/>
                <w:sz w:val="24"/>
              </w:rPr>
              <w:t>减重复计算省算力</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2" w:hRule="atLeast"/>
          <w:jc w:val="center"/>
        </w:trPr>
        <w:tc>
          <w:tcPr>
            <w:tcW w:w="1750" w:type="dxa"/>
            <w:vMerge w:val="continue"/>
            <w:vAlign w:val="center"/>
          </w:tcPr>
          <w:p>
            <w:pPr>
              <w:widowControl/>
              <w:spacing w:line="340" w:lineRule="exact"/>
              <w:ind w:firstLine="0" w:firstLineChars="0"/>
              <w:jc w:val="center"/>
              <w:rPr>
                <w:rFonts w:hint="eastAsia" w:ascii="方正仿宋_GBK" w:hAnsi="方正仿宋_GBK" w:cs="方正仿宋_GBK"/>
                <w:sz w:val="24"/>
              </w:rPr>
            </w:pPr>
          </w:p>
        </w:tc>
        <w:tc>
          <w:tcPr>
            <w:tcW w:w="2491" w:type="dxa"/>
            <w:vAlign w:val="center"/>
          </w:tcPr>
          <w:p>
            <w:pPr>
              <w:widowControl/>
              <w:spacing w:line="340" w:lineRule="exact"/>
              <w:ind w:firstLine="0" w:firstLineChars="0"/>
              <w:jc w:val="center"/>
              <w:rPr>
                <w:rFonts w:hint="eastAsia" w:ascii="方正仿宋_GBK" w:hAnsi="方正仿宋_GBK" w:cs="方正仿宋_GBK"/>
                <w:sz w:val="24"/>
              </w:rPr>
            </w:pPr>
            <w:r>
              <w:rPr>
                <w:rFonts w:hint="eastAsia" w:ascii="Arial" w:hAnsi="Arial" w:cs="Arial"/>
                <w:sz w:val="24"/>
              </w:rPr>
              <w:t>余量调配与扩缩容</w:t>
            </w:r>
          </w:p>
        </w:tc>
        <w:tc>
          <w:tcPr>
            <w:tcW w:w="2281" w:type="dxa"/>
            <w:vAlign w:val="center"/>
          </w:tcPr>
          <w:p>
            <w:pPr>
              <w:widowControl/>
              <w:spacing w:line="340" w:lineRule="exact"/>
              <w:ind w:firstLine="0" w:firstLineChars="0"/>
              <w:jc w:val="center"/>
              <w:rPr>
                <w:rFonts w:hint="eastAsia" w:ascii="方正仿宋_GBK" w:hAnsi="方正仿宋_GBK" w:cs="方正仿宋_GBK"/>
                <w:sz w:val="24"/>
              </w:rPr>
            </w:pPr>
            <w:r>
              <w:rPr>
                <w:rFonts w:hint="eastAsia" w:ascii="Arial" w:hAnsi="Arial" w:cs="Arial"/>
                <w:sz w:val="24"/>
              </w:rPr>
              <w:t>网关调度</w:t>
            </w:r>
          </w:p>
        </w:tc>
        <w:tc>
          <w:tcPr>
            <w:tcW w:w="2276" w:type="dxa"/>
            <w:vAlign w:val="center"/>
          </w:tcPr>
          <w:p>
            <w:pPr>
              <w:widowControl/>
              <w:spacing w:line="340" w:lineRule="exact"/>
              <w:ind w:firstLine="0" w:firstLineChars="0"/>
              <w:jc w:val="center"/>
              <w:rPr>
                <w:rFonts w:ascii="Arial" w:hAnsi="Arial" w:cs="Arial"/>
                <w:sz w:val="24"/>
              </w:rPr>
            </w:pPr>
            <w:r>
              <w:rPr>
                <w:rFonts w:hint="eastAsia" w:ascii="Arial" w:hAnsi="Arial" w:cs="Arial"/>
                <w:sz w:val="24"/>
              </w:rPr>
              <w:t>算力资源池调度</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4" w:hRule="atLeast"/>
          <w:jc w:val="center"/>
        </w:trPr>
        <w:tc>
          <w:tcPr>
            <w:tcW w:w="1750" w:type="dxa"/>
            <w:vMerge w:val="continue"/>
            <w:vAlign w:val="center"/>
          </w:tcPr>
          <w:p>
            <w:pPr>
              <w:widowControl/>
              <w:spacing w:line="340" w:lineRule="exact"/>
              <w:ind w:firstLine="0" w:firstLineChars="0"/>
              <w:jc w:val="center"/>
              <w:rPr>
                <w:rFonts w:hint="eastAsia" w:ascii="方正仿宋_GBK" w:hAnsi="方正仿宋_GBK" w:cs="方正仿宋_GBK"/>
                <w:sz w:val="24"/>
              </w:rPr>
            </w:pPr>
          </w:p>
        </w:tc>
        <w:tc>
          <w:tcPr>
            <w:tcW w:w="2491" w:type="dxa"/>
            <w:vAlign w:val="center"/>
          </w:tcPr>
          <w:p>
            <w:pPr>
              <w:widowControl/>
              <w:spacing w:line="340" w:lineRule="exact"/>
              <w:ind w:firstLine="0" w:firstLineChars="0"/>
              <w:jc w:val="center"/>
              <w:rPr>
                <w:rFonts w:hint="eastAsia" w:ascii="方正仿宋_GBK" w:hAnsi="方正仿宋_GBK" w:cs="方正仿宋_GBK"/>
                <w:sz w:val="24"/>
              </w:rPr>
            </w:pPr>
            <w:r>
              <w:rPr>
                <w:rFonts w:hint="eastAsia" w:ascii="方正仿宋_GBK" w:hAnsi="方正仿宋_GBK" w:cs="方正仿宋_GBK"/>
                <w:sz w:val="24"/>
              </w:rPr>
              <w:t>数据合规与脱敏</w:t>
            </w:r>
          </w:p>
        </w:tc>
        <w:tc>
          <w:tcPr>
            <w:tcW w:w="2281" w:type="dxa"/>
            <w:vAlign w:val="center"/>
          </w:tcPr>
          <w:p>
            <w:pPr>
              <w:widowControl/>
              <w:spacing w:line="340" w:lineRule="exact"/>
              <w:ind w:firstLine="0" w:firstLineChars="0"/>
              <w:jc w:val="center"/>
              <w:rPr>
                <w:rFonts w:hint="eastAsia" w:ascii="方正仿宋_GBK" w:hAnsi="方正仿宋_GBK" w:cs="方正仿宋_GBK"/>
                <w:sz w:val="24"/>
              </w:rPr>
            </w:pPr>
            <w:r>
              <w:rPr>
                <w:rFonts w:hint="eastAsia" w:ascii="方正仿宋_GBK" w:hAnsi="方正仿宋_GBK" w:cs="方正仿宋_GBK"/>
                <w:sz w:val="24"/>
              </w:rPr>
              <w:t>数据出域风险管控</w:t>
            </w:r>
          </w:p>
        </w:tc>
        <w:tc>
          <w:tcPr>
            <w:tcW w:w="2276" w:type="dxa"/>
            <w:vAlign w:val="center"/>
          </w:tcPr>
          <w:p>
            <w:pPr>
              <w:widowControl/>
              <w:spacing w:line="340" w:lineRule="exact"/>
              <w:ind w:firstLine="0" w:firstLineChars="0"/>
              <w:jc w:val="center"/>
              <w:rPr>
                <w:rFonts w:hint="eastAsia" w:ascii="方正仿宋_GBK" w:hAnsi="方正仿宋_GBK" w:cs="方正仿宋_GBK"/>
                <w:sz w:val="24"/>
              </w:rPr>
            </w:pPr>
            <w:r>
              <w:rPr>
                <w:rFonts w:hint="eastAsia" w:ascii="方正仿宋_GBK" w:hAnsi="方正仿宋_GBK" w:cs="方正仿宋_GBK"/>
                <w:sz w:val="24"/>
              </w:rPr>
              <w:t>内部权限分级管控</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2" w:hRule="atLeast"/>
          <w:jc w:val="center"/>
        </w:trPr>
        <w:tc>
          <w:tcPr>
            <w:tcW w:w="1750" w:type="dxa"/>
            <w:vMerge w:val="continue"/>
            <w:vAlign w:val="center"/>
          </w:tcPr>
          <w:p>
            <w:pPr>
              <w:widowControl/>
              <w:spacing w:line="340" w:lineRule="exact"/>
              <w:ind w:firstLine="0" w:firstLineChars="0"/>
              <w:jc w:val="center"/>
              <w:rPr>
                <w:rFonts w:hint="eastAsia" w:ascii="方正仿宋_GBK" w:hAnsi="方正仿宋_GBK" w:cs="方正仿宋_GBK"/>
                <w:sz w:val="24"/>
              </w:rPr>
            </w:pPr>
          </w:p>
        </w:tc>
        <w:tc>
          <w:tcPr>
            <w:tcW w:w="2491" w:type="dxa"/>
            <w:vAlign w:val="center"/>
          </w:tcPr>
          <w:p>
            <w:pPr>
              <w:widowControl/>
              <w:spacing w:line="340" w:lineRule="exact"/>
              <w:ind w:firstLine="0" w:firstLineChars="0"/>
              <w:jc w:val="center"/>
              <w:rPr>
                <w:rFonts w:hint="eastAsia" w:ascii="方正仿宋_GBK" w:hAnsi="方正仿宋_GBK" w:cs="方正仿宋_GBK"/>
                <w:sz w:val="24"/>
              </w:rPr>
            </w:pPr>
            <w:r>
              <w:rPr>
                <w:rFonts w:hint="eastAsia" w:ascii="方正仿宋_GBK" w:hAnsi="方正仿宋_GBK" w:cs="方正仿宋_GBK"/>
                <w:sz w:val="24"/>
              </w:rPr>
              <w:t>实时监控与审计</w:t>
            </w:r>
          </w:p>
        </w:tc>
        <w:tc>
          <w:tcPr>
            <w:tcW w:w="2281" w:type="dxa"/>
            <w:vAlign w:val="center"/>
          </w:tcPr>
          <w:p>
            <w:pPr>
              <w:widowControl/>
              <w:spacing w:line="340" w:lineRule="exact"/>
              <w:ind w:firstLine="0" w:firstLineChars="0"/>
              <w:jc w:val="center"/>
              <w:rPr>
                <w:rFonts w:hint="eastAsia" w:ascii="方正仿宋_GBK" w:hAnsi="方正仿宋_GBK" w:cs="方正仿宋_GBK"/>
                <w:sz w:val="24"/>
              </w:rPr>
            </w:pPr>
            <w:r>
              <w:rPr>
                <w:rFonts w:hint="eastAsia" w:ascii="方正仿宋_GBK" w:hAnsi="方正仿宋_GBK" w:cs="方正仿宋_GBK"/>
                <w:sz w:val="24"/>
              </w:rPr>
              <w:t>云端用量</w:t>
            </w:r>
          </w:p>
        </w:tc>
        <w:tc>
          <w:tcPr>
            <w:tcW w:w="2276" w:type="dxa"/>
            <w:vAlign w:val="center"/>
          </w:tcPr>
          <w:p>
            <w:pPr>
              <w:widowControl/>
              <w:spacing w:line="340" w:lineRule="exact"/>
              <w:ind w:firstLine="0" w:firstLineChars="0"/>
              <w:jc w:val="center"/>
              <w:rPr>
                <w:rFonts w:hint="eastAsia" w:ascii="方正仿宋_GBK" w:hAnsi="方正仿宋_GBK" w:cs="方正仿宋_GBK"/>
                <w:sz w:val="24"/>
              </w:rPr>
            </w:pPr>
            <w:r>
              <w:rPr>
                <w:rFonts w:hint="eastAsia" w:ascii="方正仿宋_GBK" w:hAnsi="方正仿宋_GBK" w:cs="方正仿宋_GBK"/>
                <w:sz w:val="24"/>
              </w:rPr>
              <w:t>算力设施</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97" w:hRule="atLeast"/>
          <w:jc w:val="center"/>
        </w:trPr>
        <w:tc>
          <w:tcPr>
            <w:tcW w:w="1750" w:type="dxa"/>
            <w:vMerge w:val="continue"/>
            <w:vAlign w:val="center"/>
          </w:tcPr>
          <w:p>
            <w:pPr>
              <w:widowControl/>
              <w:spacing w:line="340" w:lineRule="exact"/>
              <w:ind w:firstLine="0" w:firstLineChars="0"/>
              <w:jc w:val="center"/>
              <w:rPr>
                <w:rFonts w:hint="eastAsia" w:ascii="方正仿宋_GBK" w:hAnsi="方正仿宋_GBK" w:cs="方正仿宋_GBK"/>
                <w:sz w:val="24"/>
              </w:rPr>
            </w:pPr>
          </w:p>
        </w:tc>
        <w:tc>
          <w:tcPr>
            <w:tcW w:w="2491" w:type="dxa"/>
            <w:vAlign w:val="center"/>
          </w:tcPr>
          <w:p>
            <w:pPr>
              <w:widowControl/>
              <w:spacing w:line="340" w:lineRule="exact"/>
              <w:ind w:firstLine="0" w:firstLineChars="0"/>
              <w:jc w:val="center"/>
              <w:rPr>
                <w:rFonts w:hint="eastAsia" w:ascii="方正仿宋_GBK" w:hAnsi="方正仿宋_GBK" w:cs="方正仿宋_GBK"/>
                <w:sz w:val="24"/>
              </w:rPr>
            </w:pPr>
            <w:r>
              <w:rPr>
                <w:rFonts w:hint="eastAsia" w:ascii="方正仿宋_GBK" w:hAnsi="方正仿宋_GBK" w:cs="方正仿宋_GBK"/>
                <w:sz w:val="24"/>
              </w:rPr>
              <w:t>人工介入与兜底</w:t>
            </w:r>
          </w:p>
        </w:tc>
        <w:tc>
          <w:tcPr>
            <w:tcW w:w="2281" w:type="dxa"/>
            <w:vAlign w:val="center"/>
          </w:tcPr>
          <w:p>
            <w:pPr>
              <w:widowControl/>
              <w:spacing w:line="340" w:lineRule="exact"/>
              <w:ind w:firstLine="0" w:firstLineChars="0"/>
              <w:jc w:val="center"/>
              <w:rPr>
                <w:rFonts w:ascii="Arial" w:hAnsi="Arial" w:cs="Arial"/>
                <w:sz w:val="24"/>
              </w:rPr>
            </w:pPr>
            <w:r>
              <w:rPr>
                <w:rFonts w:hint="eastAsia" w:ascii="Arial" w:hAnsi="Arial" w:cs="Arial"/>
                <w:sz w:val="24"/>
              </w:rPr>
              <w:t>敏感内容审计与云端用量应急管控</w:t>
            </w:r>
          </w:p>
        </w:tc>
        <w:tc>
          <w:tcPr>
            <w:tcW w:w="2276" w:type="dxa"/>
            <w:vAlign w:val="center"/>
          </w:tcPr>
          <w:p>
            <w:pPr>
              <w:widowControl/>
              <w:spacing w:line="340" w:lineRule="exact"/>
              <w:ind w:firstLine="0" w:firstLineChars="0"/>
              <w:jc w:val="center"/>
              <w:rPr>
                <w:rFonts w:ascii="Arial" w:hAnsi="Arial" w:cs="Arial"/>
                <w:sz w:val="24"/>
              </w:rPr>
            </w:pPr>
            <w:r>
              <w:rPr>
                <w:rFonts w:hint="eastAsia" w:ascii="Arial" w:hAnsi="Arial" w:cs="Arial"/>
                <w:sz w:val="24"/>
              </w:rPr>
              <w:t>工控系统管控与算力过载调度</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93" w:hRule="atLeast"/>
          <w:jc w:val="center"/>
        </w:trPr>
        <w:tc>
          <w:tcPr>
            <w:tcW w:w="0" w:type="auto"/>
            <w:vMerge w:val="restart"/>
            <w:vAlign w:val="center"/>
          </w:tcPr>
          <w:p>
            <w:pPr>
              <w:widowControl/>
              <w:spacing w:line="340" w:lineRule="exact"/>
              <w:ind w:firstLine="0" w:firstLineChars="0"/>
            </w:pPr>
            <w:r>
              <w:rPr>
                <w:rFonts w:hint="eastAsia" w:ascii="方正仿宋_GBK" w:hAnsi="方正仿宋_GBK" w:cs="方正仿宋_GBK"/>
                <w:sz w:val="24"/>
              </w:rPr>
              <w:t>事后复盘优化</w:t>
            </w:r>
          </w:p>
        </w:tc>
        <w:tc>
          <w:tcPr>
            <w:tcW w:w="2491" w:type="dxa"/>
            <w:vAlign w:val="center"/>
          </w:tcPr>
          <w:p>
            <w:pPr>
              <w:widowControl/>
              <w:spacing w:line="340" w:lineRule="exact"/>
              <w:ind w:firstLine="0" w:firstLineChars="0"/>
              <w:jc w:val="center"/>
              <w:rPr>
                <w:rFonts w:hint="eastAsia" w:ascii="方正仿宋_GBK" w:hAnsi="方正仿宋_GBK" w:cs="方正仿宋_GBK"/>
                <w:sz w:val="24"/>
              </w:rPr>
            </w:pPr>
            <w:r>
              <w:rPr>
                <w:rFonts w:hint="eastAsia" w:ascii="方正仿宋_GBK" w:hAnsi="方正仿宋_GBK" w:cs="方正仿宋_GBK"/>
                <w:sz w:val="24"/>
              </w:rPr>
              <w:t>精细化账单归因</w:t>
            </w:r>
          </w:p>
        </w:tc>
        <w:tc>
          <w:tcPr>
            <w:tcW w:w="2281" w:type="dxa"/>
            <w:vAlign w:val="center"/>
          </w:tcPr>
          <w:p>
            <w:pPr>
              <w:widowControl/>
              <w:spacing w:line="340" w:lineRule="exact"/>
              <w:ind w:firstLine="0" w:firstLineChars="0"/>
              <w:jc w:val="center"/>
              <w:rPr>
                <w:rFonts w:hint="eastAsia" w:ascii="方正仿宋_GBK" w:hAnsi="方正仿宋_GBK" w:cs="方正仿宋_GBK"/>
                <w:sz w:val="24"/>
                <w:highlight w:val="yellow"/>
              </w:rPr>
            </w:pPr>
            <w:r>
              <w:rPr>
                <w:rFonts w:cs="Times New Roman"/>
                <w:sz w:val="24"/>
              </w:rPr>
              <w:t>API</w:t>
            </w:r>
            <w:r>
              <w:rPr>
                <w:rFonts w:ascii="Arial" w:hAnsi="Arial" w:cs="Arial"/>
                <w:sz w:val="24"/>
              </w:rPr>
              <w:t>调用费用</w:t>
            </w:r>
          </w:p>
        </w:tc>
        <w:tc>
          <w:tcPr>
            <w:tcW w:w="2276" w:type="dxa"/>
            <w:vAlign w:val="center"/>
          </w:tcPr>
          <w:p>
            <w:pPr>
              <w:widowControl/>
              <w:spacing w:line="340" w:lineRule="exact"/>
              <w:ind w:firstLine="0" w:firstLineChars="0"/>
              <w:jc w:val="center"/>
              <w:rPr>
                <w:rFonts w:hint="eastAsia" w:ascii="方正仿宋_GBK" w:hAnsi="方正仿宋_GBK" w:cs="方正仿宋_GBK"/>
                <w:sz w:val="24"/>
                <w:highlight w:val="yellow"/>
              </w:rPr>
            </w:pPr>
            <w:r>
              <w:rPr>
                <w:rFonts w:hint="eastAsia" w:ascii="方正仿宋_GBK" w:hAnsi="方正仿宋_GBK" w:cs="方正仿宋_GBK"/>
                <w:sz w:val="24"/>
              </w:rPr>
              <w:t>算力成本分摊</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66" w:hRule="atLeast"/>
          <w:jc w:val="center"/>
        </w:trPr>
        <w:tc>
          <w:tcPr>
            <w:tcW w:w="0" w:type="auto"/>
            <w:vMerge w:val="continue"/>
            <w:vAlign w:val="center"/>
          </w:tcPr>
          <w:p>
            <w:pPr>
              <w:widowControl/>
              <w:spacing w:line="340" w:lineRule="exact"/>
              <w:ind w:firstLine="0" w:firstLineChars="0"/>
              <w:jc w:val="center"/>
              <w:rPr>
                <w:rFonts w:hint="eastAsia" w:ascii="方正仿宋_GBK" w:hAnsi="方正仿宋_GBK" w:cs="方正仿宋_GBK"/>
                <w:sz w:val="24"/>
              </w:rPr>
            </w:pPr>
          </w:p>
        </w:tc>
        <w:tc>
          <w:tcPr>
            <w:tcW w:w="2491" w:type="dxa"/>
            <w:vAlign w:val="center"/>
          </w:tcPr>
          <w:p>
            <w:pPr>
              <w:widowControl/>
              <w:spacing w:line="340" w:lineRule="exact"/>
              <w:ind w:firstLine="0" w:firstLineChars="0"/>
              <w:jc w:val="center"/>
              <w:rPr>
                <w:rFonts w:hint="eastAsia" w:ascii="方正仿宋_GBK" w:hAnsi="方正仿宋_GBK" w:cs="方正仿宋_GBK"/>
                <w:sz w:val="24"/>
              </w:rPr>
            </w:pPr>
            <w:r>
              <w:rPr>
                <w:rFonts w:hint="eastAsia" w:ascii="方正仿宋_GBK" w:hAnsi="方正仿宋_GBK" w:cs="方正仿宋_GBK"/>
                <w:sz w:val="24"/>
              </w:rPr>
              <w:t>综合效能评估</w:t>
            </w:r>
          </w:p>
        </w:tc>
        <w:tc>
          <w:tcPr>
            <w:tcW w:w="2281" w:type="dxa"/>
            <w:vAlign w:val="center"/>
          </w:tcPr>
          <w:p>
            <w:pPr>
              <w:widowControl/>
              <w:spacing w:line="340" w:lineRule="exact"/>
              <w:ind w:firstLine="0" w:firstLineChars="0"/>
              <w:jc w:val="center"/>
              <w:rPr>
                <w:rFonts w:cs="Times New Roman"/>
                <w:sz w:val="24"/>
              </w:rPr>
            </w:pPr>
            <w:r>
              <w:rPr>
                <w:rFonts w:hint="eastAsia" w:ascii="Arial" w:hAnsi="Arial" w:cs="Arial"/>
                <w:sz w:val="24"/>
              </w:rPr>
              <w:t>云端投入的</w:t>
            </w:r>
            <w:r>
              <w:rPr>
                <w:rFonts w:cs="Times New Roman"/>
                <w:sz w:val="24"/>
              </w:rPr>
              <w:t>ROI</w:t>
            </w:r>
          </w:p>
          <w:p>
            <w:pPr>
              <w:widowControl/>
              <w:spacing w:line="340" w:lineRule="exact"/>
              <w:ind w:firstLine="0" w:firstLineChars="0"/>
              <w:jc w:val="center"/>
              <w:rPr>
                <w:rFonts w:hint="eastAsia" w:ascii="方正仿宋_GBK" w:hAnsi="方正仿宋_GBK" w:cs="方正仿宋_GBK"/>
                <w:sz w:val="24"/>
              </w:rPr>
            </w:pPr>
            <w:r>
              <w:rPr>
                <w:rFonts w:hint="eastAsia" w:ascii="Arial" w:hAnsi="Arial" w:cs="Arial"/>
                <w:sz w:val="24"/>
              </w:rPr>
              <w:t>量化</w:t>
            </w:r>
          </w:p>
        </w:tc>
        <w:tc>
          <w:tcPr>
            <w:tcW w:w="2276" w:type="dxa"/>
            <w:vAlign w:val="center"/>
          </w:tcPr>
          <w:p>
            <w:pPr>
              <w:widowControl/>
              <w:spacing w:line="340" w:lineRule="exact"/>
              <w:ind w:firstLine="0" w:firstLineChars="0"/>
              <w:jc w:val="center"/>
              <w:rPr>
                <w:rFonts w:cs="Times New Roman"/>
                <w:sz w:val="24"/>
              </w:rPr>
            </w:pPr>
            <w:r>
              <w:rPr>
                <w:rFonts w:hint="eastAsia" w:ascii="方正仿宋_GBK" w:hAnsi="方正仿宋_GBK" w:cs="方正仿宋_GBK"/>
                <w:sz w:val="24"/>
              </w:rPr>
              <w:t>硬件投入</w:t>
            </w:r>
            <w:r>
              <w:rPr>
                <w:rFonts w:cs="Times New Roman"/>
                <w:sz w:val="24"/>
              </w:rPr>
              <w:t>的ROI</w:t>
            </w:r>
          </w:p>
          <w:p>
            <w:pPr>
              <w:widowControl/>
              <w:spacing w:line="340" w:lineRule="exact"/>
              <w:ind w:firstLine="0" w:firstLineChars="0"/>
              <w:jc w:val="center"/>
              <w:rPr>
                <w:rFonts w:hint="eastAsia" w:ascii="方正仿宋_GBK" w:hAnsi="方正仿宋_GBK" w:cs="方正仿宋_GBK"/>
                <w:sz w:val="24"/>
              </w:rPr>
            </w:pPr>
            <w:r>
              <w:rPr>
                <w:rFonts w:cs="Times New Roman"/>
                <w:sz w:val="24"/>
              </w:rPr>
              <w:t>量</w:t>
            </w:r>
            <w:r>
              <w:rPr>
                <w:rFonts w:hint="eastAsia" w:ascii="方正仿宋_GBK" w:hAnsi="方正仿宋_GBK" w:cs="方正仿宋_GBK"/>
                <w:sz w:val="24"/>
              </w:rPr>
              <w:t>化</w:t>
            </w:r>
          </w:p>
        </w:tc>
      </w:tr>
    </w:tbl>
    <w:p>
      <w:pPr>
        <w:pStyle w:val="3"/>
        <w:numPr>
          <w:ilvl w:val="0"/>
          <w:numId w:val="1"/>
        </w:numPr>
      </w:pPr>
      <w:bookmarkStart w:id="35" w:name="_Toc32445"/>
      <w:bookmarkStart w:id="36" w:name="_Toc13498"/>
      <w:bookmarkStart w:id="37" w:name="_Toc13135"/>
      <w:r>
        <w:rPr>
          <w:rFonts w:hint="eastAsia"/>
        </w:rPr>
        <w:t>事前规划预置</w:t>
      </w:r>
      <w:bookmarkEnd w:id="35"/>
      <w:bookmarkEnd w:id="36"/>
    </w:p>
    <w:p>
      <w:pPr>
        <w:pStyle w:val="4"/>
        <w:ind w:firstLine="643"/>
      </w:pPr>
      <w:bookmarkStart w:id="38" w:name="_Toc15233"/>
      <w:bookmarkStart w:id="39" w:name="_Toc3660"/>
      <w:r>
        <w:rPr>
          <w:rFonts w:hint="eastAsia"/>
        </w:rPr>
        <w:t>1.</w:t>
      </w:r>
      <w:r>
        <w:rPr>
          <w:rFonts w:hint="eastAsia" w:ascii="方正仿宋_GBK" w:hAnsi="方正仿宋_GBK" w:cs="方正仿宋_GBK"/>
          <w:szCs w:val="32"/>
        </w:rPr>
        <w:t>场景分级与立项评估</w:t>
      </w:r>
      <w:bookmarkEnd w:id="38"/>
      <w:bookmarkEnd w:id="39"/>
    </w:p>
    <w:p>
      <w:pPr>
        <w:ind w:firstLine="640"/>
      </w:pPr>
      <w:r>
        <w:rPr>
          <w:rFonts w:hint="eastAsia"/>
        </w:rPr>
        <w:t>场景分级与立项评估的核心目标是规范</w:t>
      </w:r>
      <w:r>
        <w:rPr>
          <w:rFonts w:cs="Times New Roman"/>
        </w:rPr>
        <w:t>AI</w:t>
      </w:r>
      <w:r>
        <w:rPr>
          <w:rFonts w:hint="eastAsia"/>
        </w:rPr>
        <w:t>场景准入管理，形成分级分类场景管控体系，实现</w:t>
      </w:r>
      <w:r>
        <w:rPr>
          <w:rFonts w:cs="Times New Roman"/>
        </w:rPr>
        <w:t>Token</w:t>
      </w:r>
      <w:r>
        <w:rPr>
          <w:rFonts w:hint="eastAsia"/>
        </w:rPr>
        <w:t>资源投入的源头精准把控，为资源配额核定、调度优先级配置、全周期效能评估提供前置决策依据。</w:t>
      </w:r>
    </w:p>
    <w:p>
      <w:pPr>
        <w:ind w:firstLine="643"/>
      </w:pPr>
      <w:r>
        <w:rPr>
          <w:rFonts w:hint="eastAsia"/>
          <w:b/>
          <w:bCs/>
        </w:rPr>
        <w:t>业务场景分级与立项评估应坚持四大原则</w:t>
      </w:r>
      <w:r>
        <w:rPr>
          <w:rFonts w:hint="eastAsia"/>
        </w:rPr>
        <w:t>：一是价值导向配置，资源按场景价值等级、业务优先级差异化投放，不得无差别划拨通用</w:t>
      </w:r>
      <w:r>
        <w:rPr>
          <w:rFonts w:cs="Times New Roman"/>
        </w:rPr>
        <w:t>Token</w:t>
      </w:r>
      <w:r>
        <w:rPr>
          <w:rFonts w:hint="eastAsia"/>
        </w:rPr>
        <w:t>额度；二是分级分类管控，搭建“业务类别—风险等级—管控策略”对应体系，支持差异化准入规则与管控强度适配；三是多维度量化评估，围绕业务价值、技术需求、安全合规、成本效益四大维度开展联合评审，杜绝主观化、经验化准入判定；四是全周期动态迭代，建立场景复评、调整退出与变更管控机制，实现准入清单与资源配额的动态优化。</w:t>
      </w:r>
    </w:p>
    <w:p>
      <w:pPr>
        <w:ind w:firstLine="643"/>
      </w:pPr>
      <w:r>
        <w:rPr>
          <w:rFonts w:hint="eastAsia"/>
          <w:b/>
          <w:bCs/>
        </w:rPr>
        <w:t>具体来看，首先</w:t>
      </w:r>
      <w:r>
        <w:rPr>
          <w:rFonts w:hint="eastAsia"/>
        </w:rPr>
        <w:t>进行场景分类分级评定，完成场景归类、等级划定与管控策略匹配。在业务属性分类上，</w:t>
      </w:r>
      <w:r>
        <w:rPr>
          <w:rFonts w:hint="eastAsia" w:ascii="方正仿宋_GBK" w:hAnsi="方正仿宋_GBK" w:cs="方正仿宋_GBK"/>
          <w:szCs w:val="32"/>
        </w:rPr>
        <w:t>聚焦制造业核心业务，划分智能生产质检、工业工艺优化、设备运维诊断、安全管控等核心场景，以及通用咨询、数据统计等一般性场景</w:t>
      </w:r>
      <w:r>
        <w:rPr>
          <w:rFonts w:hint="eastAsia"/>
        </w:rPr>
        <w:t>。在等级评定上，围绕业务重要性、数据敏感等级、生产链路关联度、风险影响程度四项核心维度，将所有场景划分为核心一级、重要二级、普通三级三个等级，其中直连生产控制系统、全程无人干预、运行于生产控制网等高风险一级生产场景，存在核心工艺数据外泄风险，统一强制采用本地部署，不纳入公有云评估范围。等级划定后同步匹配对应管控框架，核心一级场景对应最高调度优先级、保障型配额、全量安全防护与全链路审计，重要二级、普通三级场景依次下调配置标准。</w:t>
      </w:r>
      <w:r>
        <w:rPr>
          <w:rFonts w:hint="eastAsia"/>
          <w:b/>
          <w:bCs/>
        </w:rPr>
        <w:t>其次</w:t>
      </w:r>
      <w:r>
        <w:rPr>
          <w:rFonts w:hint="eastAsia"/>
        </w:rPr>
        <w:t>进行多维度联合立项评估，围绕四大维度完成需求的标准化、量化定义。业务价值维度明确生产效率提升、人工成本节约等可量化效益指标，评估场景覆盖范围与长期存续性，作为后续</w:t>
      </w:r>
      <w:r>
        <w:rPr>
          <w:rFonts w:cs="Times New Roman"/>
        </w:rPr>
        <w:t>ROI</w:t>
      </w:r>
      <w:r>
        <w:rPr>
          <w:rFonts w:hint="eastAsia"/>
        </w:rPr>
        <w:t>核算的基准；技术需求维度界定任务范式、输入输出模态、业务效果与运行性能指标，形成场景数据需求指标，为后续模型选型、算力配置提供直接输入；安全合规维度判定数据敏感等级与合规标准，初步明确适配的部署模式范围，划定强制本地化部署底线；成本效益维度测算周期内</w:t>
      </w:r>
      <w:r>
        <w:rPr>
          <w:rFonts w:cs="Times New Roman"/>
        </w:rPr>
        <w:t>Token</w:t>
      </w:r>
      <w:r>
        <w:rPr>
          <w:rFonts w:hint="eastAsia"/>
        </w:rPr>
        <w:t>消耗总量与对应成本规模，估算一次性建设与长期运维投入，形成初步投入产出判断。</w:t>
      </w:r>
      <w:r>
        <w:rPr>
          <w:rFonts w:hint="eastAsia"/>
          <w:b/>
          <w:bCs/>
        </w:rPr>
        <w:t>最后</w:t>
      </w:r>
      <w:r>
        <w:rPr>
          <w:rFonts w:hint="eastAsia"/>
        </w:rPr>
        <w:t>建立周期复评机制，每年组织全场景复评一次，结合年度</w:t>
      </w:r>
      <w:r>
        <w:rPr>
          <w:rFonts w:cs="Times New Roman"/>
        </w:rPr>
        <w:t>Token</w:t>
      </w:r>
      <w:r>
        <w:rPr>
          <w:rFonts w:hint="eastAsia"/>
        </w:rPr>
        <w:t>投入产出比、业务实际成效、运行风险情况，重新核定场景等级与资源配置标准。对业务价值下降、</w:t>
      </w:r>
      <w:r>
        <w:rPr>
          <w:rFonts w:cs="Times New Roman"/>
        </w:rPr>
        <w:t>ROI</w:t>
      </w:r>
      <w:r>
        <w:rPr>
          <w:rFonts w:hint="eastAsia"/>
        </w:rPr>
        <w:t>持续偏低、无效消耗占比过高的场景予以降级或清退。</w:t>
      </w:r>
    </w:p>
    <w:p>
      <w:pPr>
        <w:ind w:firstLine="640"/>
      </w:pPr>
    </w:p>
    <w:p>
      <w:pPr>
        <w:ind w:firstLine="0" w:firstLineChars="0"/>
        <w:jc w:val="center"/>
      </w:pPr>
      <w:r>
        <w:rPr>
          <w:rFonts w:hint="default" w:ascii="Times New Roman" w:hAnsi="Times New Roman" w:eastAsia="方正黑体_GBK" w:cs="Times New Roman"/>
          <w:sz w:val="24"/>
          <w:szCs w:val="21"/>
        </w:rPr>
        <w:t>表</w:t>
      </w:r>
      <w:r>
        <w:rPr>
          <w:rFonts w:hint="default" w:ascii="Times New Roman" w:hAnsi="Times New Roman" w:eastAsia="方正黑体_GBK" w:cs="Times New Roman"/>
          <w:sz w:val="24"/>
          <w:szCs w:val="21"/>
        </w:rPr>
        <w:fldChar w:fldCharType="begin"/>
      </w:r>
      <w:r>
        <w:rPr>
          <w:rFonts w:hint="default" w:ascii="Times New Roman" w:hAnsi="Times New Roman" w:eastAsia="方正黑体_GBK" w:cs="Times New Roman"/>
          <w:sz w:val="24"/>
          <w:szCs w:val="21"/>
        </w:rPr>
        <w:instrText xml:space="preserve"> SEQ 表 \* ARABIC </w:instrText>
      </w:r>
      <w:r>
        <w:rPr>
          <w:rFonts w:hint="default" w:ascii="Times New Roman" w:hAnsi="Times New Roman" w:eastAsia="方正黑体_GBK" w:cs="Times New Roman"/>
          <w:sz w:val="24"/>
          <w:szCs w:val="21"/>
        </w:rPr>
        <w:fldChar w:fldCharType="separate"/>
      </w:r>
      <w:r>
        <w:rPr>
          <w:rFonts w:hint="default" w:ascii="Times New Roman" w:hAnsi="Times New Roman" w:eastAsia="方正黑体_GBK" w:cs="Times New Roman"/>
          <w:sz w:val="24"/>
          <w:szCs w:val="21"/>
        </w:rPr>
        <w:t>4</w:t>
      </w:r>
      <w:r>
        <w:rPr>
          <w:rFonts w:hint="default" w:ascii="Times New Roman" w:hAnsi="Times New Roman" w:eastAsia="方正黑体_GBK" w:cs="Times New Roman"/>
          <w:sz w:val="24"/>
          <w:szCs w:val="21"/>
        </w:rPr>
        <w:fldChar w:fldCharType="end"/>
      </w:r>
      <w:r>
        <w:rPr>
          <w:rFonts w:hint="default" w:ascii="Times New Roman" w:hAnsi="Times New Roman" w:eastAsia="方正黑体_GBK" w:cs="Times New Roman"/>
          <w:sz w:val="24"/>
          <w:szCs w:val="21"/>
        </w:rPr>
        <w:t>-1 场景评估维度与评分标准</w:t>
      </w:r>
    </w:p>
    <w:tbl>
      <w:tblPr>
        <w:tblStyle w:val="25"/>
        <w:tblW w:w="8877"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025"/>
        <w:gridCol w:w="1928"/>
        <w:gridCol w:w="1928"/>
        <w:gridCol w:w="1987"/>
        <w:gridCol w:w="2009"/>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25" w:hRule="atLeast"/>
          <w:jc w:val="center"/>
        </w:trPr>
        <w:tc>
          <w:tcPr>
            <w:tcW w:w="1025" w:type="dxa"/>
            <w:noWrap/>
            <w:vAlign w:val="center"/>
          </w:tcPr>
          <w:p>
            <w:pPr>
              <w:snapToGrid w:val="0"/>
              <w:spacing w:line="320" w:lineRule="exact"/>
              <w:ind w:firstLine="0" w:firstLineChars="0"/>
              <w:jc w:val="center"/>
              <w:rPr>
                <w:rFonts w:hint="eastAsia" w:ascii="方正黑体_GBK" w:hAnsi="方正黑体_GBK" w:eastAsia="方正黑体_GBK" w:cs="方正黑体_GBK"/>
                <w:b w:val="0"/>
                <w:bCs w:val="0"/>
                <w:sz w:val="24"/>
                <w:szCs w:val="21"/>
                <w:lang w:bidi="ar"/>
              </w:rPr>
            </w:pPr>
            <w:r>
              <w:rPr>
                <w:rFonts w:hint="eastAsia" w:ascii="方正黑体_GBK" w:hAnsi="方正黑体_GBK" w:eastAsia="方正黑体_GBK" w:cs="方正黑体_GBK"/>
                <w:b w:val="0"/>
                <w:bCs w:val="0"/>
                <w:sz w:val="24"/>
                <w:szCs w:val="21"/>
                <w:lang w:bidi="ar"/>
              </w:rPr>
              <w:t>评分</w:t>
            </w:r>
          </w:p>
          <w:p>
            <w:pPr>
              <w:spacing w:line="320" w:lineRule="exact"/>
              <w:ind w:firstLine="0" w:firstLineChars="0"/>
              <w:jc w:val="center"/>
              <w:rPr>
                <w:rFonts w:hint="eastAsia" w:ascii="方正黑体_GBK" w:hAnsi="方正黑体_GBK" w:eastAsia="方正黑体_GBK" w:cs="方正黑体_GBK"/>
                <w:b w:val="0"/>
                <w:bCs w:val="0"/>
                <w:sz w:val="24"/>
                <w:szCs w:val="21"/>
                <w:lang w:bidi="ar"/>
              </w:rPr>
            </w:pPr>
            <w:r>
              <w:rPr>
                <w:rFonts w:hint="eastAsia" w:ascii="方正黑体_GBK" w:hAnsi="方正黑体_GBK" w:eastAsia="方正黑体_GBK" w:cs="方正黑体_GBK"/>
                <w:b w:val="0"/>
                <w:bCs w:val="0"/>
                <w:sz w:val="24"/>
                <w:szCs w:val="21"/>
                <w:lang w:bidi="ar"/>
              </w:rPr>
              <w:t>权重</w:t>
            </w:r>
          </w:p>
        </w:tc>
        <w:tc>
          <w:tcPr>
            <w:tcW w:w="1928" w:type="dxa"/>
            <w:noWrap/>
            <w:vAlign w:val="center"/>
          </w:tcPr>
          <w:p>
            <w:pPr>
              <w:spacing w:line="320" w:lineRule="exact"/>
              <w:ind w:firstLine="0" w:firstLineChars="0"/>
              <w:jc w:val="center"/>
              <w:rPr>
                <w:rFonts w:hint="eastAsia" w:ascii="方正黑体_GBK" w:hAnsi="方正黑体_GBK" w:eastAsia="方正黑体_GBK" w:cs="方正黑体_GBK"/>
                <w:b w:val="0"/>
                <w:bCs w:val="0"/>
                <w:sz w:val="24"/>
                <w:szCs w:val="21"/>
                <w:lang w:bidi="ar"/>
              </w:rPr>
            </w:pPr>
            <w:r>
              <w:rPr>
                <w:rFonts w:hint="eastAsia" w:ascii="方正黑体_GBK" w:hAnsi="方正黑体_GBK" w:eastAsia="方正黑体_GBK" w:cs="方正黑体_GBK"/>
                <w:b w:val="0"/>
                <w:bCs w:val="0"/>
                <w:sz w:val="24"/>
                <w:szCs w:val="21"/>
                <w:lang w:bidi="ar"/>
              </w:rPr>
              <w:t>业务重要性</w:t>
            </w:r>
          </w:p>
          <w:p>
            <w:pPr>
              <w:spacing w:line="320" w:lineRule="exact"/>
              <w:ind w:firstLine="0" w:firstLineChars="0"/>
              <w:jc w:val="center"/>
              <w:rPr>
                <w:rFonts w:hint="eastAsia" w:ascii="方正黑体_GBK" w:hAnsi="方正黑体_GBK" w:eastAsia="方正黑体_GBK" w:cs="方正黑体_GBK"/>
                <w:b w:val="0"/>
                <w:bCs w:val="0"/>
                <w:sz w:val="24"/>
                <w:szCs w:val="21"/>
              </w:rPr>
            </w:pPr>
            <w:r>
              <w:rPr>
                <w:rFonts w:hint="eastAsia" w:ascii="方正黑体_GBK" w:hAnsi="方正黑体_GBK" w:eastAsia="方正黑体_GBK" w:cs="方正黑体_GBK"/>
                <w:b w:val="0"/>
                <w:bCs w:val="0"/>
                <w:sz w:val="24"/>
                <w:szCs w:val="21"/>
                <w:lang w:bidi="ar"/>
              </w:rPr>
              <w:t>（权重：30%）</w:t>
            </w:r>
          </w:p>
        </w:tc>
        <w:tc>
          <w:tcPr>
            <w:tcW w:w="1928" w:type="dxa"/>
            <w:noWrap/>
            <w:vAlign w:val="center"/>
          </w:tcPr>
          <w:p>
            <w:pPr>
              <w:spacing w:line="320" w:lineRule="exact"/>
              <w:ind w:firstLine="0" w:firstLineChars="0"/>
              <w:jc w:val="center"/>
              <w:rPr>
                <w:rFonts w:hint="eastAsia" w:ascii="方正黑体_GBK" w:hAnsi="方正黑体_GBK" w:eastAsia="方正黑体_GBK" w:cs="方正黑体_GBK"/>
                <w:b w:val="0"/>
                <w:bCs w:val="0"/>
                <w:sz w:val="24"/>
                <w:szCs w:val="21"/>
              </w:rPr>
            </w:pPr>
            <w:r>
              <w:rPr>
                <w:rFonts w:hint="eastAsia" w:ascii="方正黑体_GBK" w:hAnsi="方正黑体_GBK" w:eastAsia="方正黑体_GBK" w:cs="方正黑体_GBK"/>
                <w:b w:val="0"/>
                <w:bCs w:val="0"/>
                <w:sz w:val="24"/>
                <w:szCs w:val="21"/>
                <w:lang w:bidi="ar"/>
              </w:rPr>
              <w:t>数据敏感等级</w:t>
            </w:r>
            <w:r>
              <w:rPr>
                <w:rFonts w:hint="eastAsia" w:ascii="方正黑体_GBK" w:hAnsi="方正黑体_GBK" w:eastAsia="方正黑体_GBK" w:cs="方正黑体_GBK"/>
                <w:b w:val="0"/>
                <w:bCs w:val="0"/>
                <w:sz w:val="24"/>
                <w:szCs w:val="21"/>
                <w:lang w:bidi="ar"/>
              </w:rPr>
              <w:br w:type="textWrapping"/>
            </w:r>
            <w:r>
              <w:rPr>
                <w:rFonts w:hint="eastAsia" w:ascii="方正黑体_GBK" w:hAnsi="方正黑体_GBK" w:eastAsia="方正黑体_GBK" w:cs="方正黑体_GBK"/>
                <w:b w:val="0"/>
                <w:bCs w:val="0"/>
                <w:sz w:val="24"/>
                <w:szCs w:val="21"/>
                <w:lang w:bidi="ar"/>
              </w:rPr>
              <w:t>（权重：25%）</w:t>
            </w:r>
          </w:p>
        </w:tc>
        <w:tc>
          <w:tcPr>
            <w:tcW w:w="1987" w:type="dxa"/>
            <w:noWrap/>
            <w:vAlign w:val="center"/>
          </w:tcPr>
          <w:p>
            <w:pPr>
              <w:spacing w:line="320" w:lineRule="exact"/>
              <w:ind w:firstLine="0" w:firstLineChars="0"/>
              <w:jc w:val="center"/>
              <w:rPr>
                <w:rFonts w:hint="eastAsia" w:ascii="方正黑体_GBK" w:hAnsi="方正黑体_GBK" w:eastAsia="方正黑体_GBK" w:cs="方正黑体_GBK"/>
                <w:b w:val="0"/>
                <w:bCs w:val="0"/>
                <w:sz w:val="24"/>
                <w:szCs w:val="21"/>
              </w:rPr>
            </w:pPr>
            <w:r>
              <w:rPr>
                <w:rFonts w:hint="eastAsia" w:ascii="方正黑体_GBK" w:hAnsi="方正黑体_GBK" w:eastAsia="方正黑体_GBK" w:cs="方正黑体_GBK"/>
                <w:b w:val="0"/>
                <w:bCs w:val="0"/>
                <w:sz w:val="24"/>
                <w:szCs w:val="21"/>
                <w:lang w:bidi="ar"/>
              </w:rPr>
              <w:t>生产链路关联度</w:t>
            </w:r>
            <w:r>
              <w:rPr>
                <w:rFonts w:hint="eastAsia" w:ascii="方正黑体_GBK" w:hAnsi="方正黑体_GBK" w:eastAsia="方正黑体_GBK" w:cs="方正黑体_GBK"/>
                <w:b w:val="0"/>
                <w:bCs w:val="0"/>
                <w:sz w:val="24"/>
                <w:szCs w:val="21"/>
                <w:lang w:bidi="ar"/>
              </w:rPr>
              <w:br w:type="textWrapping"/>
            </w:r>
            <w:r>
              <w:rPr>
                <w:rFonts w:hint="eastAsia" w:ascii="方正黑体_GBK" w:hAnsi="方正黑体_GBK" w:eastAsia="方正黑体_GBK" w:cs="方正黑体_GBK"/>
                <w:b w:val="0"/>
                <w:bCs w:val="0"/>
                <w:sz w:val="24"/>
                <w:szCs w:val="21"/>
                <w:lang w:bidi="ar"/>
              </w:rPr>
              <w:t>（权重：25%）</w:t>
            </w:r>
          </w:p>
        </w:tc>
        <w:tc>
          <w:tcPr>
            <w:tcW w:w="2009" w:type="dxa"/>
            <w:noWrap/>
            <w:vAlign w:val="center"/>
          </w:tcPr>
          <w:p>
            <w:pPr>
              <w:spacing w:line="320" w:lineRule="exact"/>
              <w:ind w:firstLine="0" w:firstLineChars="0"/>
              <w:jc w:val="center"/>
              <w:rPr>
                <w:rFonts w:hint="eastAsia" w:ascii="方正黑体_GBK" w:hAnsi="方正黑体_GBK" w:eastAsia="方正黑体_GBK" w:cs="方正黑体_GBK"/>
                <w:b w:val="0"/>
                <w:bCs w:val="0"/>
                <w:sz w:val="24"/>
                <w:szCs w:val="21"/>
                <w:lang w:bidi="ar"/>
              </w:rPr>
            </w:pPr>
            <w:r>
              <w:rPr>
                <w:rFonts w:hint="eastAsia" w:ascii="方正黑体_GBK" w:hAnsi="方正黑体_GBK" w:eastAsia="方正黑体_GBK" w:cs="方正黑体_GBK"/>
                <w:b w:val="0"/>
                <w:bCs w:val="0"/>
                <w:sz w:val="24"/>
                <w:szCs w:val="21"/>
                <w:lang w:bidi="ar"/>
              </w:rPr>
              <w:t>风险影响程度</w:t>
            </w:r>
            <w:r>
              <w:rPr>
                <w:rFonts w:hint="eastAsia" w:ascii="方正黑体_GBK" w:hAnsi="方正黑体_GBK" w:eastAsia="方正黑体_GBK" w:cs="方正黑体_GBK"/>
                <w:b w:val="0"/>
                <w:bCs w:val="0"/>
                <w:sz w:val="24"/>
                <w:szCs w:val="21"/>
                <w:lang w:bidi="ar"/>
              </w:rPr>
              <w:br w:type="textWrapping"/>
            </w:r>
            <w:r>
              <w:rPr>
                <w:rFonts w:hint="eastAsia" w:ascii="方正黑体_GBK" w:hAnsi="方正黑体_GBK" w:eastAsia="方正黑体_GBK" w:cs="方正黑体_GBK"/>
                <w:b w:val="0"/>
                <w:bCs w:val="0"/>
                <w:sz w:val="24"/>
                <w:szCs w:val="21"/>
                <w:lang w:bidi="ar"/>
              </w:rPr>
              <w:t>（权重：20%）</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78" w:hRule="atLeast"/>
          <w:jc w:val="center"/>
        </w:trPr>
        <w:tc>
          <w:tcPr>
            <w:tcW w:w="1025" w:type="dxa"/>
            <w:noWrap/>
            <w:vAlign w:val="center"/>
          </w:tcPr>
          <w:p>
            <w:pPr>
              <w:spacing w:line="320" w:lineRule="exact"/>
              <w:ind w:firstLine="0" w:firstLineChars="0"/>
              <w:jc w:val="center"/>
              <w:rPr>
                <w:sz w:val="24"/>
                <w:szCs w:val="21"/>
                <w:lang w:bidi="ar"/>
              </w:rPr>
            </w:pPr>
            <w:r>
              <w:rPr>
                <w:rFonts w:hint="eastAsia"/>
                <w:sz w:val="24"/>
                <w:szCs w:val="21"/>
                <w:lang w:bidi="ar"/>
              </w:rPr>
              <w:t>5分</w:t>
            </w:r>
          </w:p>
        </w:tc>
        <w:tc>
          <w:tcPr>
            <w:tcW w:w="1928" w:type="dxa"/>
            <w:noWrap/>
            <w:vAlign w:val="center"/>
          </w:tcPr>
          <w:p>
            <w:pPr>
              <w:spacing w:line="320" w:lineRule="exact"/>
              <w:ind w:firstLine="0" w:firstLineChars="0"/>
              <w:jc w:val="center"/>
              <w:rPr>
                <w:sz w:val="24"/>
                <w:szCs w:val="21"/>
              </w:rPr>
            </w:pPr>
            <w:r>
              <w:rPr>
                <w:rFonts w:hint="eastAsia"/>
                <w:sz w:val="24"/>
                <w:szCs w:val="21"/>
                <w:lang w:bidi="ar"/>
              </w:rPr>
              <w:t>中断即停产，直接影响交付</w:t>
            </w:r>
          </w:p>
        </w:tc>
        <w:tc>
          <w:tcPr>
            <w:tcW w:w="1928" w:type="dxa"/>
            <w:noWrap/>
            <w:vAlign w:val="center"/>
          </w:tcPr>
          <w:p>
            <w:pPr>
              <w:spacing w:line="320" w:lineRule="exact"/>
              <w:ind w:firstLine="0" w:firstLineChars="0"/>
              <w:jc w:val="center"/>
              <w:rPr>
                <w:sz w:val="24"/>
                <w:szCs w:val="21"/>
              </w:rPr>
            </w:pPr>
            <w:r>
              <w:rPr>
                <w:rFonts w:hint="eastAsia"/>
                <w:sz w:val="24"/>
                <w:szCs w:val="21"/>
                <w:lang w:bidi="ar"/>
              </w:rPr>
              <w:t>涉及核心工艺配方、专利数据</w:t>
            </w:r>
          </w:p>
        </w:tc>
        <w:tc>
          <w:tcPr>
            <w:tcW w:w="1987" w:type="dxa"/>
            <w:noWrap/>
            <w:vAlign w:val="center"/>
          </w:tcPr>
          <w:p>
            <w:pPr>
              <w:spacing w:line="320" w:lineRule="exact"/>
              <w:ind w:firstLine="0" w:firstLineChars="0"/>
              <w:jc w:val="center"/>
              <w:rPr>
                <w:sz w:val="24"/>
                <w:szCs w:val="21"/>
              </w:rPr>
            </w:pPr>
            <w:r>
              <w:rPr>
                <w:rFonts w:hint="eastAsia"/>
                <w:sz w:val="24"/>
                <w:szCs w:val="21"/>
                <w:lang w:bidi="ar"/>
              </w:rPr>
              <w:t>直连生产控制系统，全程无人干预</w:t>
            </w:r>
          </w:p>
        </w:tc>
        <w:tc>
          <w:tcPr>
            <w:tcW w:w="2009" w:type="dxa"/>
            <w:noWrap/>
            <w:vAlign w:val="center"/>
          </w:tcPr>
          <w:p>
            <w:pPr>
              <w:spacing w:line="320" w:lineRule="exact"/>
              <w:ind w:firstLine="0" w:firstLineChars="0"/>
              <w:jc w:val="center"/>
              <w:rPr>
                <w:sz w:val="24"/>
                <w:szCs w:val="21"/>
                <w:lang w:bidi="ar"/>
              </w:rPr>
            </w:pPr>
            <w:r>
              <w:rPr>
                <w:rFonts w:hint="eastAsia"/>
                <w:sz w:val="24"/>
                <w:szCs w:val="21"/>
                <w:lang w:bidi="ar"/>
              </w:rPr>
              <w:t>可能导致安全事故或重大质量缺陷</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78" w:hRule="atLeast"/>
          <w:jc w:val="center"/>
        </w:trPr>
        <w:tc>
          <w:tcPr>
            <w:tcW w:w="1025" w:type="dxa"/>
            <w:noWrap/>
            <w:vAlign w:val="center"/>
          </w:tcPr>
          <w:p>
            <w:pPr>
              <w:spacing w:line="320" w:lineRule="exact"/>
              <w:ind w:firstLine="0" w:firstLineChars="0"/>
              <w:jc w:val="center"/>
              <w:rPr>
                <w:sz w:val="24"/>
                <w:szCs w:val="21"/>
                <w:lang w:bidi="ar"/>
              </w:rPr>
            </w:pPr>
            <w:r>
              <w:rPr>
                <w:rFonts w:hint="eastAsia"/>
                <w:sz w:val="24"/>
                <w:szCs w:val="21"/>
                <w:lang w:bidi="ar"/>
              </w:rPr>
              <w:t>4分</w:t>
            </w:r>
          </w:p>
        </w:tc>
        <w:tc>
          <w:tcPr>
            <w:tcW w:w="1928" w:type="dxa"/>
            <w:noWrap/>
            <w:vAlign w:val="center"/>
          </w:tcPr>
          <w:p>
            <w:pPr>
              <w:spacing w:line="320" w:lineRule="exact"/>
              <w:ind w:firstLine="0" w:firstLineChars="0"/>
              <w:jc w:val="center"/>
              <w:rPr>
                <w:sz w:val="24"/>
                <w:szCs w:val="21"/>
              </w:rPr>
            </w:pPr>
            <w:r>
              <w:rPr>
                <w:rFonts w:hint="eastAsia"/>
                <w:sz w:val="24"/>
                <w:szCs w:val="21"/>
                <w:lang w:bidi="ar"/>
              </w:rPr>
              <w:t>中断严重影响生产效率</w:t>
            </w:r>
          </w:p>
        </w:tc>
        <w:tc>
          <w:tcPr>
            <w:tcW w:w="1928" w:type="dxa"/>
            <w:noWrap/>
            <w:vAlign w:val="center"/>
          </w:tcPr>
          <w:p>
            <w:pPr>
              <w:spacing w:line="320" w:lineRule="exact"/>
              <w:ind w:firstLine="0" w:firstLineChars="0"/>
              <w:jc w:val="center"/>
              <w:rPr>
                <w:sz w:val="24"/>
                <w:szCs w:val="21"/>
              </w:rPr>
            </w:pPr>
            <w:r>
              <w:rPr>
                <w:rFonts w:hint="eastAsia"/>
                <w:sz w:val="24"/>
                <w:szCs w:val="21"/>
                <w:lang w:bidi="ar"/>
              </w:rPr>
              <w:t>涉及客户核心数据、财务数据</w:t>
            </w:r>
          </w:p>
        </w:tc>
        <w:tc>
          <w:tcPr>
            <w:tcW w:w="1987" w:type="dxa"/>
            <w:noWrap/>
            <w:vAlign w:val="center"/>
          </w:tcPr>
          <w:p>
            <w:pPr>
              <w:spacing w:line="320" w:lineRule="exact"/>
              <w:ind w:firstLine="0" w:firstLineChars="0"/>
              <w:jc w:val="center"/>
              <w:rPr>
                <w:sz w:val="24"/>
                <w:szCs w:val="21"/>
              </w:rPr>
            </w:pPr>
            <w:r>
              <w:rPr>
                <w:rFonts w:hint="eastAsia"/>
                <w:sz w:val="24"/>
                <w:szCs w:val="21"/>
                <w:lang w:bidi="ar"/>
              </w:rPr>
              <w:t>与MES/ERP深度集成，半自动执行</w:t>
            </w:r>
          </w:p>
        </w:tc>
        <w:tc>
          <w:tcPr>
            <w:tcW w:w="2009" w:type="dxa"/>
            <w:noWrap/>
            <w:vAlign w:val="center"/>
          </w:tcPr>
          <w:p>
            <w:pPr>
              <w:spacing w:line="320" w:lineRule="exact"/>
              <w:ind w:firstLine="0" w:firstLineChars="0"/>
              <w:jc w:val="center"/>
              <w:rPr>
                <w:sz w:val="24"/>
                <w:szCs w:val="21"/>
                <w:lang w:bidi="ar"/>
              </w:rPr>
            </w:pPr>
            <w:r>
              <w:rPr>
                <w:rFonts w:hint="eastAsia"/>
                <w:sz w:val="24"/>
                <w:szCs w:val="21"/>
                <w:lang w:bidi="ar"/>
              </w:rPr>
              <w:t>可能导致批量返工或客户投诉</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78" w:hRule="atLeast"/>
          <w:jc w:val="center"/>
        </w:trPr>
        <w:tc>
          <w:tcPr>
            <w:tcW w:w="1025" w:type="dxa"/>
            <w:noWrap/>
            <w:vAlign w:val="center"/>
          </w:tcPr>
          <w:p>
            <w:pPr>
              <w:spacing w:line="320" w:lineRule="exact"/>
              <w:ind w:firstLine="0" w:firstLineChars="0"/>
              <w:jc w:val="center"/>
              <w:rPr>
                <w:sz w:val="24"/>
                <w:szCs w:val="21"/>
                <w:lang w:bidi="ar"/>
              </w:rPr>
            </w:pPr>
            <w:r>
              <w:rPr>
                <w:rFonts w:hint="eastAsia"/>
                <w:sz w:val="24"/>
                <w:szCs w:val="21"/>
                <w:lang w:bidi="ar"/>
              </w:rPr>
              <w:t>3分</w:t>
            </w:r>
          </w:p>
        </w:tc>
        <w:tc>
          <w:tcPr>
            <w:tcW w:w="1928" w:type="dxa"/>
            <w:noWrap/>
            <w:vAlign w:val="center"/>
          </w:tcPr>
          <w:p>
            <w:pPr>
              <w:spacing w:line="320" w:lineRule="exact"/>
              <w:ind w:firstLine="0" w:firstLineChars="0"/>
              <w:jc w:val="center"/>
              <w:rPr>
                <w:sz w:val="24"/>
                <w:szCs w:val="21"/>
              </w:rPr>
            </w:pPr>
            <w:r>
              <w:rPr>
                <w:rFonts w:hint="eastAsia"/>
                <w:sz w:val="24"/>
                <w:szCs w:val="21"/>
                <w:lang w:bidi="ar"/>
              </w:rPr>
              <w:t>中断影响局部业务运转</w:t>
            </w:r>
          </w:p>
        </w:tc>
        <w:tc>
          <w:tcPr>
            <w:tcW w:w="1928" w:type="dxa"/>
            <w:noWrap/>
            <w:vAlign w:val="center"/>
          </w:tcPr>
          <w:p>
            <w:pPr>
              <w:spacing w:line="320" w:lineRule="exact"/>
              <w:ind w:firstLine="0" w:firstLineChars="0"/>
              <w:jc w:val="center"/>
              <w:rPr>
                <w:sz w:val="24"/>
                <w:szCs w:val="21"/>
              </w:rPr>
            </w:pPr>
            <w:r>
              <w:rPr>
                <w:rFonts w:hint="eastAsia"/>
                <w:sz w:val="24"/>
                <w:szCs w:val="21"/>
                <w:lang w:bidi="ar"/>
              </w:rPr>
              <w:t>涉及内部经营数据、员工信息</w:t>
            </w:r>
          </w:p>
        </w:tc>
        <w:tc>
          <w:tcPr>
            <w:tcW w:w="1987" w:type="dxa"/>
            <w:noWrap/>
            <w:vAlign w:val="center"/>
          </w:tcPr>
          <w:p>
            <w:pPr>
              <w:spacing w:line="320" w:lineRule="exact"/>
              <w:ind w:firstLine="0" w:firstLineChars="0"/>
              <w:jc w:val="center"/>
              <w:rPr>
                <w:sz w:val="24"/>
                <w:szCs w:val="21"/>
              </w:rPr>
            </w:pPr>
            <w:r>
              <w:rPr>
                <w:rFonts w:hint="eastAsia"/>
                <w:sz w:val="24"/>
                <w:szCs w:val="21"/>
                <w:lang w:bidi="ar"/>
              </w:rPr>
              <w:t>与业务系统对接，人工确认后执行</w:t>
            </w:r>
          </w:p>
        </w:tc>
        <w:tc>
          <w:tcPr>
            <w:tcW w:w="2009" w:type="dxa"/>
            <w:noWrap/>
            <w:vAlign w:val="center"/>
          </w:tcPr>
          <w:p>
            <w:pPr>
              <w:spacing w:line="320" w:lineRule="exact"/>
              <w:ind w:firstLine="0" w:firstLineChars="0"/>
              <w:jc w:val="center"/>
              <w:rPr>
                <w:sz w:val="24"/>
                <w:szCs w:val="21"/>
                <w:lang w:bidi="ar"/>
              </w:rPr>
            </w:pPr>
            <w:r>
              <w:rPr>
                <w:rFonts w:hint="eastAsia"/>
                <w:sz w:val="24"/>
                <w:szCs w:val="21"/>
                <w:lang w:bidi="ar"/>
              </w:rPr>
              <w:t>可能导致效率下降或资源浪费</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36" w:hRule="atLeast"/>
          <w:jc w:val="center"/>
        </w:trPr>
        <w:tc>
          <w:tcPr>
            <w:tcW w:w="1025" w:type="dxa"/>
            <w:noWrap/>
            <w:vAlign w:val="center"/>
          </w:tcPr>
          <w:p>
            <w:pPr>
              <w:spacing w:line="320" w:lineRule="exact"/>
              <w:ind w:firstLine="0" w:firstLineChars="0"/>
              <w:jc w:val="center"/>
              <w:rPr>
                <w:sz w:val="24"/>
                <w:szCs w:val="21"/>
                <w:lang w:bidi="ar"/>
              </w:rPr>
            </w:pPr>
            <w:r>
              <w:rPr>
                <w:rFonts w:hint="eastAsia"/>
                <w:sz w:val="24"/>
                <w:szCs w:val="21"/>
                <w:lang w:bidi="ar"/>
              </w:rPr>
              <w:t>2分</w:t>
            </w:r>
          </w:p>
        </w:tc>
        <w:tc>
          <w:tcPr>
            <w:tcW w:w="1928" w:type="dxa"/>
            <w:noWrap/>
            <w:vAlign w:val="center"/>
          </w:tcPr>
          <w:p>
            <w:pPr>
              <w:spacing w:line="320" w:lineRule="exact"/>
              <w:ind w:firstLine="0" w:firstLineChars="0"/>
              <w:jc w:val="center"/>
              <w:rPr>
                <w:sz w:val="24"/>
                <w:szCs w:val="21"/>
              </w:rPr>
            </w:pPr>
            <w:r>
              <w:rPr>
                <w:rFonts w:hint="eastAsia"/>
                <w:sz w:val="24"/>
                <w:szCs w:val="21"/>
                <w:lang w:bidi="ar"/>
              </w:rPr>
              <w:t>中断影响可控，有替代方案</w:t>
            </w:r>
          </w:p>
        </w:tc>
        <w:tc>
          <w:tcPr>
            <w:tcW w:w="1928" w:type="dxa"/>
            <w:noWrap/>
            <w:vAlign w:val="center"/>
          </w:tcPr>
          <w:p>
            <w:pPr>
              <w:spacing w:line="320" w:lineRule="exact"/>
              <w:ind w:firstLine="0" w:firstLineChars="0"/>
              <w:jc w:val="center"/>
              <w:rPr>
                <w:sz w:val="24"/>
                <w:szCs w:val="21"/>
              </w:rPr>
            </w:pPr>
            <w:r>
              <w:rPr>
                <w:rFonts w:hint="eastAsia"/>
                <w:sz w:val="24"/>
                <w:szCs w:val="21"/>
                <w:lang w:bidi="ar"/>
              </w:rPr>
              <w:t>涉及一般内部数据</w:t>
            </w:r>
          </w:p>
        </w:tc>
        <w:tc>
          <w:tcPr>
            <w:tcW w:w="1987" w:type="dxa"/>
            <w:noWrap/>
            <w:vAlign w:val="center"/>
          </w:tcPr>
          <w:p>
            <w:pPr>
              <w:spacing w:line="320" w:lineRule="exact"/>
              <w:ind w:firstLine="0" w:firstLineChars="0"/>
              <w:jc w:val="center"/>
              <w:rPr>
                <w:sz w:val="24"/>
                <w:szCs w:val="21"/>
              </w:rPr>
            </w:pPr>
            <w:r>
              <w:rPr>
                <w:rFonts w:hint="eastAsia"/>
                <w:sz w:val="24"/>
                <w:szCs w:val="21"/>
                <w:lang w:bidi="ar"/>
              </w:rPr>
              <w:t>独立运行，不直接对接生产系统</w:t>
            </w:r>
          </w:p>
        </w:tc>
        <w:tc>
          <w:tcPr>
            <w:tcW w:w="2009" w:type="dxa"/>
            <w:noWrap/>
            <w:vAlign w:val="center"/>
          </w:tcPr>
          <w:p>
            <w:pPr>
              <w:spacing w:line="320" w:lineRule="exact"/>
              <w:ind w:firstLine="0" w:firstLineChars="0"/>
              <w:jc w:val="center"/>
              <w:rPr>
                <w:sz w:val="24"/>
                <w:szCs w:val="21"/>
                <w:lang w:bidi="ar"/>
              </w:rPr>
            </w:pPr>
            <w:r>
              <w:rPr>
                <w:rFonts w:hint="eastAsia"/>
                <w:sz w:val="24"/>
                <w:szCs w:val="21"/>
                <w:lang w:bidi="ar"/>
              </w:rPr>
              <w:t>影响有限，可通过人工修正</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46" w:hRule="atLeast"/>
          <w:jc w:val="center"/>
        </w:trPr>
        <w:tc>
          <w:tcPr>
            <w:tcW w:w="1025" w:type="dxa"/>
            <w:noWrap/>
            <w:vAlign w:val="center"/>
          </w:tcPr>
          <w:p>
            <w:pPr>
              <w:spacing w:line="320" w:lineRule="exact"/>
              <w:ind w:firstLine="0" w:firstLineChars="0"/>
              <w:jc w:val="center"/>
              <w:rPr>
                <w:sz w:val="24"/>
                <w:szCs w:val="21"/>
                <w:lang w:bidi="ar"/>
              </w:rPr>
            </w:pPr>
            <w:r>
              <w:rPr>
                <w:rFonts w:hint="eastAsia"/>
                <w:sz w:val="24"/>
                <w:szCs w:val="21"/>
                <w:lang w:bidi="ar"/>
              </w:rPr>
              <w:t>1分</w:t>
            </w:r>
          </w:p>
        </w:tc>
        <w:tc>
          <w:tcPr>
            <w:tcW w:w="1928" w:type="dxa"/>
            <w:noWrap/>
            <w:vAlign w:val="center"/>
          </w:tcPr>
          <w:p>
            <w:pPr>
              <w:spacing w:line="320" w:lineRule="exact"/>
              <w:ind w:firstLine="0" w:firstLineChars="0"/>
              <w:jc w:val="center"/>
              <w:rPr>
                <w:sz w:val="24"/>
                <w:szCs w:val="21"/>
              </w:rPr>
            </w:pPr>
            <w:r>
              <w:rPr>
                <w:rFonts w:hint="eastAsia"/>
                <w:sz w:val="24"/>
                <w:szCs w:val="21"/>
                <w:lang w:bidi="ar"/>
              </w:rPr>
              <w:t>辅助性场景，中断无实质影响</w:t>
            </w:r>
          </w:p>
        </w:tc>
        <w:tc>
          <w:tcPr>
            <w:tcW w:w="1928" w:type="dxa"/>
            <w:noWrap/>
            <w:vAlign w:val="center"/>
          </w:tcPr>
          <w:p>
            <w:pPr>
              <w:spacing w:line="320" w:lineRule="exact"/>
              <w:ind w:firstLine="0" w:firstLineChars="0"/>
              <w:jc w:val="center"/>
              <w:rPr>
                <w:sz w:val="24"/>
                <w:szCs w:val="21"/>
              </w:rPr>
            </w:pPr>
            <w:r>
              <w:rPr>
                <w:rFonts w:hint="eastAsia"/>
                <w:sz w:val="24"/>
                <w:szCs w:val="21"/>
                <w:lang w:bidi="ar"/>
              </w:rPr>
              <w:t>仅涉及公开或脱敏数据</w:t>
            </w:r>
          </w:p>
        </w:tc>
        <w:tc>
          <w:tcPr>
            <w:tcW w:w="1987" w:type="dxa"/>
            <w:noWrap/>
            <w:vAlign w:val="center"/>
          </w:tcPr>
          <w:p>
            <w:pPr>
              <w:spacing w:line="320" w:lineRule="exact"/>
              <w:ind w:firstLine="0" w:firstLineChars="0"/>
              <w:jc w:val="center"/>
              <w:rPr>
                <w:sz w:val="24"/>
                <w:szCs w:val="21"/>
              </w:rPr>
            </w:pPr>
            <w:r>
              <w:rPr>
                <w:rFonts w:hint="eastAsia"/>
                <w:sz w:val="24"/>
                <w:szCs w:val="21"/>
                <w:lang w:bidi="ar"/>
              </w:rPr>
              <w:t>完全独立，无系统对接</w:t>
            </w:r>
          </w:p>
        </w:tc>
        <w:tc>
          <w:tcPr>
            <w:tcW w:w="2009" w:type="dxa"/>
            <w:noWrap/>
            <w:vAlign w:val="center"/>
          </w:tcPr>
          <w:p>
            <w:pPr>
              <w:spacing w:line="320" w:lineRule="exact"/>
              <w:ind w:firstLine="0" w:firstLineChars="0"/>
              <w:jc w:val="center"/>
              <w:rPr>
                <w:sz w:val="24"/>
                <w:szCs w:val="21"/>
                <w:lang w:bidi="ar"/>
              </w:rPr>
            </w:pPr>
            <w:r>
              <w:rPr>
                <w:rFonts w:hint="eastAsia"/>
                <w:sz w:val="24"/>
                <w:szCs w:val="21"/>
                <w:lang w:bidi="ar"/>
              </w:rPr>
              <w:t>几乎无风险</w:t>
            </w:r>
          </w:p>
        </w:tc>
      </w:tr>
    </w:tbl>
    <w:p>
      <w:pPr>
        <w:ind w:firstLine="0" w:firstLineChars="0"/>
        <w:jc w:val="center"/>
        <w:rPr>
          <w:rFonts w:hint="default" w:ascii="Times New Roman" w:hAnsi="Times New Roman" w:eastAsia="方正黑体_GBK" w:cs="Times New Roman"/>
          <w:sz w:val="24"/>
          <w:szCs w:val="21"/>
        </w:rPr>
      </w:pPr>
      <w:r>
        <w:rPr>
          <w:rFonts w:hint="default" w:ascii="Times New Roman" w:hAnsi="Times New Roman" w:eastAsia="方正黑体_GBK" w:cs="Times New Roman"/>
          <w:sz w:val="24"/>
          <w:szCs w:val="21"/>
        </w:rPr>
        <w:t>表4-2 场景归类与等级判定</w:t>
      </w:r>
    </w:p>
    <w:tbl>
      <w:tblPr>
        <w:tblStyle w:val="25"/>
        <w:tblW w:w="8728"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420"/>
        <w:gridCol w:w="1353"/>
        <w:gridCol w:w="2348"/>
        <w:gridCol w:w="1874"/>
        <w:gridCol w:w="1733"/>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00" w:hRule="atLeast"/>
          <w:jc w:val="center"/>
        </w:trPr>
        <w:tc>
          <w:tcPr>
            <w:tcW w:w="1420" w:type="dxa"/>
            <w:noWrap/>
            <w:vAlign w:val="center"/>
          </w:tcPr>
          <w:p>
            <w:pPr>
              <w:spacing w:line="320" w:lineRule="exact"/>
              <w:ind w:firstLine="0" w:firstLineChars="0"/>
              <w:jc w:val="center"/>
              <w:rPr>
                <w:rFonts w:hint="eastAsia" w:ascii="方正黑体_GBK" w:hAnsi="方正黑体_GBK" w:eastAsia="方正黑体_GBK" w:cs="方正黑体_GBK"/>
                <w:b w:val="0"/>
                <w:bCs w:val="0"/>
                <w:sz w:val="24"/>
                <w:szCs w:val="21"/>
                <w:lang w:bidi="ar"/>
              </w:rPr>
            </w:pPr>
            <w:r>
              <w:rPr>
                <w:rFonts w:hint="eastAsia" w:ascii="方正黑体_GBK" w:hAnsi="方正黑体_GBK" w:eastAsia="方正黑体_GBK" w:cs="方正黑体_GBK"/>
                <w:b w:val="0"/>
                <w:bCs w:val="0"/>
                <w:sz w:val="24"/>
                <w:szCs w:val="21"/>
                <w:lang w:bidi="ar"/>
              </w:rPr>
              <w:t>等级</w:t>
            </w:r>
          </w:p>
        </w:tc>
        <w:tc>
          <w:tcPr>
            <w:tcW w:w="1353" w:type="dxa"/>
            <w:noWrap/>
            <w:vAlign w:val="center"/>
          </w:tcPr>
          <w:p>
            <w:pPr>
              <w:spacing w:line="320" w:lineRule="exact"/>
              <w:ind w:firstLine="0" w:firstLineChars="0"/>
              <w:jc w:val="center"/>
              <w:rPr>
                <w:rFonts w:hint="eastAsia" w:ascii="方正黑体_GBK" w:hAnsi="方正黑体_GBK" w:eastAsia="方正黑体_GBK" w:cs="方正黑体_GBK"/>
                <w:b w:val="0"/>
                <w:bCs w:val="0"/>
                <w:sz w:val="24"/>
                <w:szCs w:val="21"/>
                <w:lang w:bidi="ar"/>
              </w:rPr>
            </w:pPr>
            <w:r>
              <w:rPr>
                <w:rFonts w:hint="eastAsia" w:ascii="方正黑体_GBK" w:hAnsi="方正黑体_GBK" w:eastAsia="方正黑体_GBK" w:cs="方正黑体_GBK"/>
                <w:b w:val="0"/>
                <w:bCs w:val="0"/>
                <w:sz w:val="24"/>
                <w:szCs w:val="21"/>
                <w:lang w:bidi="ar"/>
              </w:rPr>
              <w:t>加权总分区间</w:t>
            </w:r>
          </w:p>
        </w:tc>
        <w:tc>
          <w:tcPr>
            <w:tcW w:w="2348" w:type="dxa"/>
            <w:noWrap/>
            <w:vAlign w:val="center"/>
          </w:tcPr>
          <w:p>
            <w:pPr>
              <w:spacing w:line="320" w:lineRule="exact"/>
              <w:ind w:firstLine="0" w:firstLineChars="0"/>
              <w:jc w:val="center"/>
              <w:rPr>
                <w:rFonts w:hint="eastAsia" w:ascii="方正黑体_GBK" w:hAnsi="方正黑体_GBK" w:eastAsia="方正黑体_GBK" w:cs="方正黑体_GBK"/>
                <w:b w:val="0"/>
                <w:bCs w:val="0"/>
                <w:sz w:val="24"/>
                <w:szCs w:val="21"/>
                <w:lang w:bidi="ar"/>
              </w:rPr>
            </w:pPr>
            <w:r>
              <w:rPr>
                <w:rFonts w:hint="eastAsia" w:ascii="方正黑体_GBK" w:hAnsi="方正黑体_GBK" w:eastAsia="方正黑体_GBK" w:cs="方正黑体_GBK"/>
                <w:b w:val="0"/>
                <w:bCs w:val="0"/>
                <w:sz w:val="24"/>
                <w:szCs w:val="21"/>
                <w:lang w:bidi="ar"/>
              </w:rPr>
              <w:t>典型场景</w:t>
            </w:r>
          </w:p>
        </w:tc>
        <w:tc>
          <w:tcPr>
            <w:tcW w:w="1874" w:type="dxa"/>
            <w:noWrap/>
            <w:vAlign w:val="center"/>
          </w:tcPr>
          <w:p>
            <w:pPr>
              <w:spacing w:line="320" w:lineRule="exact"/>
              <w:ind w:firstLine="0" w:firstLineChars="0"/>
              <w:jc w:val="center"/>
              <w:rPr>
                <w:rFonts w:hint="eastAsia" w:ascii="方正黑体_GBK" w:hAnsi="方正黑体_GBK" w:eastAsia="方正黑体_GBK" w:cs="方正黑体_GBK"/>
                <w:b w:val="0"/>
                <w:bCs w:val="0"/>
                <w:sz w:val="24"/>
                <w:szCs w:val="21"/>
                <w:lang w:bidi="ar"/>
              </w:rPr>
            </w:pPr>
            <w:r>
              <w:rPr>
                <w:rFonts w:hint="eastAsia" w:ascii="方正黑体_GBK" w:hAnsi="方正黑体_GBK" w:eastAsia="方正黑体_GBK" w:cs="方正黑体_GBK"/>
                <w:b w:val="0"/>
                <w:bCs w:val="0"/>
                <w:sz w:val="24"/>
                <w:szCs w:val="21"/>
                <w:lang w:bidi="ar"/>
              </w:rPr>
              <w:t>部署方式</w:t>
            </w:r>
          </w:p>
        </w:tc>
        <w:tc>
          <w:tcPr>
            <w:tcW w:w="1733" w:type="dxa"/>
            <w:noWrap/>
            <w:vAlign w:val="center"/>
          </w:tcPr>
          <w:p>
            <w:pPr>
              <w:spacing w:line="320" w:lineRule="exact"/>
              <w:ind w:firstLine="0" w:firstLineChars="0"/>
              <w:jc w:val="center"/>
              <w:rPr>
                <w:rFonts w:hint="eastAsia" w:ascii="方正黑体_GBK" w:hAnsi="方正黑体_GBK" w:eastAsia="方正黑体_GBK" w:cs="方正黑体_GBK"/>
                <w:b w:val="0"/>
                <w:bCs w:val="0"/>
                <w:sz w:val="24"/>
                <w:szCs w:val="21"/>
                <w:lang w:bidi="ar"/>
              </w:rPr>
            </w:pPr>
            <w:r>
              <w:rPr>
                <w:rFonts w:hint="eastAsia" w:ascii="方正黑体_GBK" w:hAnsi="方正黑体_GBK" w:eastAsia="方正黑体_GBK" w:cs="方正黑体_GBK"/>
                <w:b w:val="0"/>
                <w:bCs w:val="0"/>
                <w:sz w:val="24"/>
                <w:szCs w:val="21"/>
                <w:lang w:bidi="ar"/>
              </w:rPr>
              <w:t>管控策略</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20" w:hRule="atLeast"/>
          <w:jc w:val="center"/>
        </w:trPr>
        <w:tc>
          <w:tcPr>
            <w:tcW w:w="1420" w:type="dxa"/>
            <w:noWrap/>
            <w:vAlign w:val="center"/>
          </w:tcPr>
          <w:p>
            <w:pPr>
              <w:spacing w:line="320" w:lineRule="exact"/>
              <w:ind w:firstLine="0" w:firstLineChars="0"/>
              <w:jc w:val="center"/>
              <w:rPr>
                <w:sz w:val="24"/>
                <w:szCs w:val="21"/>
                <w:lang w:bidi="ar"/>
              </w:rPr>
            </w:pPr>
            <w:r>
              <w:rPr>
                <w:rFonts w:hint="eastAsia"/>
                <w:sz w:val="24"/>
                <w:szCs w:val="21"/>
                <w:lang w:bidi="ar"/>
              </w:rPr>
              <w:t>核心一级</w:t>
            </w:r>
          </w:p>
        </w:tc>
        <w:tc>
          <w:tcPr>
            <w:tcW w:w="1353" w:type="dxa"/>
            <w:noWrap/>
            <w:vAlign w:val="center"/>
          </w:tcPr>
          <w:p>
            <w:pPr>
              <w:spacing w:line="320" w:lineRule="exact"/>
              <w:ind w:firstLine="0" w:firstLineChars="0"/>
              <w:jc w:val="center"/>
              <w:rPr>
                <w:sz w:val="24"/>
                <w:szCs w:val="21"/>
                <w:lang w:bidi="ar"/>
              </w:rPr>
            </w:pPr>
            <w:r>
              <w:rPr>
                <w:rFonts w:hint="eastAsia"/>
                <w:sz w:val="24"/>
                <w:szCs w:val="21"/>
                <w:lang w:bidi="ar"/>
              </w:rPr>
              <w:t>≥4.0</w:t>
            </w:r>
          </w:p>
        </w:tc>
        <w:tc>
          <w:tcPr>
            <w:tcW w:w="2348" w:type="dxa"/>
            <w:noWrap/>
            <w:vAlign w:val="center"/>
          </w:tcPr>
          <w:p>
            <w:pPr>
              <w:spacing w:line="320" w:lineRule="exact"/>
              <w:ind w:firstLine="0" w:firstLineChars="0"/>
              <w:jc w:val="center"/>
              <w:rPr>
                <w:sz w:val="24"/>
                <w:szCs w:val="21"/>
                <w:lang w:bidi="ar"/>
              </w:rPr>
            </w:pPr>
            <w:r>
              <w:rPr>
                <w:rFonts w:hint="eastAsia"/>
                <w:sz w:val="24"/>
                <w:szCs w:val="21"/>
                <w:lang w:bidi="ar"/>
              </w:rPr>
              <w:t>智能生产质检、设备运维诊断、安全管控</w:t>
            </w:r>
          </w:p>
        </w:tc>
        <w:tc>
          <w:tcPr>
            <w:tcW w:w="1874" w:type="dxa"/>
            <w:noWrap/>
            <w:vAlign w:val="center"/>
          </w:tcPr>
          <w:p>
            <w:pPr>
              <w:spacing w:line="320" w:lineRule="exact"/>
              <w:ind w:firstLine="0" w:firstLineChars="0"/>
              <w:jc w:val="center"/>
              <w:rPr>
                <w:sz w:val="24"/>
                <w:szCs w:val="21"/>
                <w:lang w:bidi="ar"/>
              </w:rPr>
            </w:pPr>
            <w:r>
              <w:rPr>
                <w:rFonts w:hint="eastAsia"/>
                <w:sz w:val="24"/>
                <w:szCs w:val="21"/>
                <w:lang w:bidi="ar"/>
              </w:rPr>
              <w:t>强制本地部署</w:t>
            </w:r>
          </w:p>
        </w:tc>
        <w:tc>
          <w:tcPr>
            <w:tcW w:w="1733" w:type="dxa"/>
            <w:noWrap/>
            <w:vAlign w:val="center"/>
          </w:tcPr>
          <w:p>
            <w:pPr>
              <w:spacing w:line="320" w:lineRule="exact"/>
              <w:ind w:firstLine="0" w:firstLineChars="0"/>
              <w:jc w:val="center"/>
              <w:rPr>
                <w:sz w:val="24"/>
                <w:szCs w:val="21"/>
                <w:lang w:bidi="ar"/>
              </w:rPr>
            </w:pPr>
            <w:r>
              <w:rPr>
                <w:rFonts w:hint="eastAsia"/>
                <w:sz w:val="24"/>
                <w:szCs w:val="21"/>
                <w:lang w:bidi="ar"/>
              </w:rPr>
              <w:t>最高调度优先级、保障型配额、全量安全防护、全链路审计</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20" w:hRule="atLeast"/>
          <w:jc w:val="center"/>
        </w:trPr>
        <w:tc>
          <w:tcPr>
            <w:tcW w:w="1420" w:type="dxa"/>
            <w:noWrap/>
            <w:vAlign w:val="center"/>
          </w:tcPr>
          <w:p>
            <w:pPr>
              <w:spacing w:line="320" w:lineRule="exact"/>
              <w:ind w:firstLine="0" w:firstLineChars="0"/>
              <w:jc w:val="center"/>
              <w:rPr>
                <w:sz w:val="24"/>
                <w:szCs w:val="21"/>
                <w:lang w:bidi="ar"/>
              </w:rPr>
            </w:pPr>
            <w:r>
              <w:rPr>
                <w:rFonts w:hint="eastAsia"/>
                <w:sz w:val="24"/>
                <w:szCs w:val="21"/>
                <w:lang w:bidi="ar"/>
              </w:rPr>
              <w:t>重要二级</w:t>
            </w:r>
          </w:p>
        </w:tc>
        <w:tc>
          <w:tcPr>
            <w:tcW w:w="1353" w:type="dxa"/>
            <w:noWrap/>
            <w:vAlign w:val="center"/>
          </w:tcPr>
          <w:p>
            <w:pPr>
              <w:spacing w:line="320" w:lineRule="exact"/>
              <w:ind w:firstLine="0" w:firstLineChars="0"/>
              <w:jc w:val="center"/>
              <w:rPr>
                <w:sz w:val="24"/>
                <w:szCs w:val="21"/>
                <w:lang w:bidi="ar"/>
              </w:rPr>
            </w:pPr>
            <w:r>
              <w:rPr>
                <w:rFonts w:hint="eastAsia"/>
                <w:sz w:val="24"/>
                <w:szCs w:val="21"/>
                <w:lang w:bidi="ar"/>
              </w:rPr>
              <w:t>3.0~3.9</w:t>
            </w:r>
          </w:p>
        </w:tc>
        <w:tc>
          <w:tcPr>
            <w:tcW w:w="2348" w:type="dxa"/>
            <w:noWrap/>
            <w:vAlign w:val="center"/>
          </w:tcPr>
          <w:p>
            <w:pPr>
              <w:spacing w:line="320" w:lineRule="exact"/>
              <w:ind w:firstLine="0" w:firstLineChars="0"/>
              <w:jc w:val="center"/>
              <w:rPr>
                <w:sz w:val="24"/>
                <w:szCs w:val="21"/>
                <w:lang w:bidi="ar"/>
              </w:rPr>
            </w:pPr>
            <w:r>
              <w:rPr>
                <w:rFonts w:hint="eastAsia"/>
                <w:sz w:val="24"/>
                <w:szCs w:val="21"/>
                <w:lang w:bidi="ar"/>
              </w:rPr>
              <w:t>供应链调度、研发设计辅助</w:t>
            </w:r>
          </w:p>
        </w:tc>
        <w:tc>
          <w:tcPr>
            <w:tcW w:w="1874" w:type="dxa"/>
            <w:noWrap/>
            <w:vAlign w:val="center"/>
          </w:tcPr>
          <w:p>
            <w:pPr>
              <w:spacing w:line="320" w:lineRule="exact"/>
              <w:ind w:firstLine="0" w:firstLineChars="0"/>
              <w:jc w:val="center"/>
              <w:rPr>
                <w:sz w:val="24"/>
                <w:szCs w:val="21"/>
                <w:lang w:bidi="ar"/>
              </w:rPr>
            </w:pPr>
            <w:r>
              <w:rPr>
                <w:rFonts w:hint="eastAsia"/>
                <w:sz w:val="24"/>
                <w:szCs w:val="21"/>
                <w:lang w:bidi="ar"/>
              </w:rPr>
              <w:t>优先本地部署，经安全评估后可采用私有云</w:t>
            </w:r>
          </w:p>
        </w:tc>
        <w:tc>
          <w:tcPr>
            <w:tcW w:w="1733" w:type="dxa"/>
            <w:noWrap/>
            <w:vAlign w:val="center"/>
          </w:tcPr>
          <w:p>
            <w:pPr>
              <w:spacing w:line="320" w:lineRule="exact"/>
              <w:ind w:firstLine="0" w:firstLineChars="0"/>
              <w:jc w:val="center"/>
              <w:rPr>
                <w:sz w:val="24"/>
                <w:szCs w:val="21"/>
                <w:lang w:bidi="ar"/>
              </w:rPr>
            </w:pPr>
            <w:r>
              <w:rPr>
                <w:rFonts w:hint="eastAsia"/>
                <w:sz w:val="24"/>
                <w:szCs w:val="21"/>
                <w:lang w:bidi="ar"/>
              </w:rPr>
              <w:t>高调度优先级、预留型配额、重点安全防护、关键操作审计</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20" w:hRule="atLeast"/>
          <w:jc w:val="center"/>
        </w:trPr>
        <w:tc>
          <w:tcPr>
            <w:tcW w:w="1420" w:type="dxa"/>
            <w:noWrap/>
            <w:vAlign w:val="center"/>
          </w:tcPr>
          <w:p>
            <w:pPr>
              <w:spacing w:line="320" w:lineRule="exact"/>
              <w:ind w:firstLine="0" w:firstLineChars="0"/>
              <w:jc w:val="center"/>
              <w:rPr>
                <w:sz w:val="24"/>
                <w:szCs w:val="21"/>
                <w:lang w:bidi="ar"/>
              </w:rPr>
            </w:pPr>
            <w:r>
              <w:rPr>
                <w:rFonts w:hint="eastAsia"/>
                <w:sz w:val="24"/>
                <w:szCs w:val="21"/>
                <w:lang w:bidi="ar"/>
              </w:rPr>
              <w:t>普通三级</w:t>
            </w:r>
          </w:p>
        </w:tc>
        <w:tc>
          <w:tcPr>
            <w:tcW w:w="1353" w:type="dxa"/>
            <w:noWrap/>
            <w:vAlign w:val="center"/>
          </w:tcPr>
          <w:p>
            <w:pPr>
              <w:spacing w:line="320" w:lineRule="exact"/>
              <w:ind w:firstLine="0" w:firstLineChars="0"/>
              <w:jc w:val="center"/>
              <w:rPr>
                <w:sz w:val="24"/>
                <w:szCs w:val="21"/>
                <w:lang w:bidi="ar"/>
              </w:rPr>
            </w:pPr>
            <w:r>
              <w:rPr>
                <w:rFonts w:hint="eastAsia"/>
                <w:sz w:val="24"/>
                <w:szCs w:val="21"/>
                <w:lang w:bidi="ar"/>
              </w:rPr>
              <w:t>&lt;3.0</w:t>
            </w:r>
          </w:p>
        </w:tc>
        <w:tc>
          <w:tcPr>
            <w:tcW w:w="2348" w:type="dxa"/>
            <w:noWrap/>
            <w:vAlign w:val="center"/>
          </w:tcPr>
          <w:p>
            <w:pPr>
              <w:spacing w:line="320" w:lineRule="exact"/>
              <w:ind w:firstLine="0" w:firstLineChars="0"/>
              <w:jc w:val="center"/>
              <w:rPr>
                <w:sz w:val="24"/>
                <w:szCs w:val="21"/>
                <w:lang w:bidi="ar"/>
              </w:rPr>
            </w:pPr>
            <w:r>
              <w:rPr>
                <w:rFonts w:hint="eastAsia"/>
                <w:sz w:val="24"/>
                <w:szCs w:val="21"/>
                <w:lang w:bidi="ar"/>
              </w:rPr>
              <w:t>企业办公赋能、通用咨询、数据统计</w:t>
            </w:r>
          </w:p>
        </w:tc>
        <w:tc>
          <w:tcPr>
            <w:tcW w:w="1874" w:type="dxa"/>
            <w:noWrap/>
            <w:vAlign w:val="center"/>
          </w:tcPr>
          <w:p>
            <w:pPr>
              <w:spacing w:line="320" w:lineRule="exact"/>
              <w:ind w:firstLine="0" w:firstLineChars="0"/>
              <w:jc w:val="center"/>
              <w:rPr>
                <w:sz w:val="24"/>
                <w:szCs w:val="21"/>
                <w:lang w:bidi="ar"/>
              </w:rPr>
            </w:pPr>
            <w:r>
              <w:rPr>
                <w:rFonts w:hint="eastAsia"/>
                <w:sz w:val="24"/>
                <w:szCs w:val="21"/>
                <w:lang w:bidi="ar"/>
              </w:rPr>
              <w:t>可评估采用公有云部署</w:t>
            </w:r>
          </w:p>
        </w:tc>
        <w:tc>
          <w:tcPr>
            <w:tcW w:w="1733" w:type="dxa"/>
            <w:noWrap/>
            <w:vAlign w:val="center"/>
          </w:tcPr>
          <w:p>
            <w:pPr>
              <w:spacing w:line="320" w:lineRule="exact"/>
              <w:ind w:firstLine="0" w:firstLineChars="0"/>
              <w:jc w:val="center"/>
              <w:rPr>
                <w:sz w:val="24"/>
                <w:szCs w:val="21"/>
                <w:lang w:bidi="ar"/>
              </w:rPr>
            </w:pPr>
            <w:r>
              <w:rPr>
                <w:rFonts w:hint="eastAsia"/>
                <w:sz w:val="24"/>
                <w:szCs w:val="21"/>
                <w:lang w:bidi="ar"/>
              </w:rPr>
              <w:t>常规调度优先级、弹性配额、基础安全防护、日志记录</w:t>
            </w:r>
          </w:p>
        </w:tc>
      </w:tr>
    </w:tbl>
    <w:p>
      <w:pPr>
        <w:ind w:firstLine="640"/>
      </w:pPr>
      <w:bookmarkStart w:id="40" w:name="_Toc18297"/>
      <w:bookmarkStart w:id="41" w:name="_Toc11274"/>
    </w:p>
    <w:p>
      <w:pPr>
        <w:pStyle w:val="4"/>
        <w:ind w:firstLine="643" w:firstLineChars="0"/>
      </w:pPr>
      <w:r>
        <w:rPr>
          <w:rFonts w:hint="eastAsia"/>
        </w:rPr>
        <w:t>2.模型选型与部署</w:t>
      </w:r>
      <w:bookmarkEnd w:id="40"/>
      <w:bookmarkEnd w:id="41"/>
    </w:p>
    <w:p>
      <w:pPr>
        <w:ind w:firstLine="640"/>
        <w:rPr>
          <w:rFonts w:hint="eastAsia" w:ascii="方正仿宋_GBK" w:hAnsi="方正仿宋_GBK" w:cs="方正仿宋_GBK"/>
          <w:szCs w:val="32"/>
        </w:rPr>
      </w:pPr>
      <w:r>
        <w:rPr>
          <w:rFonts w:hint="eastAsia" w:ascii="方正仿宋_GBK" w:hAnsi="方正仿宋_GBK" w:cs="方正仿宋_GBK"/>
          <w:szCs w:val="32"/>
        </w:rPr>
        <w:t>模型选型与部署的核心目标是让</w:t>
      </w:r>
      <w:r>
        <w:rPr>
          <w:rFonts w:cs="Times New Roman"/>
          <w:szCs w:val="32"/>
        </w:rPr>
        <w:t>Token</w:t>
      </w:r>
      <w:r>
        <w:rPr>
          <w:rFonts w:hint="eastAsia" w:ascii="方正仿宋_GBK" w:hAnsi="方正仿宋_GBK" w:cs="方正仿宋_GBK"/>
          <w:szCs w:val="32"/>
        </w:rPr>
        <w:t>资源可管、可控、可优化，能够匹配制造业生产数据安全、场景分级优先级、成本精细化管控的核心诉求。</w:t>
      </w:r>
    </w:p>
    <w:p>
      <w:pPr>
        <w:ind w:firstLine="643"/>
        <w:rPr>
          <w:rFonts w:cs="Times New Roman"/>
          <w:szCs w:val="32"/>
        </w:rPr>
      </w:pPr>
      <w:r>
        <w:rPr>
          <w:rFonts w:hint="eastAsia" w:ascii="方正仿宋_GBK" w:hAnsi="方正仿宋_GBK" w:cs="方正仿宋_GBK"/>
          <w:b/>
          <w:bCs/>
          <w:szCs w:val="32"/>
        </w:rPr>
        <w:t>具体来看，</w:t>
      </w:r>
      <w:r>
        <w:rPr>
          <w:rFonts w:ascii="方正仿宋_GBK" w:hAnsi="方正仿宋_GBK" w:cs="方正仿宋_GBK"/>
          <w:b/>
          <w:bCs/>
          <w:szCs w:val="32"/>
        </w:rPr>
        <w:t>在公有云</w:t>
      </w:r>
      <w:r>
        <w:rPr>
          <w:rFonts w:cs="Times New Roman"/>
          <w:b/>
          <w:bCs/>
          <w:szCs w:val="32"/>
        </w:rPr>
        <w:t>API</w:t>
      </w:r>
      <w:r>
        <w:rPr>
          <w:rFonts w:ascii="方正仿宋_GBK" w:hAnsi="方正仿宋_GBK" w:cs="方正仿宋_GBK"/>
          <w:b/>
          <w:bCs/>
          <w:szCs w:val="32"/>
        </w:rPr>
        <w:t>模式下</w:t>
      </w:r>
      <w:r>
        <w:rPr>
          <w:rFonts w:ascii="方正仿宋_GBK" w:hAnsi="方正仿宋_GBK" w:cs="方正仿宋_GBK"/>
          <w:szCs w:val="32"/>
        </w:rPr>
        <w:t>，应秉持“数据脱敏、场景分级、小步快跑”原则，将公有云作为非敏感业务的提效工具</w:t>
      </w:r>
      <w:r>
        <w:rPr>
          <w:rFonts w:hint="eastAsia" w:ascii="方正仿宋_GBK" w:hAnsi="方正仿宋_GBK" w:cs="方正仿宋_GBK"/>
          <w:szCs w:val="32"/>
        </w:rPr>
        <w:t>。</w:t>
      </w:r>
      <w:r>
        <w:rPr>
          <w:rFonts w:hint="eastAsia" w:ascii="方正仿宋_GBK" w:hAnsi="方正仿宋_GBK" w:cs="方正仿宋_GBK"/>
          <w:b/>
          <w:bCs/>
          <w:szCs w:val="32"/>
        </w:rPr>
        <w:t>模型选型</w:t>
      </w:r>
      <w:r>
        <w:rPr>
          <w:rFonts w:hint="eastAsia" w:ascii="方正仿宋_GBK" w:hAnsi="方正仿宋_GBK" w:cs="方正仿宋_GBK"/>
          <w:szCs w:val="32"/>
        </w:rPr>
        <w:t>应进行如下维度考量：一是保障数据安全与合规隔离。公有云</w:t>
      </w:r>
      <w:r>
        <w:rPr>
          <w:rFonts w:cs="Times New Roman"/>
          <w:szCs w:val="32"/>
        </w:rPr>
        <w:t>API模</w:t>
      </w:r>
      <w:r>
        <w:rPr>
          <w:rFonts w:hint="eastAsia" w:ascii="方正仿宋_GBK" w:hAnsi="方正仿宋_GBK" w:cs="方正仿宋_GBK"/>
          <w:szCs w:val="32"/>
        </w:rPr>
        <w:t>式下，数据必须经过公网传输，存在不可控的数据痕迹与泄露风险。因此，在选型时必须评估服务商的合规资质，并建立严格的数据脱敏机制，确保核心商业机密不出域。二是关注成本结构与隐性消耗。在高频并发或长上下文场景下，</w:t>
      </w:r>
      <w:r>
        <w:rPr>
          <w:rFonts w:cs="Times New Roman"/>
          <w:szCs w:val="32"/>
        </w:rPr>
        <w:t>API费</w:t>
      </w:r>
      <w:r>
        <w:rPr>
          <w:rFonts w:hint="eastAsia" w:ascii="方正仿宋_GBK" w:hAnsi="方正仿宋_GBK" w:cs="方正仿宋_GBK"/>
          <w:szCs w:val="32"/>
        </w:rPr>
        <w:t>用会随业务量线性增长，长期总拥有成本可能反超私有化方案。选型时需关注单次调用成本、上下文长度限制以及失败重试机制带来的隐</w:t>
      </w:r>
      <w:r>
        <w:rPr>
          <w:rFonts w:cs="Times New Roman"/>
          <w:szCs w:val="32"/>
        </w:rPr>
        <w:t>性Token消耗。</w:t>
      </w:r>
      <w:r>
        <w:rPr>
          <w:rFonts w:hint="eastAsia" w:cs="Times New Roman"/>
          <w:szCs w:val="32"/>
        </w:rPr>
        <w:t>三是关注系统集成与实时性要求。公有云方案受制于网络传输和接口安全策略，存在往返延迟，难以保证毫秒级的实时响应。同时，需评估API接口与企业现有系统的对接能力，确保能打通数据断点。四是关注业务场景匹配度。对于简单的FAQ机器人</w:t>
      </w:r>
      <w:r>
        <w:rPr>
          <w:rFonts w:hint="eastAsia" w:cs="Times New Roman"/>
          <w:szCs w:val="32"/>
          <w:vertAlign w:val="superscript"/>
        </w:rPr>
        <w:t>15</w:t>
      </w:r>
      <w:r>
        <w:rPr>
          <w:rFonts w:hint="eastAsia" w:cs="Times New Roman"/>
          <w:szCs w:val="32"/>
        </w:rPr>
        <w:t>或常规参数查询，使用顶级模型属于资源浪费；而对于复杂的工艺优化、多参数联合调优，则需要推理能力更强的模型。因此，对于非敏感/通用场景，可选用公有云API，需提前完成业务数据脱敏处理，推荐选用成本效率较高、中文理解能力强的模型。在正式接入前，针对核心业务场景设计10—20个典型测试用例，从准确性、响应速度、幻觉率三个维度对候选模型进行打分评估。</w:t>
      </w:r>
    </w:p>
    <w:p>
      <w:pPr>
        <w:ind w:firstLine="643"/>
        <w:rPr>
          <w:rFonts w:hint="eastAsia" w:ascii="方正仿宋_GBK" w:hAnsi="方正仿宋_GBK" w:cs="方正仿宋_GBK"/>
          <w:szCs w:val="32"/>
        </w:rPr>
      </w:pPr>
      <w:r>
        <w:rPr>
          <w:rFonts w:hint="eastAsia" w:cs="Times New Roman"/>
          <w:b/>
          <w:bCs/>
          <w:szCs w:val="32"/>
        </w:rPr>
        <w:t>模型部署</w:t>
      </w:r>
      <w:r>
        <w:rPr>
          <w:rFonts w:hint="eastAsia" w:cs="Times New Roman"/>
          <w:szCs w:val="32"/>
        </w:rPr>
        <w:t>路径推荐如下：一是前置数据预处理与脱敏。在将数据发送至云端API前，必须部署文本预处理工具。将长篇工艺台账、规范文档拆分为碎片化摘要与结构化表格，禁止原始全文上传。同时，设置严格的数据脱敏模板，对订单号、客户名称等敏感字段进行匿名化处理。二是选用轻量化模型与缓存机制。针对图像、音频等多模态数据，预设压缩规则，选用面向工业数据分析的轻量化大模型以降低Token消耗。对于固定的系统提示词或高频重复的查询，利用上下文缓存机制，避免重复计费。三是小范围灰度试点验证。遵循“业务价值高、技术难度低、风险小”的原则，优先选择内部文档处理、常规智能客服等场景进行为期1~2周的POC试点</w:t>
      </w:r>
      <w:r>
        <w:rPr>
          <w:rFonts w:hint="eastAsia" w:cs="Times New Roman"/>
          <w:szCs w:val="32"/>
          <w:vertAlign w:val="superscript"/>
        </w:rPr>
        <w:t>16</w:t>
      </w:r>
      <w:r>
        <w:rPr>
          <w:rFonts w:hint="eastAsia" w:cs="Times New Roman"/>
          <w:szCs w:val="32"/>
        </w:rPr>
        <w:t>。邀请一线业务人员试用，收集反馈并优化交互逻辑后，再逐步推广至其他核心业务辅助场景。四是构建统一网关与监控审计。通过企业API网关实现流量路由和数据过滤，统一管理云端API的调用。建立全链路监控指标体系，实时追踪响应时间、吞吐量、错误率及Token消耗流向，确保异常调用能被及时发现与熔断。</w:t>
      </w:r>
    </w:p>
    <w:p>
      <w:pPr>
        <w:ind w:firstLine="643"/>
        <w:rPr>
          <w:rFonts w:hint="eastAsia" w:ascii="方正仿宋_GBK" w:hAnsi="方正仿宋_GBK" w:cs="方正仿宋_GBK"/>
          <w:szCs w:val="32"/>
        </w:rPr>
      </w:pPr>
      <w:r>
        <w:rPr>
          <w:rFonts w:ascii="方正仿宋_GBK" w:hAnsi="方正仿宋_GBK" w:cs="方正仿宋_GBK"/>
          <w:b/>
          <w:bCs/>
          <w:szCs w:val="32"/>
        </w:rPr>
        <w:t>在</w:t>
      </w:r>
      <w:r>
        <w:rPr>
          <w:rFonts w:hint="eastAsia" w:ascii="方正仿宋_GBK" w:hAnsi="方正仿宋_GBK" w:cs="方正仿宋_GBK"/>
          <w:b/>
          <w:bCs/>
          <w:szCs w:val="32"/>
        </w:rPr>
        <w:t>本地部署</w:t>
      </w:r>
      <w:r>
        <w:rPr>
          <w:rFonts w:ascii="方正仿宋_GBK" w:hAnsi="方正仿宋_GBK" w:cs="方正仿宋_GBK"/>
          <w:b/>
          <w:bCs/>
          <w:szCs w:val="32"/>
        </w:rPr>
        <w:t>模式下</w:t>
      </w:r>
      <w:r>
        <w:rPr>
          <w:rFonts w:ascii="方正仿宋_GBK" w:hAnsi="方正仿宋_GBK" w:cs="方正仿宋_GBK"/>
          <w:szCs w:val="32"/>
        </w:rPr>
        <w:t>，应秉持“数据不出域、硬件工业级、模型轻量化、业务可量化”的原则，</w:t>
      </w:r>
      <w:r>
        <w:rPr>
          <w:rFonts w:hint="eastAsia" w:ascii="方正仿宋_GBK" w:hAnsi="方正仿宋_GBK" w:cs="方正仿宋_GBK"/>
          <w:b/>
          <w:bCs/>
          <w:szCs w:val="32"/>
        </w:rPr>
        <w:t>模型选型</w:t>
      </w:r>
      <w:r>
        <w:rPr>
          <w:rFonts w:hint="eastAsia" w:ascii="方正仿宋_GBK" w:hAnsi="方正仿宋_GBK" w:cs="方正仿宋_GBK"/>
          <w:szCs w:val="32"/>
        </w:rPr>
        <w:t>应进行如下维度考量：一是数据安全与合规底线</w:t>
      </w:r>
      <w:r>
        <w:rPr>
          <w:rFonts w:hint="eastAsia" w:ascii="方正仿宋_GBK" w:hAnsi="方正仿宋_GBK" w:cs="方正仿宋_GBK"/>
          <w:b/>
          <w:bCs/>
          <w:szCs w:val="32"/>
        </w:rPr>
        <w:t>。</w:t>
      </w:r>
      <w:r>
        <w:rPr>
          <w:rFonts w:hint="eastAsia" w:ascii="方正仿宋_GBK" w:hAnsi="方正仿宋_GBK" w:cs="方正仿宋_GBK"/>
          <w:szCs w:val="32"/>
        </w:rPr>
        <w:t>本地部署的首要考量是实现数据物理隔离，确保数据全程不出内网，满足工业控制系统信息安全防护等合规要求。二是场景匹配度与模型轻量化、领域定制化选型。车间生产等工业场景对推理实时性要求极高，且边缘端、本地部署设备算力资源有限，模型选型不应盲目追求超大参数通用大模型，而应优先遴选轻量化、</w:t>
      </w:r>
      <w:r>
        <w:rPr>
          <w:rFonts w:cs="Times New Roman"/>
          <w:szCs w:val="32"/>
        </w:rPr>
        <w:t>支持INT8/INT4</w:t>
      </w:r>
      <w:r>
        <w:rPr>
          <w:rFonts w:hint="eastAsia" w:cs="Times New Roman"/>
          <w:szCs w:val="32"/>
          <w:vertAlign w:val="superscript"/>
        </w:rPr>
        <w:t>17</w:t>
      </w:r>
      <w:r>
        <w:rPr>
          <w:rFonts w:cs="Times New Roman"/>
          <w:szCs w:val="32"/>
        </w:rPr>
        <w:t>低精度量化的模型架构，有效适配边缘算力约束，实现低延迟、高能效的实时推理，满足工业生产在线质检、设备运维、故障诊断等高频实时业务需求。在此基础上，企业需摒弃通用模型泛化推理的固有模式，立足工业业务特征选用垂直领域专用小模型并开展专属微调训练。工业领域专用小模型结构精简、任务针对性强，企业可基于自有数据开展定向微调训练，让模型深度适配本企业生产场景逻辑与业务特征。相较于通用大模型，定制化领域小模型能够大幅降低冗余输入输出Token生成量，减少无效算力与显存占用，在保障工业推理精度的同</w:t>
      </w:r>
      <w:r>
        <w:rPr>
          <w:rFonts w:hint="eastAsia" w:ascii="方正仿宋_GBK" w:hAnsi="方正仿宋_GBK" w:cs="方正仿宋_GBK"/>
          <w:szCs w:val="32"/>
        </w:rPr>
        <w:t>时，显著提升边缘端与本地算力资源的利用效能，适配制造业轻量化、高实时、高精准的推理应用需求。三是系统集成与业务价值导向。本地部署不能仅停留在“问答</w:t>
      </w:r>
      <w:r>
        <w:rPr>
          <w:rFonts w:cs="Times New Roman"/>
          <w:szCs w:val="32"/>
        </w:rPr>
        <w:t>Demo</w:t>
      </w:r>
      <w:r>
        <w:rPr>
          <w:rFonts w:hint="eastAsia" w:ascii="方正仿宋_GBK" w:hAnsi="方正仿宋_GBK" w:cs="方正仿宋_GBK"/>
          <w:szCs w:val="32"/>
        </w:rPr>
        <w:t>”阶段，必须能够与现有的</w:t>
      </w:r>
      <w:r>
        <w:rPr>
          <w:rFonts w:cs="Times New Roman"/>
          <w:szCs w:val="32"/>
        </w:rPr>
        <w:t>ERP、MES</w:t>
      </w:r>
      <w:r>
        <w:rPr>
          <w:rFonts w:hint="eastAsia" w:ascii="方正仿宋_GBK" w:hAnsi="方正仿宋_GBK" w:cs="方正仿宋_GBK"/>
          <w:szCs w:val="32"/>
        </w:rPr>
        <w:t>等系统打通，解决数据孤岛问题。同时，每一次模型迭代都需对应可量化的业务指标。</w:t>
      </w:r>
    </w:p>
    <w:p>
      <w:pPr>
        <w:numPr>
          <w:ilvl w:val="255"/>
          <w:numId w:val="0"/>
        </w:numPr>
        <w:ind w:firstLine="642" w:firstLineChars="200"/>
        <w:rPr>
          <w:rFonts w:cs="Times New Roman"/>
          <w:szCs w:val="32"/>
        </w:rPr>
      </w:pPr>
      <w:r>
        <w:rPr>
          <w:rFonts w:hint="eastAsia" w:cs="Times New Roman"/>
          <w:b/>
          <w:bCs/>
          <w:szCs w:val="32"/>
        </w:rPr>
        <w:t>模型部署</w:t>
      </w:r>
      <w:r>
        <w:rPr>
          <w:rFonts w:hint="eastAsia" w:cs="Times New Roman"/>
          <w:szCs w:val="32"/>
        </w:rPr>
        <w:t>路径推荐如下：一是容器化离线一键部署。针对工业内网机器系统封闭、禁止随意安装依赖的问题，全面采用Docker容器化</w:t>
      </w:r>
      <w:r>
        <w:rPr>
          <w:rFonts w:hint="eastAsia" w:cs="Times New Roman"/>
          <w:szCs w:val="32"/>
          <w:vertAlign w:val="superscript"/>
        </w:rPr>
        <w:t>18</w:t>
      </w:r>
      <w:r>
        <w:rPr>
          <w:rFonts w:hint="eastAsia" w:cs="Times New Roman"/>
          <w:szCs w:val="32"/>
        </w:rPr>
        <w:t>部署。实现环境隔离、离线镜像打包、开机自启与异常自动重启，规避网络限制与环境冲突。二是构建企业级RAG</w:t>
      </w:r>
      <w:r>
        <w:rPr>
          <w:rFonts w:hint="eastAsia" w:cs="Times New Roman"/>
          <w:szCs w:val="32"/>
          <w:vertAlign w:val="superscript"/>
        </w:rPr>
        <w:t>19</w:t>
      </w:r>
      <w:r>
        <w:rPr>
          <w:rFonts w:hint="eastAsia" w:cs="Times New Roman"/>
          <w:szCs w:val="32"/>
        </w:rPr>
        <w:t>。在部署模型前，优先搭建高质量的知识库。将工艺文档、故障案例进行结构化拆分与元数据标注，结合矢量数据库实现实时检索。通过RAG技术注入行业知识，解决通用大模型在工业领域的“幻觉”问题。三是边云协同与灰度发布。采用“边缘端实时推理+云端大规模训练/协同”的混合架构，兼顾实时性与算力扩展性。采用A/B测试或蓝绿部署进行模型更新，新旧模型并行运行验证准确率、Token消耗稳定性后再全量切换，避免全量切换导致的生产扰动风险。与此同时，试点阶段需严格划定应用红线，明确工业现场不可直接依托模型开展高风险、强决策类业务，如设备核心参数自动调校、生产工艺自主修正、故障紧急停机决策、质量判定终审、安全风险处置等关键生产动作，杜绝模型幻觉、推理偏差引发的生产质量隐患与安全生产风险。四是工业控制权责边界管控。工业生产流程具备高安全、高确定性要求，需严格划分生成式大模型与底层控制系统的权责边界。生成式模型仅承担工艺知识问答、故障辅助分析、方案推演等辅助研判类工作，不输出可直接执行的设备操控指令；所有设备参数调整、机组启停、工艺闭环控制、安全联锁处置等操作，均由经过长期现场验证的确定性控制系统独立执行。通过分层隔离机制阻断模型幻觉、随机输出向生产控制链路传导，从部署架构层面规避智能模型带来的安全生产隐患。</w:t>
      </w:r>
    </w:p>
    <w:p>
      <w:pPr>
        <w:pStyle w:val="4"/>
        <w:ind w:firstLine="643" w:firstLineChars="0"/>
      </w:pPr>
      <w:bookmarkStart w:id="42" w:name="_Toc794"/>
      <w:bookmarkStart w:id="43" w:name="_Toc17351"/>
      <w:r>
        <w:rPr>
          <w:rFonts w:hint="eastAsia"/>
        </w:rPr>
        <w:t>3.模型路由配置</w:t>
      </w:r>
      <w:bookmarkEnd w:id="42"/>
      <w:bookmarkEnd w:id="43"/>
    </w:p>
    <w:p>
      <w:pPr>
        <w:ind w:firstLine="640"/>
        <w:rPr>
          <w:rFonts w:hint="eastAsia" w:ascii="方正仿宋_GBK" w:hAnsi="方正仿宋_GBK" w:cs="方正仿宋_GBK"/>
          <w:szCs w:val="32"/>
        </w:rPr>
      </w:pPr>
      <w:r>
        <w:rPr>
          <w:rFonts w:ascii="方正仿宋_GBK" w:hAnsi="方正仿宋_GBK" w:cs="方正仿宋_GBK"/>
          <w:szCs w:val="32"/>
        </w:rPr>
        <w:t>模型路由配置是基于智能模型路由引擎落地全量调度规则，打通业务请求与模型资源的适配链路，实现算力资源的精准分发与动态最优匹配，为资源效能提升、成本精细化管控与业务连续性保障提供规则底座。</w:t>
      </w:r>
    </w:p>
    <w:p>
      <w:pPr>
        <w:ind w:firstLine="643"/>
        <w:rPr>
          <w:rFonts w:hint="eastAsia" w:ascii="方正仿宋_GBK" w:hAnsi="方正仿宋_GBK" w:cs="方正仿宋_GBK"/>
          <w:szCs w:val="32"/>
        </w:rPr>
      </w:pPr>
      <w:r>
        <w:rPr>
          <w:rFonts w:ascii="方正仿宋_GBK" w:hAnsi="方正仿宋_GBK" w:cs="方正仿宋_GBK"/>
          <w:b/>
          <w:bCs/>
          <w:szCs w:val="32"/>
        </w:rPr>
        <w:t>模型路由配置应坚持四大原则</w:t>
      </w:r>
      <w:r>
        <w:rPr>
          <w:rFonts w:ascii="方正仿宋_GBK" w:hAnsi="方正仿宋_GBK" w:cs="方正仿宋_GBK"/>
          <w:szCs w:val="32"/>
        </w:rPr>
        <w:t>：一是安全边界刚性原则，调度规则严守数据安全等级与部署网络边界，安全约束一票否决所有非合规调度路径；二是业务分级保障原则，提前完成</w:t>
      </w:r>
      <w:r>
        <w:rPr>
          <w:rFonts w:hint="eastAsia" w:ascii="方正仿宋_GBK" w:hAnsi="方正仿宋_GBK" w:cs="方正仿宋_GBK"/>
          <w:szCs w:val="32"/>
        </w:rPr>
        <w:t>重点</w:t>
      </w:r>
      <w:r>
        <w:rPr>
          <w:rFonts w:ascii="方正仿宋_GBK" w:hAnsi="方正仿宋_GBK" w:cs="方正仿宋_GBK"/>
          <w:szCs w:val="32"/>
        </w:rPr>
        <w:t>业务任务分级定义，按照任务风险等级、业务价值、实时性要求划分调度优先级与算力资源权重，算力资源向核心生产、高优先级复杂任务倾斜，杜绝无差别均分算力造成的资源错配；三是能力精准适配原则，围绕任务分级结果、任务范式、模态类型、请求复杂度多维度匹配模型算力与推理能力，按需精准调度对应规格模型，避免高算力模型处理简单任务、轻量化模型承载复杂研判任务的错配问题；四是成本效能兼顾原则，建立成本优化与容灾兜底联动机制，在合规前提下优先低成本调度路径，实现降本增效与业务连续双向保障。</w:t>
      </w:r>
    </w:p>
    <w:p>
      <w:pPr>
        <w:ind w:firstLine="643"/>
        <w:rPr>
          <w:rFonts w:hint="eastAsia" w:ascii="方正仿宋_GBK" w:hAnsi="方正仿宋_GBK" w:cs="方正仿宋_GBK"/>
          <w:szCs w:val="32"/>
        </w:rPr>
      </w:pPr>
      <w:r>
        <w:rPr>
          <w:rFonts w:hint="eastAsia" w:ascii="方正仿宋_GBK" w:hAnsi="方正仿宋_GBK" w:cs="方正仿宋_GBK"/>
          <w:b/>
          <w:bCs/>
          <w:szCs w:val="32"/>
        </w:rPr>
        <w:t>具体来看，</w:t>
      </w:r>
      <w:r>
        <w:rPr>
          <w:rFonts w:ascii="方正仿宋_GBK" w:hAnsi="方正仿宋_GBK" w:cs="方正仿宋_GBK"/>
          <w:b/>
          <w:bCs/>
          <w:szCs w:val="32"/>
        </w:rPr>
        <w:t>在公有云</w:t>
      </w:r>
      <w:r>
        <w:rPr>
          <w:rFonts w:cs="Times New Roman"/>
          <w:b/>
          <w:bCs/>
          <w:szCs w:val="32"/>
        </w:rPr>
        <w:t>API</w:t>
      </w:r>
      <w:r>
        <w:rPr>
          <w:rFonts w:ascii="方正仿宋_GBK" w:hAnsi="方正仿宋_GBK" w:cs="方正仿宋_GBK"/>
          <w:b/>
          <w:bCs/>
          <w:szCs w:val="32"/>
        </w:rPr>
        <w:t>模式下</w:t>
      </w:r>
      <w:r>
        <w:rPr>
          <w:rFonts w:ascii="方正仿宋_GBK" w:hAnsi="方正仿宋_GBK" w:cs="方正仿宋_GBK"/>
          <w:szCs w:val="32"/>
        </w:rPr>
        <w:t>，模型路由配置以请求级特征标签与全链路调度日志为基础，推荐采用“统一网关入口+路由规则引擎”管控方案。各业务应用统一接入企业</w:t>
      </w:r>
      <w:r>
        <w:rPr>
          <w:rFonts w:cs="Times New Roman"/>
          <w:szCs w:val="32"/>
        </w:rPr>
        <w:t>AI</w:t>
      </w:r>
      <w:r>
        <w:rPr>
          <w:rFonts w:ascii="方正仿宋_GBK" w:hAnsi="方正仿宋_GBK" w:cs="方正仿宋_GBK"/>
          <w:szCs w:val="32"/>
        </w:rPr>
        <w:t>调度网关，携带场景等级、任务范式、数据属性等标准化标识发起请求，不直接对接各厂商公有云模型</w:t>
      </w:r>
      <w:r>
        <w:rPr>
          <w:rFonts w:cs="Times New Roman"/>
          <w:szCs w:val="32"/>
        </w:rPr>
        <w:t>API</w:t>
      </w:r>
      <w:r>
        <w:rPr>
          <w:rFonts w:ascii="方正仿宋_GBK" w:hAnsi="方正仿宋_GBK" w:cs="方正仿宋_GBK"/>
          <w:szCs w:val="32"/>
        </w:rPr>
        <w:t>；真实云服务</w:t>
      </w:r>
      <w:r>
        <w:rPr>
          <w:rFonts w:cs="Times New Roman"/>
          <w:szCs w:val="32"/>
        </w:rPr>
        <w:t>API</w:t>
      </w:r>
      <w:r>
        <w:rPr>
          <w:rFonts w:ascii="方正仿宋_GBK" w:hAnsi="方正仿宋_GBK" w:cs="方正仿宋_GBK"/>
          <w:szCs w:val="32"/>
        </w:rPr>
        <w:t>密钥统一收纳至密钥安全仓库集中托管，由路由引擎内部完成业务标识与目标模型的映射分发。</w:t>
      </w:r>
      <w:r>
        <w:rPr>
          <w:rFonts w:hint="eastAsia" w:ascii="方正仿宋_GBK" w:hAnsi="方正仿宋_GBK" w:cs="方正仿宋_GBK"/>
          <w:szCs w:val="32"/>
        </w:rPr>
        <w:t>在路由引擎规则设定上，一方面，实施基于任务分级与意图识别的精准模型调度，依托预定义的任务分级标准识别请求复杂程度，自动匹配算力规格、参数量级适配的公有云模型，对核心生产类高等级任务预留专属调度通道，将核心链路、高频链路与辅助链路分级保障，实现算力资源与模型规格最优匹配；另一方面，执行基于成本控制与灰度发布的权重路由，通过按比例分流机制分散单一供应商的服务压力，并将批量摘要、分类等低复杂度任务自动路由至轻量级模型，避免资源浪费。同时，建立基于高可用性与容灾兜底机制，配置多级降级策略，在主模型出现超时或限流时自动无缝切换至备用服务，同时遵循谨慎降级原则以保障高风险任务的业务连续性。</w:t>
      </w:r>
    </w:p>
    <w:p>
      <w:pPr>
        <w:ind w:firstLine="643"/>
        <w:rPr>
          <w:rFonts w:cs="Times New Roman"/>
          <w:szCs w:val="27"/>
        </w:rPr>
      </w:pPr>
      <w:r>
        <w:rPr>
          <w:rFonts w:ascii="方正仿宋_GBK" w:hAnsi="方正仿宋_GBK" w:cs="方正仿宋_GBK"/>
          <w:b/>
          <w:bCs/>
          <w:szCs w:val="32"/>
        </w:rPr>
        <w:t>在本地化部署模式下</w:t>
      </w:r>
      <w:r>
        <w:rPr>
          <w:rFonts w:ascii="方正仿宋_GBK" w:hAnsi="方正仿宋_GBK" w:cs="方正仿宋_GBK"/>
          <w:szCs w:val="32"/>
        </w:rPr>
        <w:t>，企业</w:t>
      </w:r>
      <w:r>
        <w:rPr>
          <w:rFonts w:hint="eastAsia" w:ascii="方正仿宋_GBK" w:hAnsi="方正仿宋_GBK" w:cs="方正仿宋_GBK"/>
          <w:szCs w:val="32"/>
        </w:rPr>
        <w:t>可</w:t>
      </w:r>
      <w:r>
        <w:rPr>
          <w:rFonts w:ascii="方正仿宋_GBK" w:hAnsi="方正仿宋_GBK" w:cs="方正仿宋_GBK"/>
          <w:szCs w:val="32"/>
        </w:rPr>
        <w:t>实施基于数据敏感度与安全合规的边界路由，将高敏感数据的请求强制路由至本地私有化模型处理，确保数据物理隔离不出域，彻底规避合规风险</w:t>
      </w:r>
      <w:r>
        <w:rPr>
          <w:rFonts w:hint="eastAsia" w:ascii="方正仿宋_GBK" w:hAnsi="方正仿宋_GBK" w:cs="方正仿宋_GBK"/>
          <w:szCs w:val="32"/>
        </w:rPr>
        <w:t>；同时，</w:t>
      </w:r>
      <w:r>
        <w:rPr>
          <w:rFonts w:ascii="方正仿宋_GBK" w:hAnsi="方正仿宋_GBK" w:cs="方正仿宋_GBK"/>
          <w:szCs w:val="32"/>
        </w:rPr>
        <w:t>基于任务分级复杂度、算力资源池分区的精细化模型调度，依托预先划定的任务分级标准分流推理请求</w:t>
      </w:r>
      <w:r>
        <w:rPr>
          <w:rFonts w:hint="eastAsia" w:ascii="方正仿宋_GBK" w:hAnsi="方正仿宋_GBK" w:cs="方正仿宋_GBK"/>
          <w:szCs w:val="32"/>
        </w:rPr>
        <w:t>，</w:t>
      </w:r>
      <w:r>
        <w:rPr>
          <w:rFonts w:ascii="方正仿宋_GBK" w:hAnsi="方正仿宋_GBK" w:cs="方正仿宋_GBK"/>
          <w:szCs w:val="32"/>
        </w:rPr>
        <w:t>将低等级基础任务路由至轻量化小模型算力池，将高等级复杂推理任务路由至高阶大模型专属算力池，按任务难度匹配对应算力与模型规格，实现整体算力利用效能最大化。另外，依托容器调度平台与智能路由引擎，实时采集各模型实例的负载率、算力利用率、请求时延、错误率等运行指标，结合任务分级调度规则动态调配算力资源、切换对应规格主备模型实例、执行分级熔断降级。</w:t>
      </w:r>
    </w:p>
    <w:p>
      <w:pPr>
        <w:pStyle w:val="4"/>
        <w:ind w:firstLine="643"/>
      </w:pPr>
      <w:bookmarkStart w:id="44" w:name="_Toc32428"/>
      <w:bookmarkStart w:id="45" w:name="_Toc6326"/>
      <w:r>
        <w:rPr>
          <w:rFonts w:hint="eastAsia"/>
        </w:rPr>
        <w:t>4.用量配额配置</w:t>
      </w:r>
      <w:bookmarkEnd w:id="44"/>
      <w:bookmarkEnd w:id="45"/>
    </w:p>
    <w:p>
      <w:pPr>
        <w:ind w:firstLine="643" w:firstLineChars="0"/>
        <w:rPr>
          <w:rFonts w:hint="eastAsia" w:ascii="方正仿宋_GBK" w:hAnsi="方正仿宋_GBK" w:cs="方正仿宋_GBK"/>
          <w:szCs w:val="32"/>
        </w:rPr>
      </w:pPr>
      <w:r>
        <w:rPr>
          <w:rFonts w:hint="eastAsia" w:ascii="方正仿宋_GBK" w:hAnsi="方正仿宋_GBK" w:cs="方正仿宋_GBK"/>
          <w:szCs w:val="32"/>
        </w:rPr>
        <w:t>用量配额配置是依托配额规则配置引擎，以标准化量化指标体系为测算支撑，按场景、部门、项目、用户多维度差异化配置</w:t>
      </w:r>
      <w:r>
        <w:rPr>
          <w:rFonts w:cs="Times New Roman"/>
          <w:szCs w:val="32"/>
        </w:rPr>
        <w:t>Token</w:t>
      </w:r>
      <w:r>
        <w:rPr>
          <w:rFonts w:hint="eastAsia" w:ascii="方正仿宋_GBK" w:hAnsi="方正仿宋_GBK" w:cs="方正仿宋_GBK"/>
          <w:szCs w:val="32"/>
        </w:rPr>
        <w:t>使用额度与管控阈值，构建分级定额、刚性约束的事前额度管理体系，优先保障核心生产场景资源供给，严控无意义消耗，为</w:t>
      </w:r>
      <w:r>
        <w:rPr>
          <w:rFonts w:cs="Times New Roman"/>
          <w:szCs w:val="32"/>
        </w:rPr>
        <w:t>Token</w:t>
      </w:r>
      <w:r>
        <w:rPr>
          <w:rFonts w:hint="eastAsia" w:ascii="方正仿宋_GBK" w:hAnsi="方正仿宋_GBK" w:cs="方正仿宋_GBK"/>
          <w:szCs w:val="32"/>
        </w:rPr>
        <w:t>资源精准分配、成本刚性管控与全链路效能核算提供准入管控底座。</w:t>
      </w:r>
    </w:p>
    <w:p>
      <w:pPr>
        <w:ind w:firstLine="643"/>
        <w:rPr>
          <w:rFonts w:hint="eastAsia" w:ascii="方正仿宋_GBK" w:hAnsi="方正仿宋_GBK" w:cs="方正仿宋_GBK"/>
          <w:szCs w:val="32"/>
        </w:rPr>
      </w:pPr>
      <w:r>
        <w:rPr>
          <w:rFonts w:hint="eastAsia" w:ascii="方正仿宋_GBK" w:hAnsi="方正仿宋_GBK" w:cs="方正仿宋_GBK"/>
          <w:b/>
          <w:bCs/>
          <w:szCs w:val="32"/>
        </w:rPr>
        <w:t>用量配额配置应坚持四大原则</w:t>
      </w:r>
      <w:r>
        <w:rPr>
          <w:rFonts w:hint="eastAsia" w:ascii="方正仿宋_GBK" w:hAnsi="方正仿宋_GBK" w:cs="方正仿宋_GBK"/>
          <w:szCs w:val="32"/>
        </w:rPr>
        <w:t>：一是分级保障导向，配额额度严格匹配场景价值等级，核心场景足额保障、普通场景限额管控，不得无差别平均划拨通用</w:t>
      </w:r>
      <w:r>
        <w:rPr>
          <w:rFonts w:cs="Times New Roman"/>
          <w:szCs w:val="32"/>
        </w:rPr>
        <w:t>Token</w:t>
      </w:r>
      <w:r>
        <w:rPr>
          <w:rFonts w:hint="eastAsia" w:ascii="方正仿宋_GBK" w:hAnsi="方正仿宋_GBK" w:cs="方正仿宋_GBK"/>
          <w:szCs w:val="32"/>
        </w:rPr>
        <w:t>额度；二是刚性阈值约束，设置提醒、预警、熔断三级使用率管控阈值，执行“无配额不接入”刚性规则，杜绝超额度、超范围无序消耗；三是效能联动迭代，建立配额与投入产出比、缓存命中率等效能指标的联动调优机制，动态核减低效场景冗余额度，实现资源投放与业务效益双向匹配；四是价值付费牵引，将</w:t>
      </w:r>
      <w:r>
        <w:rPr>
          <w:rFonts w:cs="Times New Roman"/>
          <w:szCs w:val="32"/>
        </w:rPr>
        <w:t>AI</w:t>
      </w:r>
      <w:r>
        <w:rPr>
          <w:rFonts w:hint="eastAsia" w:ascii="方正仿宋_GBK" w:hAnsi="方正仿宋_GBK" w:cs="方正仿宋_GBK"/>
          <w:szCs w:val="32"/>
        </w:rPr>
        <w:t>应用支出与实际业务成果直接挂钩，推动</w:t>
      </w:r>
      <w:r>
        <w:rPr>
          <w:rFonts w:cs="Times New Roman"/>
          <w:szCs w:val="32"/>
        </w:rPr>
        <w:t>AI</w:t>
      </w:r>
      <w:r>
        <w:rPr>
          <w:rFonts w:hint="eastAsia" w:ascii="方正仿宋_GBK" w:hAnsi="方正仿宋_GBK" w:cs="方正仿宋_GBK"/>
          <w:szCs w:val="32"/>
        </w:rPr>
        <w:t>应用从“成本中心”向“价值中心”转变。</w:t>
      </w:r>
    </w:p>
    <w:p>
      <w:pPr>
        <w:ind w:firstLine="643"/>
        <w:rPr>
          <w:rFonts w:cs="Times New Roman"/>
          <w:szCs w:val="32"/>
        </w:rPr>
      </w:pPr>
      <w:r>
        <w:rPr>
          <w:rFonts w:hint="eastAsia" w:ascii="方正仿宋_GBK" w:hAnsi="方正仿宋_GBK" w:cs="方正仿宋_GBK"/>
          <w:b/>
          <w:bCs/>
          <w:szCs w:val="32"/>
        </w:rPr>
        <w:t>具体来看，在公有云</w:t>
      </w:r>
      <w:r>
        <w:rPr>
          <w:rFonts w:cs="Times New Roman"/>
          <w:b/>
          <w:bCs/>
          <w:szCs w:val="32"/>
        </w:rPr>
        <w:t>API</w:t>
      </w:r>
      <w:r>
        <w:rPr>
          <w:rFonts w:hint="eastAsia" w:ascii="方正仿宋_GBK" w:hAnsi="方正仿宋_GBK" w:cs="方正仿宋_GBK"/>
          <w:b/>
          <w:bCs/>
          <w:szCs w:val="32"/>
        </w:rPr>
        <w:t>模式下</w:t>
      </w:r>
      <w:r>
        <w:rPr>
          <w:rFonts w:hint="eastAsia" w:ascii="方正仿宋_GBK" w:hAnsi="方正仿宋_GBK" w:cs="方正仿宋_GBK"/>
          <w:szCs w:val="32"/>
        </w:rPr>
        <w:t>，预算配额包含两种主流计费口径。一是按</w:t>
      </w:r>
      <w:r>
        <w:rPr>
          <w:rFonts w:cs="Times New Roman"/>
          <w:szCs w:val="32"/>
        </w:rPr>
        <w:t>Token</w:t>
      </w:r>
      <w:r>
        <w:rPr>
          <w:rFonts w:hint="eastAsia" w:ascii="方正仿宋_GBK" w:hAnsi="方正仿宋_GBK" w:cs="方正仿宋_GBK"/>
          <w:szCs w:val="32"/>
        </w:rPr>
        <w:t>计费资源，主要包括大语言模型、向量模型、模型精调训练、知识库及智能体内置模型调用，按输入/输出</w:t>
      </w:r>
      <w:r>
        <w:rPr>
          <w:rFonts w:cs="Times New Roman"/>
          <w:szCs w:val="32"/>
        </w:rPr>
        <w:t>Token</w:t>
      </w:r>
      <w:r>
        <w:rPr>
          <w:rFonts w:hint="eastAsia" w:ascii="方正仿宋_GBK" w:hAnsi="方正仿宋_GBK" w:cs="方正仿宋_GBK"/>
          <w:szCs w:val="32"/>
        </w:rPr>
        <w:t>量分段计价且缓存命中单独折算；二是非</w:t>
      </w:r>
      <w:r>
        <w:rPr>
          <w:rFonts w:cs="Times New Roman"/>
          <w:szCs w:val="32"/>
        </w:rPr>
        <w:t>Token</w:t>
      </w:r>
      <w:r>
        <w:rPr>
          <w:rFonts w:hint="eastAsia" w:ascii="方正仿宋_GBK" w:hAnsi="方正仿宋_GBK" w:cs="方正仿宋_GBK"/>
          <w:szCs w:val="32"/>
        </w:rPr>
        <w:t>计费资源，需单独核算且不纳入</w:t>
      </w:r>
      <w:r>
        <w:rPr>
          <w:rFonts w:cs="Times New Roman"/>
          <w:szCs w:val="32"/>
        </w:rPr>
        <w:t>Token</w:t>
      </w:r>
      <w:r>
        <w:rPr>
          <w:rFonts w:hint="eastAsia" w:ascii="方正仿宋_GBK" w:hAnsi="方正仿宋_GBK" w:cs="方正仿宋_GBK"/>
          <w:szCs w:val="32"/>
        </w:rPr>
        <w:t>总量，包括按成功出图张数计费的图片生成、按产出视频个数计费的视频生成、按</w:t>
      </w:r>
      <w:r>
        <w:rPr>
          <w:rFonts w:cs="Times New Roman"/>
          <w:szCs w:val="32"/>
        </w:rPr>
        <w:t>3D</w:t>
      </w:r>
      <w:r>
        <w:rPr>
          <w:rFonts w:hint="eastAsia" w:ascii="方正仿宋_GBK" w:hAnsi="方正仿宋_GBK" w:cs="方正仿宋_GBK"/>
          <w:szCs w:val="32"/>
        </w:rPr>
        <w:t>文件产出格式计费的</w:t>
      </w:r>
      <w:r>
        <w:rPr>
          <w:rFonts w:cs="Times New Roman"/>
          <w:szCs w:val="32"/>
        </w:rPr>
        <w:t>3D</w:t>
      </w:r>
      <w:r>
        <w:rPr>
          <w:rFonts w:hint="eastAsia" w:ascii="方正仿宋_GBK" w:hAnsi="方正仿宋_GBK" w:cs="方正仿宋_GBK"/>
          <w:szCs w:val="32"/>
        </w:rPr>
        <w:t>模型、按</w:t>
      </w:r>
      <w:r>
        <w:rPr>
          <w:rFonts w:cs="Times New Roman"/>
          <w:szCs w:val="32"/>
        </w:rPr>
        <w:t>CU</w:t>
      </w:r>
      <w:r>
        <w:rPr>
          <w:rFonts w:hint="eastAsia" w:ascii="方正仿宋_GBK" w:hAnsi="方正仿宋_GBK" w:cs="方正仿宋_GBK"/>
          <w:szCs w:val="32"/>
        </w:rPr>
        <w:t>算力与存储小时计费的知识库、按机型×时长计费的专属推理单元、按小时计费的智能体运行沙箱、按调用千次计费的联网工具插件，测算时需单独归集此类资源成本并叠加至总预算。预算配额配置应坚持如下路径：一是建立多维度的配额层级体系，将配额向下拆解为“全局总配额－部门/业务线配额－用户/应用级配额”的三级管控架构，并针对不同业务场景实施差异化分配与错峰调度；二是实施动态配额与智能路由调度，根据历史调用质量对</w:t>
      </w:r>
      <w:r>
        <w:rPr>
          <w:rFonts w:cs="Times New Roman"/>
          <w:szCs w:val="32"/>
        </w:rPr>
        <w:t>Token配额进</w:t>
      </w:r>
      <w:r>
        <w:rPr>
          <w:rFonts w:hint="eastAsia" w:ascii="方正仿宋_GBK" w:hAnsi="方正仿宋_GBK" w:cs="方正仿宋_GBK"/>
          <w:szCs w:val="32"/>
        </w:rPr>
        <w:t>行信用评估与动态调整，同时结合智能路由策略将基础任务与复杂推理任务分别匹配低成本与高阶模型，从源头优化配额使用效率；三是建立实时配额监控与告警机制，</w:t>
      </w:r>
      <w:r>
        <w:rPr>
          <w:rFonts w:cs="Times New Roman"/>
          <w:szCs w:val="32"/>
        </w:rPr>
        <w:t>为API速率配</w:t>
      </w:r>
      <w:r>
        <w:rPr>
          <w:rFonts w:hint="eastAsia" w:ascii="方正仿宋_GBK" w:hAnsi="方正仿宋_GBK" w:cs="方正仿宋_GBK"/>
          <w:szCs w:val="32"/>
        </w:rPr>
        <w:t>额设定全局告警规则，当使用率达到预设阈值时自动向管理员发送告警通知，以便及时申请提升配额或调整业务策略。具体步骤如下所示。</w:t>
      </w:r>
    </w:p>
    <w:tbl>
      <w:tblPr>
        <w:tblStyle w:val="26"/>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8784"/>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8784" w:type="dxa"/>
          </w:tcPr>
          <w:p>
            <w:pPr>
              <w:widowControl/>
              <w:spacing w:line="440" w:lineRule="exact"/>
              <w:ind w:firstLine="0" w:firstLineChars="0"/>
              <w:jc w:val="center"/>
              <w:rPr>
                <w:rFonts w:hint="default" w:ascii="Times New Roman" w:hAnsi="Times New Roman" w:eastAsia="方正黑体_GBK" w:cs="Times New Roman"/>
                <w:kern w:val="0"/>
                <w:sz w:val="28"/>
                <w:szCs w:val="28"/>
                <w:lang w:bidi="ar"/>
              </w:rPr>
            </w:pPr>
            <w:r>
              <w:rPr>
                <w:rFonts w:hint="default" w:ascii="Times New Roman" w:hAnsi="Times New Roman" w:eastAsia="方正黑体_GBK" w:cs="Times New Roman"/>
                <w:kern w:val="0"/>
                <w:sz w:val="28"/>
                <w:szCs w:val="28"/>
                <w:lang w:bidi="ar"/>
              </w:rPr>
              <w:t>示例：离散型重工业AI资源预算配额测算</w:t>
            </w:r>
          </w:p>
          <w:p>
            <w:pPr>
              <w:widowControl/>
              <w:spacing w:line="440" w:lineRule="exact"/>
              <w:ind w:firstLine="560"/>
              <w:rPr>
                <w:rFonts w:hint="default" w:ascii="Times New Roman" w:hAnsi="Times New Roman" w:cs="Times New Roman"/>
                <w:sz w:val="28"/>
                <w:szCs w:val="22"/>
              </w:rPr>
            </w:pPr>
            <w:r>
              <w:rPr>
                <w:rFonts w:hint="default" w:ascii="Times New Roman" w:hAnsi="Times New Roman" w:cs="Times New Roman"/>
                <w:kern w:val="0"/>
                <w:sz w:val="28"/>
                <w:szCs w:val="28"/>
                <w:lang w:bidi="ar"/>
              </w:rPr>
              <w:t>本示例以大型装备制造企业（离散型重工业典型代表）为测算主体，适配其设备运维、工艺仿真、大型零部件3D建模等核心场景，费用核算均参考火山引擎官方计费标准，按以上流程演示预算配额测算流程，为同类企业Token测算提供实操指导。</w:t>
            </w:r>
          </w:p>
          <w:p>
            <w:pPr>
              <w:widowControl/>
              <w:spacing w:line="440" w:lineRule="exact"/>
              <w:ind w:firstLine="560"/>
              <w:rPr>
                <w:rFonts w:hint="default" w:ascii="Times New Roman" w:hAnsi="Times New Roman" w:cs="Times New Roman"/>
                <w:kern w:val="0"/>
                <w:sz w:val="28"/>
                <w:szCs w:val="28"/>
                <w:lang w:bidi="ar"/>
              </w:rPr>
            </w:pPr>
            <w:r>
              <w:rPr>
                <w:rFonts w:hint="default" w:ascii="Times New Roman" w:hAnsi="Times New Roman" w:cs="Times New Roman"/>
                <w:kern w:val="0"/>
                <w:sz w:val="28"/>
                <w:szCs w:val="28"/>
                <w:lang w:bidi="ar"/>
              </w:rPr>
              <w:t>本示例涉及的各项测算参数，均基于行业普遍经验与公开计费标准设定，核心选取依据如下：</w:t>
            </w:r>
          </w:p>
          <w:p>
            <w:pPr>
              <w:widowControl/>
              <w:spacing w:line="440" w:lineRule="exact"/>
              <w:ind w:firstLine="560"/>
              <w:rPr>
                <w:rFonts w:hint="default" w:ascii="Times New Roman" w:hAnsi="Times New Roman" w:cs="Times New Roman"/>
                <w:kern w:val="0"/>
                <w:sz w:val="28"/>
                <w:szCs w:val="28"/>
                <w:lang w:bidi="ar"/>
              </w:rPr>
            </w:pPr>
            <w:r>
              <w:rPr>
                <w:rFonts w:hint="default" w:ascii="Times New Roman" w:hAnsi="Times New Roman" w:cs="Times New Roman"/>
                <w:kern w:val="0"/>
                <w:sz w:val="28"/>
                <w:szCs w:val="28"/>
                <w:lang w:bidi="ar"/>
              </w:rPr>
              <w:t>1.单次Token消耗参数：结合工业场景典型业务上下文体量确定。设备故障诊断场景匹配设备运行日志、传感器数据、故障案例等常规输入规模，3D建模、向量嵌入、模型精调等场景对应单任务常规消耗量级，均取同类型场景中位经验值。</w:t>
            </w:r>
          </w:p>
          <w:p>
            <w:pPr>
              <w:widowControl/>
              <w:spacing w:line="440" w:lineRule="exact"/>
              <w:ind w:firstLine="560"/>
              <w:rPr>
                <w:rFonts w:hint="default" w:ascii="Times New Roman" w:hAnsi="Times New Roman" w:cs="Times New Roman"/>
                <w:kern w:val="0"/>
                <w:sz w:val="28"/>
                <w:szCs w:val="28"/>
                <w:lang w:bidi="ar"/>
              </w:rPr>
            </w:pPr>
            <w:r>
              <w:rPr>
                <w:rFonts w:hint="default" w:ascii="Times New Roman" w:hAnsi="Times New Roman" w:cs="Times New Roman"/>
                <w:kern w:val="0"/>
                <w:sz w:val="28"/>
                <w:szCs w:val="28"/>
                <w:lang w:bidi="ar"/>
              </w:rPr>
              <w:t>2.业务调用频次参数：以中型装备制造企业常规业务体量为假设基准，对应研发、运维、生产等部门日常工作负荷下的预估调用规模，用于完成测算逻辑的闭环演示。</w:t>
            </w:r>
          </w:p>
          <w:p>
            <w:pPr>
              <w:widowControl/>
              <w:spacing w:line="440" w:lineRule="exact"/>
              <w:ind w:firstLine="560"/>
              <w:rPr>
                <w:rFonts w:hint="default" w:ascii="Times New Roman" w:hAnsi="Times New Roman" w:cs="Times New Roman"/>
                <w:kern w:val="0"/>
                <w:sz w:val="28"/>
                <w:szCs w:val="28"/>
                <w:lang w:bidi="ar"/>
              </w:rPr>
            </w:pPr>
            <w:r>
              <w:rPr>
                <w:rFonts w:hint="default" w:ascii="Times New Roman" w:hAnsi="Times New Roman" w:cs="Times New Roman"/>
                <w:kern w:val="0"/>
                <w:sz w:val="28"/>
                <w:szCs w:val="28"/>
                <w:lang w:bidi="ar"/>
              </w:rPr>
              <w:t>3.效能优化参数：缓存命中率参照工业知识库问答场景行业普遍水平，按40%中位值测算，体现缓存机制对Token消耗的优化效应；弹性冗余额度参照企业IT预算编制常规预留比例，按12%设定。</w:t>
            </w:r>
          </w:p>
          <w:p>
            <w:pPr>
              <w:widowControl/>
              <w:spacing w:line="440" w:lineRule="exact"/>
              <w:ind w:firstLine="560"/>
              <w:rPr>
                <w:rFonts w:hint="default" w:ascii="Times New Roman" w:hAnsi="Times New Roman" w:cs="Times New Roman"/>
                <w:kern w:val="0"/>
                <w:sz w:val="28"/>
                <w:szCs w:val="28"/>
                <w:lang w:bidi="ar"/>
              </w:rPr>
            </w:pPr>
            <w:r>
              <w:rPr>
                <w:rFonts w:hint="default" w:ascii="Times New Roman" w:hAnsi="Times New Roman" w:cs="Times New Roman"/>
                <w:kern w:val="0"/>
                <w:sz w:val="28"/>
                <w:szCs w:val="28"/>
                <w:lang w:bidi="ar"/>
              </w:rPr>
              <w:t>4.费用计价标准：参考主流云厂商对应AI服务公开定价的中间档位估算，非Token计费项目按行业常规服务档位取值。</w:t>
            </w:r>
          </w:p>
          <w:p>
            <w:pPr>
              <w:widowControl/>
              <w:spacing w:line="440" w:lineRule="exact"/>
              <w:ind w:firstLine="560"/>
              <w:rPr>
                <w:rFonts w:hint="default" w:ascii="Times New Roman" w:hAnsi="Times New Roman" w:cs="Times New Roman"/>
                <w:kern w:val="0"/>
                <w:sz w:val="28"/>
                <w:szCs w:val="28"/>
                <w:lang w:bidi="ar"/>
              </w:rPr>
            </w:pPr>
            <w:r>
              <w:rPr>
                <w:rFonts w:hint="default" w:ascii="Times New Roman" w:hAnsi="Times New Roman" w:cs="Times New Roman"/>
                <w:kern w:val="0"/>
                <w:sz w:val="28"/>
                <w:szCs w:val="28"/>
                <w:lang w:bidi="ar"/>
              </w:rPr>
              <w:t>本示例数值仅为演算参照，各企业实际编制预算时，需结合自身业务规模、应用场景深度、模型选型策略及试点运行数据校准参数，不得直接套用示例结果。</w:t>
            </w:r>
          </w:p>
          <w:p>
            <w:pPr>
              <w:widowControl/>
              <w:spacing w:line="440" w:lineRule="exact"/>
              <w:ind w:firstLine="562" w:firstLineChars="0"/>
              <w:rPr>
                <w:rFonts w:hint="default" w:ascii="Times New Roman" w:hAnsi="Times New Roman" w:cs="Times New Roman"/>
                <w:sz w:val="28"/>
                <w:szCs w:val="28"/>
              </w:rPr>
            </w:pPr>
            <w:r>
              <w:rPr>
                <w:rFonts w:hint="default" w:ascii="Times New Roman" w:hAnsi="Times New Roman" w:cs="Times New Roman"/>
                <w:b/>
                <w:bCs/>
                <w:sz w:val="28"/>
                <w:szCs w:val="28"/>
              </w:rPr>
              <w:t>步骤一：应用级用量分项测算</w:t>
            </w:r>
          </w:p>
          <w:p>
            <w:pPr>
              <w:widowControl/>
              <w:spacing w:line="440" w:lineRule="exact"/>
              <w:ind w:firstLine="560" w:firstLineChars="0"/>
              <w:rPr>
                <w:rFonts w:hint="default" w:ascii="Times New Roman" w:hAnsi="Times New Roman" w:cs="Times New Roman"/>
                <w:sz w:val="28"/>
                <w:szCs w:val="28"/>
              </w:rPr>
            </w:pPr>
            <w:r>
              <w:rPr>
                <w:rFonts w:hint="default" w:ascii="Times New Roman" w:hAnsi="Times New Roman" w:cs="Times New Roman"/>
                <w:sz w:val="28"/>
                <w:szCs w:val="28"/>
              </w:rPr>
              <w:t>按“应用单元拆分—单耗参数确认—调用频次估算—日均用量核算”的逻辑开展，将AI应用分为3类共8个单元，区分Token计费与非Token计费分别核算：</w:t>
            </w:r>
          </w:p>
          <w:p>
            <w:pPr>
              <w:widowControl/>
              <w:spacing w:line="440" w:lineRule="exact"/>
              <w:ind w:firstLine="560" w:firstLineChars="0"/>
              <w:rPr>
                <w:rFonts w:hint="default" w:ascii="Times New Roman" w:hAnsi="Times New Roman" w:cs="Times New Roman"/>
                <w:sz w:val="28"/>
                <w:szCs w:val="28"/>
              </w:rPr>
            </w:pPr>
            <w:r>
              <w:rPr>
                <w:rFonts w:hint="default" w:ascii="Times New Roman" w:hAnsi="Times New Roman" w:cs="Times New Roman"/>
                <w:sz w:val="28"/>
                <w:szCs w:val="28"/>
              </w:rPr>
              <w:t>1.业务场景类：设备故障智能诊断（大语言模型，按行业均值40%缓存命中率抵扣输入Token）、零部件3D建模（3D生成模型）、工艺文档智能解析（向量模型）。</w:t>
            </w:r>
          </w:p>
          <w:p>
            <w:pPr>
              <w:widowControl/>
              <w:spacing w:line="440" w:lineRule="exact"/>
              <w:ind w:firstLine="560" w:firstLineChars="0"/>
              <w:rPr>
                <w:rFonts w:hint="default" w:ascii="Times New Roman" w:hAnsi="Times New Roman" w:cs="Times New Roman"/>
                <w:sz w:val="28"/>
                <w:szCs w:val="28"/>
              </w:rPr>
            </w:pPr>
            <w:r>
              <w:rPr>
                <w:rFonts w:hint="default" w:ascii="Times New Roman" w:hAnsi="Times New Roman" w:cs="Times New Roman"/>
                <w:sz w:val="28"/>
                <w:szCs w:val="28"/>
              </w:rPr>
              <w:t>2.支撑服务类：知识库服务、智能体管理、工具插件、模型精调。</w:t>
            </w:r>
          </w:p>
          <w:p>
            <w:pPr>
              <w:widowControl/>
              <w:spacing w:line="440" w:lineRule="exact"/>
              <w:ind w:firstLine="560" w:firstLineChars="0"/>
              <w:rPr>
                <w:rFonts w:hint="default" w:ascii="Times New Roman" w:hAnsi="Times New Roman" w:cs="Times New Roman"/>
                <w:sz w:val="28"/>
                <w:szCs w:val="28"/>
              </w:rPr>
            </w:pPr>
            <w:r>
              <w:rPr>
                <w:rFonts w:hint="default" w:ascii="Times New Roman" w:hAnsi="Times New Roman" w:cs="Times New Roman"/>
                <w:sz w:val="28"/>
                <w:szCs w:val="28"/>
              </w:rPr>
              <w:t>3.算力资源类：专属推理单元。</w:t>
            </w:r>
          </w:p>
          <w:p>
            <w:pPr>
              <w:widowControl/>
              <w:spacing w:line="440" w:lineRule="exact"/>
              <w:ind w:firstLine="560" w:firstLineChars="0"/>
              <w:rPr>
                <w:rFonts w:hint="default" w:ascii="Times New Roman" w:hAnsi="Times New Roman" w:cs="Times New Roman"/>
                <w:sz w:val="28"/>
                <w:szCs w:val="28"/>
              </w:rPr>
            </w:pPr>
            <w:r>
              <w:rPr>
                <w:rFonts w:hint="default" w:ascii="Times New Roman" w:hAnsi="Times New Roman" w:cs="Times New Roman"/>
                <w:sz w:val="28"/>
                <w:szCs w:val="28"/>
              </w:rPr>
              <w:t>各核心单元测算结果（日均口径）：</w:t>
            </w:r>
          </w:p>
          <w:p>
            <w:pPr>
              <w:widowControl/>
              <w:spacing w:line="440" w:lineRule="exact"/>
              <w:ind w:firstLine="560" w:firstLineChars="0"/>
              <w:rPr>
                <w:rFonts w:hint="default" w:ascii="Times New Roman" w:hAnsi="Times New Roman" w:cs="Times New Roman"/>
                <w:sz w:val="28"/>
                <w:szCs w:val="28"/>
              </w:rPr>
            </w:pPr>
            <w:r>
              <w:rPr>
                <w:rFonts w:hint="default" w:ascii="Times New Roman" w:hAnsi="Times New Roman" w:cs="Times New Roman"/>
                <w:sz w:val="28"/>
                <w:szCs w:val="28"/>
              </w:rPr>
              <w:t>设备故障智能诊断：约63万Token，费用1200~1500元。</w:t>
            </w:r>
          </w:p>
          <w:p>
            <w:pPr>
              <w:widowControl/>
              <w:spacing w:line="440" w:lineRule="exact"/>
              <w:ind w:firstLine="560" w:firstLineChars="0"/>
              <w:rPr>
                <w:rFonts w:hint="default" w:ascii="Times New Roman" w:hAnsi="Times New Roman" w:cs="Times New Roman"/>
                <w:sz w:val="28"/>
                <w:szCs w:val="28"/>
              </w:rPr>
            </w:pPr>
            <w:r>
              <w:rPr>
                <w:rFonts w:hint="default" w:ascii="Times New Roman" w:hAnsi="Times New Roman" w:cs="Times New Roman"/>
                <w:sz w:val="28"/>
                <w:szCs w:val="28"/>
              </w:rPr>
              <w:t>零部件3D建模：约1500万Token，月度费用8000~10000元</w:t>
            </w:r>
          </w:p>
          <w:p>
            <w:pPr>
              <w:widowControl/>
              <w:spacing w:line="440" w:lineRule="exact"/>
              <w:ind w:firstLine="560" w:firstLineChars="0"/>
              <w:rPr>
                <w:rFonts w:hint="default" w:ascii="Times New Roman" w:hAnsi="Times New Roman" w:cs="Times New Roman"/>
                <w:sz w:val="28"/>
                <w:szCs w:val="28"/>
              </w:rPr>
            </w:pPr>
            <w:r>
              <w:rPr>
                <w:rFonts w:hint="default" w:ascii="Times New Roman" w:hAnsi="Times New Roman" w:cs="Times New Roman"/>
                <w:sz w:val="28"/>
                <w:szCs w:val="28"/>
              </w:rPr>
              <w:t>工艺文档智能解析：约17万Token，月度费用600~800元</w:t>
            </w:r>
          </w:p>
          <w:p>
            <w:pPr>
              <w:widowControl/>
              <w:spacing w:line="440" w:lineRule="exact"/>
              <w:ind w:firstLine="560" w:firstLineChars="0"/>
              <w:rPr>
                <w:rFonts w:hint="default" w:ascii="Times New Roman" w:hAnsi="Times New Roman" w:cs="Times New Roman"/>
                <w:sz w:val="28"/>
                <w:szCs w:val="28"/>
              </w:rPr>
            </w:pPr>
            <w:r>
              <w:rPr>
                <w:rFonts w:hint="default" w:ascii="Times New Roman" w:hAnsi="Times New Roman" w:cs="Times New Roman"/>
                <w:sz w:val="28"/>
                <w:szCs w:val="28"/>
              </w:rPr>
              <w:t>模型精调（LoRA）：约27万Token，月度费用2500~3000元</w:t>
            </w:r>
          </w:p>
          <w:p>
            <w:pPr>
              <w:widowControl/>
              <w:spacing w:line="440" w:lineRule="exact"/>
              <w:ind w:firstLine="560"/>
              <w:rPr>
                <w:rFonts w:hint="default" w:ascii="Times New Roman" w:hAnsi="Times New Roman" w:cs="Times New Roman"/>
                <w:sz w:val="28"/>
                <w:szCs w:val="28"/>
              </w:rPr>
            </w:pPr>
            <w:r>
              <w:rPr>
                <w:rFonts w:hint="default" w:ascii="Times New Roman" w:hAnsi="Times New Roman" w:cs="Times New Roman"/>
                <w:sz w:val="28"/>
                <w:szCs w:val="28"/>
              </w:rPr>
              <w:t>知识库、智能体管理、工具插件、专属推理单元为非Token计费，按月度固定/混合口径核算成本，不纳入Token总量统计。</w:t>
            </w:r>
          </w:p>
          <w:p>
            <w:pPr>
              <w:widowControl/>
              <w:spacing w:line="440" w:lineRule="exact"/>
              <w:ind w:firstLine="562" w:firstLineChars="0"/>
              <w:rPr>
                <w:rFonts w:hint="default" w:ascii="Times New Roman" w:hAnsi="Times New Roman" w:cs="Times New Roman"/>
                <w:sz w:val="28"/>
                <w:szCs w:val="28"/>
              </w:rPr>
            </w:pPr>
            <w:r>
              <w:rPr>
                <w:rFonts w:hint="default" w:ascii="Times New Roman" w:hAnsi="Times New Roman" w:cs="Times New Roman"/>
                <w:b/>
                <w:bCs/>
                <w:sz w:val="28"/>
                <w:szCs w:val="28"/>
              </w:rPr>
              <w:t>步骤二：部门级配额汇总</w:t>
            </w:r>
          </w:p>
          <w:p>
            <w:pPr>
              <w:widowControl/>
              <w:spacing w:line="440" w:lineRule="exact"/>
              <w:ind w:firstLine="560" w:firstLineChars="0"/>
              <w:rPr>
                <w:rFonts w:hint="default" w:ascii="Times New Roman" w:hAnsi="Times New Roman" w:cs="Times New Roman"/>
                <w:sz w:val="28"/>
                <w:szCs w:val="28"/>
              </w:rPr>
            </w:pPr>
            <w:r>
              <w:rPr>
                <w:rFonts w:hint="default" w:ascii="Times New Roman" w:hAnsi="Times New Roman" w:cs="Times New Roman"/>
                <w:sz w:val="28"/>
                <w:szCs w:val="28"/>
              </w:rPr>
              <w:t>按企业组织架构将应用单元归口至对应部门，分类汇总Token用量并叠加专属费用，形成部门年度预算：</w:t>
            </w:r>
          </w:p>
          <w:p>
            <w:pPr>
              <w:widowControl/>
              <w:spacing w:line="440" w:lineRule="exact"/>
              <w:ind w:firstLine="560" w:firstLineChars="0"/>
              <w:rPr>
                <w:rFonts w:hint="default" w:ascii="Times New Roman" w:hAnsi="Times New Roman" w:cs="Times New Roman"/>
                <w:sz w:val="28"/>
                <w:szCs w:val="28"/>
              </w:rPr>
            </w:pPr>
            <w:r>
              <w:rPr>
                <w:rFonts w:hint="default" w:ascii="Times New Roman" w:hAnsi="Times New Roman" w:cs="Times New Roman"/>
                <w:sz w:val="28"/>
                <w:szCs w:val="28"/>
              </w:rPr>
              <w:t>1.研发部：归口3D建模、文档解析、模型精调，日均Token约1543万，年度Token约55.5亿，年度推理费用约5.6万元；无专属非Token费用，年度总预算约5.6万元。</w:t>
            </w:r>
          </w:p>
          <w:p>
            <w:pPr>
              <w:widowControl/>
              <w:spacing w:line="440" w:lineRule="exact"/>
              <w:ind w:firstLine="560" w:firstLineChars="0"/>
              <w:rPr>
                <w:rFonts w:hint="default" w:ascii="Times New Roman" w:hAnsi="Times New Roman" w:cs="Times New Roman"/>
                <w:sz w:val="28"/>
                <w:szCs w:val="28"/>
              </w:rPr>
            </w:pPr>
            <w:r>
              <w:rPr>
                <w:rFonts w:hint="default" w:ascii="Times New Roman" w:hAnsi="Times New Roman" w:cs="Times New Roman"/>
                <w:sz w:val="28"/>
                <w:szCs w:val="28"/>
              </w:rPr>
              <w:t>2.设备运维部：归口故障诊断、知识库、智能体管理，日均Token约63万，年度Token约2.3亿，年度推理费用约0.34万元；叠加知识库、智能体年度专属费用约3.3万元，年度总预算约3.6万元。</w:t>
            </w:r>
          </w:p>
          <w:p>
            <w:pPr>
              <w:widowControl/>
              <w:spacing w:line="440" w:lineRule="exact"/>
              <w:ind w:firstLine="560" w:firstLineChars="0"/>
              <w:rPr>
                <w:rFonts w:hint="default" w:ascii="Times New Roman" w:hAnsi="Times New Roman" w:cs="Times New Roman"/>
                <w:sz w:val="28"/>
                <w:szCs w:val="28"/>
              </w:rPr>
            </w:pPr>
            <w:r>
              <w:rPr>
                <w:rFonts w:hint="default" w:ascii="Times New Roman" w:hAnsi="Times New Roman" w:cs="Times New Roman"/>
                <w:sz w:val="28"/>
                <w:szCs w:val="28"/>
              </w:rPr>
              <w:t>3.生产保障部：归口工具插件、专属推理单元，无Token消耗，年度专属费用约5.9万元，年度总预算约5.9万元。</w:t>
            </w:r>
          </w:p>
          <w:p>
            <w:pPr>
              <w:widowControl/>
              <w:spacing w:line="440" w:lineRule="exact"/>
              <w:ind w:firstLine="560"/>
              <w:rPr>
                <w:rFonts w:hint="default" w:ascii="Times New Roman" w:hAnsi="Times New Roman" w:cs="Times New Roman"/>
                <w:sz w:val="28"/>
                <w:szCs w:val="28"/>
              </w:rPr>
            </w:pPr>
            <w:r>
              <w:rPr>
                <w:rFonts w:hint="default" w:ascii="Times New Roman" w:hAnsi="Times New Roman" w:cs="Times New Roman"/>
                <w:sz w:val="28"/>
                <w:szCs w:val="28"/>
              </w:rPr>
              <w:t>全部门年度总Token约57.8亿，部门合计年度预算约15.1万元。</w:t>
            </w:r>
          </w:p>
          <w:p>
            <w:pPr>
              <w:widowControl/>
              <w:spacing w:line="440" w:lineRule="exact"/>
              <w:ind w:firstLine="562" w:firstLineChars="0"/>
              <w:rPr>
                <w:rFonts w:hint="default" w:ascii="Times New Roman" w:hAnsi="Times New Roman" w:cs="Times New Roman"/>
                <w:sz w:val="28"/>
                <w:szCs w:val="28"/>
              </w:rPr>
            </w:pPr>
            <w:r>
              <w:rPr>
                <w:rFonts w:hint="default" w:ascii="Times New Roman" w:hAnsi="Times New Roman" w:cs="Times New Roman"/>
                <w:b/>
                <w:bCs/>
                <w:sz w:val="28"/>
                <w:szCs w:val="28"/>
              </w:rPr>
              <w:t>步骤三：企业级总预算与全局配额核定</w:t>
            </w:r>
          </w:p>
          <w:p>
            <w:pPr>
              <w:widowControl/>
              <w:spacing w:line="440" w:lineRule="exact"/>
              <w:ind w:firstLine="560" w:firstLineChars="0"/>
              <w:rPr>
                <w:rFonts w:hint="default" w:ascii="Times New Roman" w:hAnsi="Times New Roman" w:cs="Times New Roman"/>
                <w:sz w:val="28"/>
                <w:szCs w:val="28"/>
              </w:rPr>
            </w:pPr>
            <w:r>
              <w:rPr>
                <w:rFonts w:hint="default" w:ascii="Times New Roman" w:hAnsi="Times New Roman" w:cs="Times New Roman"/>
                <w:sz w:val="28"/>
                <w:szCs w:val="28"/>
              </w:rPr>
              <w:t>在部门预算基础上，叠加企业统筹费用与弹性冗余，核定全局核心指标：</w:t>
            </w:r>
          </w:p>
          <w:p>
            <w:pPr>
              <w:widowControl/>
              <w:spacing w:line="440" w:lineRule="exact"/>
              <w:ind w:firstLine="560" w:firstLineChars="0"/>
              <w:rPr>
                <w:rFonts w:hint="default" w:ascii="Times New Roman" w:hAnsi="Times New Roman" w:cs="Times New Roman"/>
                <w:sz w:val="28"/>
                <w:szCs w:val="28"/>
              </w:rPr>
            </w:pPr>
            <w:r>
              <w:rPr>
                <w:rFonts w:hint="default" w:ascii="Times New Roman" w:hAnsi="Times New Roman" w:cs="Times New Roman"/>
                <w:sz w:val="28"/>
                <w:szCs w:val="28"/>
              </w:rPr>
              <w:t>1.企业统筹专项费用：覆盖跨部门共享的知识库、智能体、算力底座等年度支出，合计约2万元。</w:t>
            </w:r>
          </w:p>
          <w:p>
            <w:pPr>
              <w:widowControl/>
              <w:spacing w:line="440" w:lineRule="exact"/>
              <w:ind w:firstLine="560" w:firstLineChars="0"/>
              <w:rPr>
                <w:rFonts w:hint="default" w:ascii="Times New Roman" w:hAnsi="Times New Roman" w:cs="Times New Roman"/>
                <w:sz w:val="28"/>
                <w:szCs w:val="28"/>
              </w:rPr>
            </w:pPr>
            <w:r>
              <w:rPr>
                <w:rFonts w:hint="default" w:ascii="Times New Roman" w:hAnsi="Times New Roman" w:cs="Times New Roman"/>
                <w:sz w:val="28"/>
                <w:szCs w:val="28"/>
              </w:rPr>
              <w:t>2.弹性冗余额度：按“部门预算+专项费用”的12%预留，应对业务波动与临时需求，约2万元。</w:t>
            </w:r>
          </w:p>
          <w:p>
            <w:pPr>
              <w:widowControl w:val="0"/>
              <w:spacing w:line="440" w:lineRule="exact"/>
              <w:ind w:firstLine="560" w:firstLineChars="0"/>
              <w:rPr>
                <w:rFonts w:hint="default" w:ascii="Times New Roman" w:hAnsi="Times New Roman" w:cs="Times New Roman"/>
              </w:rPr>
            </w:pPr>
            <w:r>
              <w:rPr>
                <w:rFonts w:hint="default" w:ascii="Times New Roman" w:hAnsi="Times New Roman" w:cs="Times New Roman"/>
                <w:sz w:val="28"/>
                <w:szCs w:val="28"/>
              </w:rPr>
              <w:t>3.全局核定结果：年度Token配额上限约57.8亿，年度AI资源总预算约19.1万元，最终形成企业级核定文件，明确全局Token配额上限及年度总预算，作为后续配额管控的核心依据。</w:t>
            </w:r>
          </w:p>
          <w:p>
            <w:pPr>
              <w:widowControl/>
              <w:spacing w:line="440" w:lineRule="exact"/>
              <w:ind w:firstLine="562"/>
              <w:rPr>
                <w:rFonts w:hint="default" w:ascii="Times New Roman" w:hAnsi="Times New Roman" w:cs="Times New Roman"/>
                <w:b/>
                <w:bCs/>
                <w:sz w:val="28"/>
                <w:szCs w:val="28"/>
              </w:rPr>
            </w:pPr>
            <w:r>
              <w:rPr>
                <w:rFonts w:hint="default" w:ascii="Times New Roman" w:hAnsi="Times New Roman" w:cs="Times New Roman"/>
                <w:b/>
                <w:bCs/>
                <w:sz w:val="28"/>
                <w:szCs w:val="28"/>
              </w:rPr>
              <w:t>步骤四：配额管控机制技术部署</w:t>
            </w:r>
          </w:p>
          <w:p>
            <w:pPr>
              <w:widowControl/>
              <w:spacing w:line="440" w:lineRule="exact"/>
              <w:ind w:firstLine="560"/>
              <w:rPr>
                <w:rFonts w:hint="default" w:ascii="Times New Roman" w:hAnsi="Times New Roman" w:cs="Times New Roman"/>
                <w:sz w:val="28"/>
                <w:szCs w:val="28"/>
              </w:rPr>
            </w:pPr>
            <w:r>
              <w:rPr>
                <w:rFonts w:hint="default" w:ascii="Times New Roman" w:hAnsi="Times New Roman" w:cs="Times New Roman"/>
                <w:sz w:val="28"/>
                <w:szCs w:val="28"/>
              </w:rPr>
              <w:t>基于核定的预算与配额，部署管控规则：一是配置分级阈值，明确各部门、各应用月度Token硬上限；非Token资源设定专属推理单元算力、知识库存储容量、3D生成次数等管控上限；二是执行刚性约束，落实“无配额不接入”规则，超配额请求自动拦截或路由至低消耗模型；三是搭建可视化监控体系，实时监控各层级配额使用情况，标记高成本低效应用；四是完善管控流程，明确配额调整、异常处置的责任主体与操作规范。</w:t>
            </w:r>
          </w:p>
          <w:p>
            <w:pPr>
              <w:widowControl/>
              <w:spacing w:line="440" w:lineRule="exact"/>
              <w:ind w:firstLine="562"/>
              <w:rPr>
                <w:rFonts w:hint="default" w:ascii="Times New Roman" w:hAnsi="Times New Roman" w:cs="Times New Roman"/>
                <w:b/>
                <w:bCs/>
                <w:sz w:val="28"/>
                <w:szCs w:val="28"/>
              </w:rPr>
            </w:pPr>
            <w:r>
              <w:rPr>
                <w:rFonts w:hint="default" w:ascii="Times New Roman" w:hAnsi="Times New Roman" w:cs="Times New Roman"/>
                <w:b/>
                <w:bCs/>
                <w:sz w:val="28"/>
                <w:szCs w:val="28"/>
              </w:rPr>
              <w:t>步骤五：动态效能迭代优化闭环</w:t>
            </w:r>
          </w:p>
          <w:p>
            <w:pPr>
              <w:widowControl/>
              <w:spacing w:line="440" w:lineRule="exact"/>
              <w:ind w:firstLine="560"/>
              <w:rPr>
                <w:rFonts w:hint="eastAsia" w:ascii="方正仿宋_GBK" w:hAnsi="方正仿宋_GBK" w:cs="方正仿宋_GBK"/>
                <w:kern w:val="0"/>
                <w:szCs w:val="32"/>
                <w:lang w:bidi="ar"/>
              </w:rPr>
            </w:pPr>
            <w:r>
              <w:rPr>
                <w:rFonts w:hint="default" w:ascii="Times New Roman" w:hAnsi="Times New Roman" w:cs="Times New Roman"/>
                <w:sz w:val="28"/>
                <w:szCs w:val="28"/>
              </w:rPr>
              <w:t>建立“月度评估—年度迭代”的优化机制：一是按月开展效能评估，联动设备故障诊断准确率、运维效率、研发周期缩短时长等核心指标，区分高效能与低效能场景；二是对设备故障诊断、3D建模等高ROI场景适度上浮配额，对使用率不足60%的低效应用核减冗余额度；三是每年结合装备升级、产线扩产，重新执行全流程测算，更新配额与预算；四是对比火山引擎多种计费方案，择优切换降低单位算力成本，提升AI资源投放效益。</w:t>
            </w:r>
          </w:p>
        </w:tc>
      </w:tr>
    </w:tbl>
    <w:p>
      <w:pPr>
        <w:ind w:firstLine="643" w:firstLineChars="0"/>
        <w:rPr>
          <w:rFonts w:hint="eastAsia" w:ascii="方正仿宋_GBK" w:hAnsi="方正仿宋_GBK" w:cs="方正仿宋_GBK"/>
          <w:szCs w:val="32"/>
        </w:rPr>
      </w:pPr>
      <w:r>
        <w:rPr>
          <w:rFonts w:hint="eastAsia" w:ascii="方正仿宋_GBK" w:hAnsi="方正仿宋_GBK" w:cs="方正仿宋_GBK"/>
          <w:szCs w:val="32"/>
        </w:rPr>
        <w:t>在构建上述配额管理时，可以引入</w:t>
      </w:r>
      <w:r>
        <w:rPr>
          <w:rFonts w:cs="Times New Roman"/>
          <w:szCs w:val="32"/>
        </w:rPr>
        <w:t>LiteLLM、Quotio或Apache APISIX等开源代理网关工具，通过构建统一的本地API接入层，</w:t>
      </w:r>
      <w:r>
        <w:rPr>
          <w:rFonts w:hint="eastAsia" w:ascii="方正仿宋_GBK" w:hAnsi="方正仿宋_GBK" w:cs="方正仿宋_GBK"/>
          <w:szCs w:val="32"/>
        </w:rPr>
        <w:t>通过能够原生支持生产级的速率限制、请求缓存与全链路成本追踪，从而在技术底层保障多级配额架构的精准落地、硬性熔断机制的可靠触发以及动态路由策略的自动化执行，将原本黑盒的公有云调用转化为“可见、可归因、可控”的精细化运营体系。</w:t>
      </w:r>
    </w:p>
    <w:p>
      <w:pPr>
        <w:ind w:firstLine="0" w:firstLineChars="0"/>
        <w:jc w:val="center"/>
        <w:rPr>
          <w:rFonts w:hint="default" w:ascii="Times New Roman" w:hAnsi="Times New Roman" w:eastAsia="方正黑体_GBK" w:cs="Times New Roman"/>
          <w:szCs w:val="32"/>
        </w:rPr>
      </w:pPr>
      <w:r>
        <w:rPr>
          <w:rFonts w:hint="default" w:ascii="Times New Roman" w:hAnsi="Times New Roman" w:eastAsia="方正黑体_GBK" w:cs="Times New Roman"/>
          <w:sz w:val="24"/>
          <w:szCs w:val="21"/>
        </w:rPr>
        <w:t>表</w:t>
      </w:r>
      <w:r>
        <w:rPr>
          <w:rFonts w:hint="default" w:ascii="Times New Roman" w:hAnsi="Times New Roman" w:eastAsia="方正黑体_GBK" w:cs="Times New Roman"/>
          <w:sz w:val="24"/>
          <w:szCs w:val="21"/>
        </w:rPr>
        <w:fldChar w:fldCharType="begin"/>
      </w:r>
      <w:r>
        <w:rPr>
          <w:rFonts w:hint="default" w:ascii="Times New Roman" w:hAnsi="Times New Roman" w:eastAsia="方正黑体_GBK" w:cs="Times New Roman"/>
          <w:sz w:val="24"/>
          <w:szCs w:val="21"/>
        </w:rPr>
        <w:instrText xml:space="preserve"> SEQ 表 \* ARABIC </w:instrText>
      </w:r>
      <w:r>
        <w:rPr>
          <w:rFonts w:hint="default" w:ascii="Times New Roman" w:hAnsi="Times New Roman" w:eastAsia="方正黑体_GBK" w:cs="Times New Roman"/>
          <w:sz w:val="24"/>
          <w:szCs w:val="21"/>
        </w:rPr>
        <w:fldChar w:fldCharType="separate"/>
      </w:r>
      <w:r>
        <w:rPr>
          <w:rFonts w:hint="default" w:ascii="Times New Roman" w:hAnsi="Times New Roman" w:eastAsia="方正黑体_GBK" w:cs="Times New Roman"/>
          <w:sz w:val="24"/>
          <w:szCs w:val="21"/>
        </w:rPr>
        <w:t>5</w:t>
      </w:r>
      <w:r>
        <w:rPr>
          <w:rFonts w:hint="default" w:ascii="Times New Roman" w:hAnsi="Times New Roman" w:eastAsia="方正黑体_GBK" w:cs="Times New Roman"/>
          <w:sz w:val="24"/>
          <w:szCs w:val="21"/>
        </w:rPr>
        <w:fldChar w:fldCharType="end"/>
      </w:r>
      <w:r>
        <w:rPr>
          <w:rFonts w:hint="default" w:ascii="Times New Roman" w:hAnsi="Times New Roman" w:eastAsia="方正黑体_GBK" w:cs="Times New Roman"/>
          <w:sz w:val="24"/>
          <w:szCs w:val="21"/>
        </w:rPr>
        <w:t xml:space="preserve"> 主要配额管理开源工具介绍</w:t>
      </w:r>
    </w:p>
    <w:tbl>
      <w:tblPr>
        <w:tblStyle w:val="25"/>
        <w:tblW w:w="5000" w:type="pct"/>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15" w:type="dxa"/>
          <w:left w:w="15" w:type="dxa"/>
          <w:bottom w:w="15" w:type="dxa"/>
          <w:right w:w="15" w:type="dxa"/>
        </w:tblCellMar>
      </w:tblPr>
      <w:tblGrid>
        <w:gridCol w:w="1375"/>
        <w:gridCol w:w="1534"/>
        <w:gridCol w:w="2603"/>
        <w:gridCol w:w="1686"/>
        <w:gridCol w:w="1771"/>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5" w:type="dxa"/>
            <w:left w:w="15" w:type="dxa"/>
            <w:bottom w:w="15" w:type="dxa"/>
            <w:right w:w="15" w:type="dxa"/>
          </w:tblCellMar>
        </w:tblPrEx>
        <w:trPr>
          <w:tblHeader/>
          <w:jc w:val="center"/>
        </w:trPr>
        <w:tc>
          <w:tcPr>
            <w:tcW w:w="767" w:type="pct"/>
            <w:tcMar>
              <w:top w:w="75" w:type="dxa"/>
              <w:left w:w="0" w:type="dxa"/>
              <w:bottom w:w="75" w:type="dxa"/>
              <w:right w:w="120" w:type="dxa"/>
            </w:tcMar>
            <w:vAlign w:val="center"/>
          </w:tcPr>
          <w:p>
            <w:pPr>
              <w:spacing w:line="320" w:lineRule="exact"/>
              <w:ind w:firstLine="0" w:firstLineChars="0"/>
              <w:jc w:val="center"/>
              <w:rPr>
                <w:rFonts w:hint="eastAsia" w:ascii="方正黑体_GBK" w:hAnsi="方正黑体_GBK" w:eastAsia="方正黑体_GBK" w:cs="方正黑体_GBK"/>
                <w:color w:val="000000"/>
                <w:sz w:val="22"/>
                <w:szCs w:val="22"/>
              </w:rPr>
            </w:pPr>
            <w:r>
              <w:rPr>
                <w:rFonts w:hint="eastAsia" w:ascii="方正黑体_GBK" w:hAnsi="方正黑体_GBK" w:eastAsia="方正黑体_GBK" w:cs="方正黑体_GBK"/>
                <w:color w:val="000000"/>
                <w:sz w:val="22"/>
                <w:szCs w:val="22"/>
                <w:lang w:bidi="ar"/>
              </w:rPr>
              <w:t>工具名称</w:t>
            </w:r>
          </w:p>
        </w:tc>
        <w:tc>
          <w:tcPr>
            <w:tcW w:w="855" w:type="pct"/>
            <w:tcMar>
              <w:top w:w="75" w:type="dxa"/>
              <w:left w:w="120" w:type="dxa"/>
              <w:bottom w:w="75" w:type="dxa"/>
              <w:right w:w="120" w:type="dxa"/>
            </w:tcMar>
            <w:vAlign w:val="center"/>
          </w:tcPr>
          <w:p>
            <w:pPr>
              <w:spacing w:line="320" w:lineRule="exact"/>
              <w:ind w:firstLine="0" w:firstLineChars="0"/>
              <w:jc w:val="center"/>
              <w:rPr>
                <w:rFonts w:hint="eastAsia" w:ascii="方正黑体_GBK" w:hAnsi="方正黑体_GBK" w:eastAsia="方正黑体_GBK" w:cs="方正黑体_GBK"/>
                <w:color w:val="000000"/>
                <w:sz w:val="22"/>
                <w:szCs w:val="22"/>
              </w:rPr>
            </w:pPr>
            <w:r>
              <w:rPr>
                <w:rFonts w:hint="eastAsia" w:ascii="方正黑体_GBK" w:hAnsi="方正黑体_GBK" w:eastAsia="方正黑体_GBK" w:cs="方正黑体_GBK"/>
                <w:color w:val="000000"/>
                <w:sz w:val="22"/>
                <w:szCs w:val="22"/>
                <w:lang w:bidi="ar"/>
              </w:rPr>
              <w:t>功能定位</w:t>
            </w:r>
          </w:p>
        </w:tc>
        <w:tc>
          <w:tcPr>
            <w:tcW w:w="1451" w:type="pct"/>
            <w:tcMar>
              <w:top w:w="75" w:type="dxa"/>
              <w:left w:w="120" w:type="dxa"/>
              <w:bottom w:w="75" w:type="dxa"/>
              <w:right w:w="120" w:type="dxa"/>
            </w:tcMar>
            <w:vAlign w:val="center"/>
          </w:tcPr>
          <w:p>
            <w:pPr>
              <w:spacing w:line="320" w:lineRule="exact"/>
              <w:ind w:firstLine="0" w:firstLineChars="0"/>
              <w:jc w:val="center"/>
              <w:rPr>
                <w:rFonts w:hint="eastAsia" w:ascii="方正黑体_GBK" w:hAnsi="方正黑体_GBK" w:eastAsia="方正黑体_GBK" w:cs="方正黑体_GBK"/>
                <w:color w:val="000000"/>
                <w:sz w:val="22"/>
                <w:szCs w:val="22"/>
              </w:rPr>
            </w:pPr>
            <w:r>
              <w:rPr>
                <w:rFonts w:hint="eastAsia" w:ascii="方正黑体_GBK" w:hAnsi="方正黑体_GBK" w:eastAsia="方正黑体_GBK" w:cs="方正黑体_GBK"/>
                <w:color w:val="000000"/>
                <w:sz w:val="22"/>
                <w:szCs w:val="22"/>
                <w:lang w:bidi="ar"/>
              </w:rPr>
              <w:t>核心功能</w:t>
            </w:r>
          </w:p>
        </w:tc>
        <w:tc>
          <w:tcPr>
            <w:tcW w:w="940" w:type="pct"/>
            <w:tcMar>
              <w:top w:w="75" w:type="dxa"/>
              <w:left w:w="120" w:type="dxa"/>
              <w:bottom w:w="75" w:type="dxa"/>
              <w:right w:w="120" w:type="dxa"/>
            </w:tcMar>
            <w:vAlign w:val="center"/>
          </w:tcPr>
          <w:p>
            <w:pPr>
              <w:spacing w:line="320" w:lineRule="exact"/>
              <w:ind w:firstLine="0" w:firstLineChars="0"/>
              <w:jc w:val="center"/>
              <w:rPr>
                <w:rFonts w:hint="eastAsia" w:ascii="方正黑体_GBK" w:hAnsi="方正黑体_GBK" w:eastAsia="方正黑体_GBK" w:cs="方正黑体_GBK"/>
                <w:color w:val="000000"/>
                <w:sz w:val="22"/>
                <w:szCs w:val="22"/>
              </w:rPr>
            </w:pPr>
            <w:r>
              <w:rPr>
                <w:rFonts w:hint="eastAsia" w:ascii="方正黑体_GBK" w:hAnsi="方正黑体_GBK" w:eastAsia="方正黑体_GBK" w:cs="方正黑体_GBK"/>
                <w:color w:val="000000"/>
                <w:sz w:val="22"/>
                <w:szCs w:val="22"/>
                <w:lang w:bidi="ar"/>
              </w:rPr>
              <w:t>优化原理</w:t>
            </w:r>
          </w:p>
        </w:tc>
        <w:tc>
          <w:tcPr>
            <w:tcW w:w="987" w:type="pct"/>
            <w:tcMar>
              <w:top w:w="75" w:type="dxa"/>
              <w:left w:w="120" w:type="dxa"/>
              <w:bottom w:w="75" w:type="dxa"/>
              <w:right w:w="120" w:type="dxa"/>
            </w:tcMar>
            <w:vAlign w:val="center"/>
          </w:tcPr>
          <w:p>
            <w:pPr>
              <w:spacing w:line="320" w:lineRule="exact"/>
              <w:ind w:firstLine="0" w:firstLineChars="0"/>
              <w:jc w:val="center"/>
              <w:rPr>
                <w:rFonts w:hint="eastAsia" w:ascii="方正黑体_GBK" w:hAnsi="方正黑体_GBK" w:eastAsia="方正黑体_GBK" w:cs="方正黑体_GBK"/>
                <w:color w:val="000000"/>
                <w:sz w:val="22"/>
                <w:szCs w:val="22"/>
              </w:rPr>
            </w:pPr>
            <w:r>
              <w:rPr>
                <w:rFonts w:hint="eastAsia" w:ascii="方正黑体_GBK" w:hAnsi="方正黑体_GBK" w:eastAsia="方正黑体_GBK" w:cs="方正黑体_GBK"/>
                <w:color w:val="000000"/>
                <w:sz w:val="22"/>
                <w:szCs w:val="22"/>
                <w:lang w:bidi="ar"/>
              </w:rPr>
              <w:t>适用场景</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5" w:type="dxa"/>
            <w:left w:w="15" w:type="dxa"/>
            <w:bottom w:w="15" w:type="dxa"/>
            <w:right w:w="15" w:type="dxa"/>
          </w:tblCellMar>
        </w:tblPrEx>
        <w:trPr>
          <w:jc w:val="center"/>
        </w:trPr>
        <w:tc>
          <w:tcPr>
            <w:tcW w:w="767" w:type="pct"/>
            <w:tcMar>
              <w:top w:w="75" w:type="dxa"/>
              <w:left w:w="0" w:type="dxa"/>
              <w:bottom w:w="75" w:type="dxa"/>
              <w:right w:w="120" w:type="dxa"/>
            </w:tcMar>
            <w:vAlign w:val="center"/>
          </w:tcPr>
          <w:p>
            <w:pPr>
              <w:spacing w:line="320" w:lineRule="exact"/>
              <w:ind w:firstLine="0" w:firstLineChars="0"/>
              <w:jc w:val="center"/>
              <w:rPr>
                <w:rFonts w:cs="Times New Roman"/>
                <w:kern w:val="0"/>
                <w:sz w:val="21"/>
                <w:szCs w:val="21"/>
                <w:lang w:bidi="ar"/>
              </w:rPr>
            </w:pPr>
            <w:r>
              <w:rPr>
                <w:rFonts w:cs="Times New Roman"/>
                <w:kern w:val="0"/>
                <w:sz w:val="21"/>
                <w:szCs w:val="21"/>
                <w:lang w:bidi="ar"/>
              </w:rPr>
              <w:t>LiteLLM</w:t>
            </w:r>
          </w:p>
        </w:tc>
        <w:tc>
          <w:tcPr>
            <w:tcW w:w="855" w:type="pct"/>
            <w:tcMar>
              <w:top w:w="75" w:type="dxa"/>
              <w:left w:w="120" w:type="dxa"/>
              <w:bottom w:w="75" w:type="dxa"/>
              <w:right w:w="120" w:type="dxa"/>
            </w:tcMar>
            <w:vAlign w:val="center"/>
          </w:tcPr>
          <w:p>
            <w:pPr>
              <w:spacing w:line="320" w:lineRule="exact"/>
              <w:ind w:firstLine="0" w:firstLineChars="0"/>
              <w:jc w:val="center"/>
              <w:rPr>
                <w:rFonts w:cs="Times New Roman"/>
                <w:kern w:val="0"/>
                <w:sz w:val="21"/>
                <w:szCs w:val="21"/>
                <w:lang w:bidi="ar"/>
              </w:rPr>
            </w:pPr>
            <w:r>
              <w:rPr>
                <w:rFonts w:cs="Times New Roman"/>
                <w:kern w:val="0"/>
                <w:sz w:val="21"/>
                <w:szCs w:val="21"/>
                <w:lang w:bidi="ar"/>
              </w:rPr>
              <w:t>统一API网关</w:t>
            </w:r>
          </w:p>
        </w:tc>
        <w:tc>
          <w:tcPr>
            <w:tcW w:w="1451" w:type="pct"/>
            <w:tcMar>
              <w:top w:w="75" w:type="dxa"/>
              <w:left w:w="120" w:type="dxa"/>
              <w:bottom w:w="75" w:type="dxa"/>
              <w:right w:w="120" w:type="dxa"/>
            </w:tcMar>
            <w:vAlign w:val="center"/>
          </w:tcPr>
          <w:p>
            <w:pPr>
              <w:spacing w:line="320" w:lineRule="exact"/>
              <w:ind w:firstLine="0" w:firstLineChars="0"/>
              <w:rPr>
                <w:rFonts w:cs="Times New Roman"/>
                <w:kern w:val="0"/>
                <w:sz w:val="21"/>
                <w:szCs w:val="21"/>
                <w:lang w:bidi="ar"/>
              </w:rPr>
            </w:pPr>
            <w:r>
              <w:rPr>
                <w:rFonts w:cs="Times New Roman"/>
                <w:kern w:val="0"/>
                <w:sz w:val="21"/>
                <w:szCs w:val="21"/>
                <w:lang w:bidi="ar"/>
              </w:rPr>
              <w:t>提供OpenAI兼容接口，接入100+种LLM；网关层自动Token计数与成本归算；按Key/用户/团队设置预算与速率限制；模型降级路由</w:t>
            </w:r>
          </w:p>
        </w:tc>
        <w:tc>
          <w:tcPr>
            <w:tcW w:w="940" w:type="pct"/>
            <w:tcMar>
              <w:top w:w="75" w:type="dxa"/>
              <w:left w:w="120" w:type="dxa"/>
              <w:bottom w:w="75" w:type="dxa"/>
              <w:right w:w="120" w:type="dxa"/>
            </w:tcMar>
            <w:vAlign w:val="center"/>
          </w:tcPr>
          <w:p>
            <w:pPr>
              <w:spacing w:line="320" w:lineRule="exact"/>
              <w:ind w:firstLine="0" w:firstLineChars="0"/>
              <w:rPr>
                <w:rFonts w:cs="Times New Roman"/>
                <w:kern w:val="0"/>
                <w:sz w:val="21"/>
                <w:szCs w:val="21"/>
                <w:lang w:bidi="ar"/>
              </w:rPr>
            </w:pPr>
            <w:r>
              <w:rPr>
                <w:rFonts w:cs="Times New Roman"/>
                <w:kern w:val="0"/>
                <w:sz w:val="21"/>
                <w:szCs w:val="21"/>
                <w:lang w:bidi="ar"/>
              </w:rPr>
              <w:t>在请求入口统一计量，实现集中式用量管控与成本分摊</w:t>
            </w:r>
          </w:p>
        </w:tc>
        <w:tc>
          <w:tcPr>
            <w:tcW w:w="987" w:type="pct"/>
            <w:tcMar>
              <w:top w:w="75" w:type="dxa"/>
              <w:left w:w="120" w:type="dxa"/>
              <w:bottom w:w="75" w:type="dxa"/>
              <w:right w:w="0" w:type="dxa"/>
            </w:tcMar>
            <w:vAlign w:val="center"/>
          </w:tcPr>
          <w:p>
            <w:pPr>
              <w:spacing w:line="320" w:lineRule="exact"/>
              <w:ind w:firstLine="0" w:firstLineChars="0"/>
              <w:rPr>
                <w:rFonts w:cs="Times New Roman"/>
                <w:kern w:val="0"/>
                <w:sz w:val="21"/>
                <w:szCs w:val="21"/>
                <w:lang w:bidi="ar"/>
              </w:rPr>
            </w:pPr>
            <w:r>
              <w:rPr>
                <w:rFonts w:cs="Times New Roman"/>
                <w:kern w:val="0"/>
                <w:sz w:val="21"/>
                <w:szCs w:val="21"/>
                <w:lang w:bidi="ar"/>
              </w:rPr>
              <w:t>企业LLM访问统一入口；按场景/部门核算Token成本；多模型统一管理</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5" w:type="dxa"/>
            <w:left w:w="15" w:type="dxa"/>
            <w:bottom w:w="15" w:type="dxa"/>
            <w:right w:w="15" w:type="dxa"/>
          </w:tblCellMar>
        </w:tblPrEx>
        <w:trPr>
          <w:jc w:val="center"/>
        </w:trPr>
        <w:tc>
          <w:tcPr>
            <w:tcW w:w="767" w:type="pct"/>
            <w:tcMar>
              <w:top w:w="75" w:type="dxa"/>
              <w:left w:w="0" w:type="dxa"/>
              <w:bottom w:w="75" w:type="dxa"/>
              <w:right w:w="120" w:type="dxa"/>
            </w:tcMar>
            <w:vAlign w:val="center"/>
          </w:tcPr>
          <w:p>
            <w:pPr>
              <w:spacing w:line="320" w:lineRule="exact"/>
              <w:ind w:firstLine="0" w:firstLineChars="0"/>
              <w:jc w:val="center"/>
              <w:rPr>
                <w:rFonts w:cs="Times New Roman"/>
                <w:kern w:val="0"/>
                <w:sz w:val="21"/>
                <w:szCs w:val="21"/>
                <w:lang w:bidi="ar"/>
              </w:rPr>
            </w:pPr>
            <w:r>
              <w:rPr>
                <w:rFonts w:cs="Times New Roman"/>
                <w:kern w:val="0"/>
                <w:sz w:val="21"/>
                <w:szCs w:val="21"/>
                <w:lang w:bidi="ar"/>
              </w:rPr>
              <w:t>Langfuse</w:t>
            </w:r>
          </w:p>
        </w:tc>
        <w:tc>
          <w:tcPr>
            <w:tcW w:w="855" w:type="pct"/>
            <w:tcMar>
              <w:top w:w="75" w:type="dxa"/>
              <w:left w:w="120" w:type="dxa"/>
              <w:bottom w:w="75" w:type="dxa"/>
              <w:right w:w="120" w:type="dxa"/>
            </w:tcMar>
            <w:vAlign w:val="center"/>
          </w:tcPr>
          <w:p>
            <w:pPr>
              <w:spacing w:line="320" w:lineRule="exact"/>
              <w:ind w:firstLine="0" w:firstLineChars="0"/>
              <w:jc w:val="center"/>
              <w:rPr>
                <w:rFonts w:cs="Times New Roman"/>
                <w:kern w:val="0"/>
                <w:sz w:val="21"/>
                <w:szCs w:val="21"/>
                <w:lang w:bidi="ar"/>
              </w:rPr>
            </w:pPr>
            <w:r>
              <w:rPr>
                <w:rFonts w:cs="Times New Roman"/>
                <w:kern w:val="0"/>
                <w:sz w:val="21"/>
                <w:szCs w:val="21"/>
                <w:lang w:bidi="ar"/>
              </w:rPr>
              <w:t>全生命周期追踪</w:t>
            </w:r>
          </w:p>
        </w:tc>
        <w:tc>
          <w:tcPr>
            <w:tcW w:w="1451" w:type="pct"/>
            <w:tcMar>
              <w:top w:w="75" w:type="dxa"/>
              <w:left w:w="120" w:type="dxa"/>
              <w:bottom w:w="75" w:type="dxa"/>
              <w:right w:w="120" w:type="dxa"/>
            </w:tcMar>
            <w:vAlign w:val="center"/>
          </w:tcPr>
          <w:p>
            <w:pPr>
              <w:spacing w:line="320" w:lineRule="exact"/>
              <w:ind w:firstLine="0" w:firstLineChars="0"/>
              <w:rPr>
                <w:rFonts w:cs="Times New Roman"/>
                <w:kern w:val="0"/>
                <w:sz w:val="21"/>
                <w:szCs w:val="21"/>
                <w:lang w:bidi="ar"/>
              </w:rPr>
            </w:pPr>
            <w:r>
              <w:rPr>
                <w:rFonts w:cs="Times New Roman"/>
                <w:kern w:val="0"/>
                <w:sz w:val="21"/>
                <w:szCs w:val="21"/>
                <w:lang w:bidi="ar"/>
              </w:rPr>
              <w:t>LLM调用链追踪；Token统计与成本归因；支持按用户/会话/功能拆解用量；评估分析与反馈闭环</w:t>
            </w:r>
          </w:p>
        </w:tc>
        <w:tc>
          <w:tcPr>
            <w:tcW w:w="940" w:type="pct"/>
            <w:tcMar>
              <w:top w:w="75" w:type="dxa"/>
              <w:left w:w="120" w:type="dxa"/>
              <w:bottom w:w="75" w:type="dxa"/>
              <w:right w:w="120" w:type="dxa"/>
            </w:tcMar>
            <w:vAlign w:val="center"/>
          </w:tcPr>
          <w:p>
            <w:pPr>
              <w:spacing w:line="320" w:lineRule="exact"/>
              <w:ind w:firstLine="0" w:firstLineChars="0"/>
              <w:rPr>
                <w:rFonts w:cs="Times New Roman"/>
                <w:kern w:val="0"/>
                <w:sz w:val="21"/>
                <w:szCs w:val="21"/>
                <w:lang w:bidi="ar"/>
              </w:rPr>
            </w:pPr>
            <w:r>
              <w:rPr>
                <w:rFonts w:cs="Times New Roman"/>
                <w:kern w:val="0"/>
                <w:sz w:val="21"/>
                <w:szCs w:val="21"/>
                <w:lang w:bidi="ar"/>
              </w:rPr>
              <w:t>通过SDK埋点捕获每次调用的Token消耗，关联业务上下文</w:t>
            </w:r>
          </w:p>
        </w:tc>
        <w:tc>
          <w:tcPr>
            <w:tcW w:w="987" w:type="pct"/>
            <w:tcMar>
              <w:top w:w="75" w:type="dxa"/>
              <w:left w:w="120" w:type="dxa"/>
              <w:bottom w:w="75" w:type="dxa"/>
              <w:right w:w="0" w:type="dxa"/>
            </w:tcMar>
            <w:vAlign w:val="center"/>
          </w:tcPr>
          <w:p>
            <w:pPr>
              <w:spacing w:line="320" w:lineRule="exact"/>
              <w:ind w:firstLine="0" w:firstLineChars="0"/>
              <w:rPr>
                <w:rFonts w:cs="Times New Roman"/>
                <w:kern w:val="0"/>
                <w:sz w:val="21"/>
                <w:szCs w:val="21"/>
                <w:lang w:bidi="ar"/>
              </w:rPr>
            </w:pPr>
            <w:r>
              <w:rPr>
                <w:rFonts w:cs="Times New Roman"/>
                <w:kern w:val="0"/>
                <w:sz w:val="21"/>
                <w:szCs w:val="21"/>
                <w:lang w:bidi="ar"/>
              </w:rPr>
              <w:t>开发调试与生产监控；L2级场景的用量仪表盘；满足审计要求的调用链记录</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5" w:type="dxa"/>
            <w:left w:w="15" w:type="dxa"/>
            <w:bottom w:w="15" w:type="dxa"/>
            <w:right w:w="15" w:type="dxa"/>
          </w:tblCellMar>
        </w:tblPrEx>
        <w:trPr>
          <w:jc w:val="center"/>
        </w:trPr>
        <w:tc>
          <w:tcPr>
            <w:tcW w:w="767" w:type="pct"/>
            <w:tcMar>
              <w:top w:w="75" w:type="dxa"/>
              <w:left w:w="0" w:type="dxa"/>
              <w:bottom w:w="75" w:type="dxa"/>
              <w:right w:w="120" w:type="dxa"/>
            </w:tcMar>
            <w:vAlign w:val="center"/>
          </w:tcPr>
          <w:p>
            <w:pPr>
              <w:spacing w:line="320" w:lineRule="exact"/>
              <w:ind w:firstLine="0" w:firstLineChars="0"/>
              <w:jc w:val="center"/>
              <w:rPr>
                <w:rFonts w:cs="Times New Roman"/>
                <w:kern w:val="0"/>
                <w:sz w:val="21"/>
                <w:szCs w:val="21"/>
                <w:lang w:bidi="ar"/>
              </w:rPr>
            </w:pPr>
            <w:r>
              <w:rPr>
                <w:rFonts w:cs="Times New Roman"/>
                <w:kern w:val="0"/>
                <w:sz w:val="21"/>
                <w:szCs w:val="21"/>
                <w:lang w:bidi="ar"/>
              </w:rPr>
              <w:t>Quotio</w:t>
            </w:r>
          </w:p>
        </w:tc>
        <w:tc>
          <w:tcPr>
            <w:tcW w:w="855" w:type="pct"/>
            <w:tcMar>
              <w:top w:w="75" w:type="dxa"/>
              <w:left w:w="120" w:type="dxa"/>
              <w:bottom w:w="75" w:type="dxa"/>
              <w:right w:w="120" w:type="dxa"/>
            </w:tcMar>
            <w:vAlign w:val="center"/>
          </w:tcPr>
          <w:p>
            <w:pPr>
              <w:spacing w:line="320" w:lineRule="exact"/>
              <w:ind w:firstLine="0" w:firstLineChars="0"/>
              <w:jc w:val="center"/>
              <w:rPr>
                <w:rFonts w:cs="Times New Roman"/>
                <w:kern w:val="0"/>
                <w:sz w:val="21"/>
                <w:szCs w:val="21"/>
                <w:lang w:bidi="ar"/>
              </w:rPr>
            </w:pPr>
            <w:r>
              <w:rPr>
                <w:rFonts w:cs="Times New Roman"/>
                <w:kern w:val="0"/>
                <w:sz w:val="21"/>
                <w:szCs w:val="21"/>
                <w:lang w:bidi="ar"/>
              </w:rPr>
              <w:t>AI账号配额管理器</w:t>
            </w:r>
          </w:p>
        </w:tc>
        <w:tc>
          <w:tcPr>
            <w:tcW w:w="1451" w:type="pct"/>
            <w:tcMar>
              <w:top w:w="75" w:type="dxa"/>
              <w:left w:w="120" w:type="dxa"/>
              <w:bottom w:w="75" w:type="dxa"/>
              <w:right w:w="120" w:type="dxa"/>
            </w:tcMar>
            <w:vAlign w:val="center"/>
          </w:tcPr>
          <w:p>
            <w:pPr>
              <w:spacing w:line="320" w:lineRule="exact"/>
              <w:ind w:firstLine="0" w:firstLineChars="0"/>
              <w:rPr>
                <w:rFonts w:cs="Times New Roman"/>
                <w:kern w:val="0"/>
                <w:sz w:val="21"/>
                <w:szCs w:val="21"/>
                <w:lang w:bidi="ar"/>
              </w:rPr>
            </w:pPr>
            <w:r>
              <w:rPr>
                <w:rFonts w:cs="Times New Roman"/>
                <w:kern w:val="0"/>
                <w:sz w:val="21"/>
                <w:szCs w:val="21"/>
                <w:lang w:bidi="ar"/>
              </w:rPr>
              <w:t>统一管理多平台AI账号；实时追踪各账号配额使用率；支持CLI工具自动配置与故障转移</w:t>
            </w:r>
          </w:p>
        </w:tc>
        <w:tc>
          <w:tcPr>
            <w:tcW w:w="940" w:type="pct"/>
            <w:tcMar>
              <w:top w:w="75" w:type="dxa"/>
              <w:left w:w="120" w:type="dxa"/>
              <w:bottom w:w="75" w:type="dxa"/>
              <w:right w:w="120" w:type="dxa"/>
            </w:tcMar>
            <w:vAlign w:val="center"/>
          </w:tcPr>
          <w:p>
            <w:pPr>
              <w:spacing w:line="320" w:lineRule="exact"/>
              <w:ind w:firstLine="0" w:firstLineChars="0"/>
              <w:rPr>
                <w:rFonts w:cs="Times New Roman"/>
                <w:kern w:val="0"/>
                <w:sz w:val="21"/>
                <w:szCs w:val="21"/>
                <w:lang w:bidi="ar"/>
              </w:rPr>
            </w:pPr>
            <w:r>
              <w:rPr>
                <w:rFonts w:cs="Times New Roman"/>
                <w:kern w:val="0"/>
                <w:sz w:val="21"/>
                <w:szCs w:val="21"/>
                <w:lang w:bidi="ar"/>
              </w:rPr>
              <w:t>通过本地菜单栏应用聚合多服务商API Key或OAuth凭证，可视化展示剩余配额并设置告警阈值，避免单账号超额中断工作流</w:t>
            </w:r>
          </w:p>
        </w:tc>
        <w:tc>
          <w:tcPr>
            <w:tcW w:w="987" w:type="pct"/>
            <w:tcMar>
              <w:top w:w="75" w:type="dxa"/>
              <w:left w:w="120" w:type="dxa"/>
              <w:bottom w:w="75" w:type="dxa"/>
              <w:right w:w="0" w:type="dxa"/>
            </w:tcMar>
            <w:vAlign w:val="center"/>
          </w:tcPr>
          <w:p>
            <w:pPr>
              <w:spacing w:line="320" w:lineRule="exact"/>
              <w:ind w:firstLine="0" w:firstLineChars="0"/>
              <w:rPr>
                <w:rFonts w:cs="Times New Roman"/>
                <w:kern w:val="0"/>
                <w:sz w:val="21"/>
                <w:szCs w:val="21"/>
                <w:lang w:bidi="ar"/>
              </w:rPr>
            </w:pPr>
            <w:r>
              <w:rPr>
                <w:rFonts w:cs="Times New Roman"/>
                <w:kern w:val="0"/>
                <w:sz w:val="21"/>
                <w:szCs w:val="21"/>
                <w:lang w:bidi="ar"/>
              </w:rPr>
              <w:t>开发者个人或多Agent协作环境下的AI订阅账号集中管控；需频繁切换模型服务的编程辅助场景</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5" w:type="dxa"/>
            <w:left w:w="15" w:type="dxa"/>
            <w:bottom w:w="15" w:type="dxa"/>
            <w:right w:w="15" w:type="dxa"/>
          </w:tblCellMar>
        </w:tblPrEx>
        <w:trPr>
          <w:jc w:val="center"/>
        </w:trPr>
        <w:tc>
          <w:tcPr>
            <w:tcW w:w="767" w:type="pct"/>
            <w:tcMar>
              <w:top w:w="75" w:type="dxa"/>
              <w:left w:w="0" w:type="dxa"/>
              <w:bottom w:w="75" w:type="dxa"/>
              <w:right w:w="120" w:type="dxa"/>
            </w:tcMar>
            <w:vAlign w:val="center"/>
          </w:tcPr>
          <w:p>
            <w:pPr>
              <w:spacing w:line="320" w:lineRule="exact"/>
              <w:ind w:firstLine="0" w:firstLineChars="0"/>
              <w:jc w:val="center"/>
              <w:rPr>
                <w:rFonts w:cs="Times New Roman"/>
                <w:kern w:val="0"/>
                <w:sz w:val="21"/>
                <w:szCs w:val="21"/>
                <w:lang w:bidi="ar"/>
              </w:rPr>
            </w:pPr>
            <w:r>
              <w:rPr>
                <w:rFonts w:cs="Times New Roman"/>
                <w:kern w:val="0"/>
                <w:sz w:val="21"/>
                <w:szCs w:val="21"/>
                <w:lang w:bidi="ar"/>
              </w:rPr>
              <w:t>Apache APISIX</w:t>
            </w:r>
          </w:p>
        </w:tc>
        <w:tc>
          <w:tcPr>
            <w:tcW w:w="855" w:type="pct"/>
            <w:tcMar>
              <w:top w:w="75" w:type="dxa"/>
              <w:left w:w="120" w:type="dxa"/>
              <w:bottom w:w="75" w:type="dxa"/>
              <w:right w:w="120" w:type="dxa"/>
            </w:tcMar>
            <w:vAlign w:val="center"/>
          </w:tcPr>
          <w:p>
            <w:pPr>
              <w:spacing w:line="320" w:lineRule="exact"/>
              <w:ind w:firstLine="0" w:firstLineChars="0"/>
              <w:jc w:val="center"/>
              <w:rPr>
                <w:rFonts w:cs="Times New Roman"/>
                <w:kern w:val="0"/>
                <w:sz w:val="21"/>
                <w:szCs w:val="21"/>
                <w:lang w:bidi="ar"/>
              </w:rPr>
            </w:pPr>
            <w:r>
              <w:rPr>
                <w:rFonts w:cs="Times New Roman"/>
                <w:kern w:val="0"/>
                <w:sz w:val="21"/>
                <w:szCs w:val="21"/>
                <w:lang w:bidi="ar"/>
              </w:rPr>
              <w:t>云原生API网关</w:t>
            </w:r>
          </w:p>
        </w:tc>
        <w:tc>
          <w:tcPr>
            <w:tcW w:w="1451" w:type="pct"/>
            <w:tcMar>
              <w:top w:w="75" w:type="dxa"/>
              <w:left w:w="120" w:type="dxa"/>
              <w:bottom w:w="75" w:type="dxa"/>
              <w:right w:w="120" w:type="dxa"/>
            </w:tcMar>
            <w:vAlign w:val="center"/>
          </w:tcPr>
          <w:p>
            <w:pPr>
              <w:spacing w:line="320" w:lineRule="exact"/>
              <w:ind w:firstLine="0" w:firstLineChars="0"/>
              <w:rPr>
                <w:rFonts w:cs="Times New Roman"/>
                <w:kern w:val="0"/>
                <w:sz w:val="21"/>
                <w:szCs w:val="21"/>
                <w:lang w:bidi="ar"/>
              </w:rPr>
            </w:pPr>
            <w:r>
              <w:rPr>
                <w:rFonts w:cs="Times New Roman"/>
                <w:kern w:val="0"/>
                <w:sz w:val="21"/>
                <w:szCs w:val="21"/>
                <w:lang w:bidi="ar"/>
              </w:rPr>
              <w:t>动态路由与负载均衡；支持按用户/IP/路径限流；集成JWT/OAuth2认证；提供全链路可观测性（Metrics/Logs/Tracing）</w:t>
            </w:r>
          </w:p>
        </w:tc>
        <w:tc>
          <w:tcPr>
            <w:tcW w:w="940" w:type="pct"/>
            <w:tcMar>
              <w:top w:w="75" w:type="dxa"/>
              <w:left w:w="120" w:type="dxa"/>
              <w:bottom w:w="75" w:type="dxa"/>
              <w:right w:w="120" w:type="dxa"/>
            </w:tcMar>
            <w:vAlign w:val="center"/>
          </w:tcPr>
          <w:p>
            <w:pPr>
              <w:spacing w:line="320" w:lineRule="exact"/>
              <w:ind w:firstLine="0" w:firstLineChars="0"/>
              <w:rPr>
                <w:rFonts w:cs="Times New Roman"/>
                <w:kern w:val="0"/>
                <w:sz w:val="21"/>
                <w:szCs w:val="21"/>
                <w:lang w:bidi="ar"/>
              </w:rPr>
            </w:pPr>
            <w:r>
              <w:rPr>
                <w:rFonts w:cs="Times New Roman"/>
                <w:kern w:val="0"/>
                <w:sz w:val="21"/>
                <w:szCs w:val="21"/>
                <w:lang w:bidi="ar"/>
              </w:rPr>
              <w:t>基于etcd实现毫秒级配置热更新，通过插件机制在网关层拦截请求并执行配额校验、熔断降级策略，保障后端服务稳定性</w:t>
            </w:r>
          </w:p>
        </w:tc>
        <w:tc>
          <w:tcPr>
            <w:tcW w:w="987" w:type="pct"/>
            <w:tcMar>
              <w:top w:w="75" w:type="dxa"/>
              <w:left w:w="120" w:type="dxa"/>
              <w:bottom w:w="75" w:type="dxa"/>
              <w:right w:w="0" w:type="dxa"/>
            </w:tcMar>
            <w:vAlign w:val="center"/>
          </w:tcPr>
          <w:p>
            <w:pPr>
              <w:spacing w:line="320" w:lineRule="exact"/>
              <w:ind w:firstLine="0" w:firstLineChars="0"/>
              <w:rPr>
                <w:rFonts w:cs="Times New Roman"/>
                <w:kern w:val="0"/>
                <w:sz w:val="21"/>
                <w:szCs w:val="21"/>
                <w:lang w:bidi="ar"/>
              </w:rPr>
            </w:pPr>
            <w:r>
              <w:rPr>
                <w:rFonts w:cs="Times New Roman"/>
                <w:kern w:val="0"/>
                <w:sz w:val="21"/>
                <w:szCs w:val="21"/>
                <w:lang w:bidi="ar"/>
              </w:rPr>
              <w:t>企业级微服务架构中统一接入LLM API；需高并发、低延迟、强安全控制的AI服务流量治理场景</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5" w:type="dxa"/>
            <w:left w:w="15" w:type="dxa"/>
            <w:bottom w:w="15" w:type="dxa"/>
            <w:right w:w="15" w:type="dxa"/>
          </w:tblCellMar>
        </w:tblPrEx>
        <w:trPr>
          <w:jc w:val="center"/>
        </w:trPr>
        <w:tc>
          <w:tcPr>
            <w:tcW w:w="767" w:type="pct"/>
            <w:tcMar>
              <w:top w:w="75" w:type="dxa"/>
              <w:left w:w="0" w:type="dxa"/>
              <w:bottom w:w="75" w:type="dxa"/>
              <w:right w:w="120" w:type="dxa"/>
            </w:tcMar>
            <w:vAlign w:val="center"/>
          </w:tcPr>
          <w:p>
            <w:pPr>
              <w:spacing w:line="320" w:lineRule="exact"/>
              <w:ind w:firstLine="0" w:firstLineChars="0"/>
              <w:jc w:val="center"/>
              <w:rPr>
                <w:rFonts w:cs="Times New Roman"/>
                <w:kern w:val="0"/>
                <w:sz w:val="21"/>
                <w:szCs w:val="21"/>
                <w:lang w:bidi="ar"/>
              </w:rPr>
            </w:pPr>
            <w:r>
              <w:rPr>
                <w:rFonts w:cs="Times New Roman"/>
                <w:kern w:val="0"/>
                <w:sz w:val="21"/>
                <w:szCs w:val="21"/>
                <w:lang w:bidi="ar"/>
              </w:rPr>
              <w:t>OpenLit</w:t>
            </w:r>
          </w:p>
        </w:tc>
        <w:tc>
          <w:tcPr>
            <w:tcW w:w="855" w:type="pct"/>
            <w:tcMar>
              <w:top w:w="75" w:type="dxa"/>
              <w:left w:w="120" w:type="dxa"/>
              <w:bottom w:w="75" w:type="dxa"/>
              <w:right w:w="120" w:type="dxa"/>
            </w:tcMar>
            <w:vAlign w:val="center"/>
          </w:tcPr>
          <w:p>
            <w:pPr>
              <w:spacing w:line="320" w:lineRule="exact"/>
              <w:ind w:firstLine="0" w:firstLineChars="0"/>
              <w:jc w:val="center"/>
              <w:rPr>
                <w:rFonts w:cs="Times New Roman"/>
                <w:kern w:val="0"/>
                <w:sz w:val="21"/>
                <w:szCs w:val="21"/>
                <w:lang w:bidi="ar"/>
              </w:rPr>
            </w:pPr>
            <w:r>
              <w:rPr>
                <w:rFonts w:cs="Times New Roman"/>
                <w:kern w:val="0"/>
                <w:sz w:val="21"/>
                <w:szCs w:val="21"/>
                <w:lang w:bidi="ar"/>
              </w:rPr>
              <w:t>OpenTelemetry原生可观测性</w:t>
            </w:r>
          </w:p>
        </w:tc>
        <w:tc>
          <w:tcPr>
            <w:tcW w:w="1451" w:type="pct"/>
            <w:tcMar>
              <w:top w:w="75" w:type="dxa"/>
              <w:left w:w="120" w:type="dxa"/>
              <w:bottom w:w="75" w:type="dxa"/>
              <w:right w:w="120" w:type="dxa"/>
            </w:tcMar>
            <w:vAlign w:val="center"/>
          </w:tcPr>
          <w:p>
            <w:pPr>
              <w:spacing w:line="320" w:lineRule="exact"/>
              <w:ind w:firstLine="0" w:firstLineChars="0"/>
              <w:rPr>
                <w:rFonts w:cs="Times New Roman"/>
                <w:kern w:val="0"/>
                <w:sz w:val="21"/>
                <w:szCs w:val="21"/>
                <w:lang w:bidi="ar"/>
              </w:rPr>
            </w:pPr>
            <w:r>
              <w:rPr>
                <w:rFonts w:cs="Times New Roman"/>
                <w:kern w:val="0"/>
                <w:sz w:val="21"/>
                <w:szCs w:val="21"/>
                <w:lang w:bidi="ar"/>
              </w:rPr>
              <w:t>基于OTel标准采集LLM调用数据；自动捕获Token用量、模型、成本等指标；数据可存入企业现有平台（Jaeger、Grafana等）</w:t>
            </w:r>
          </w:p>
        </w:tc>
        <w:tc>
          <w:tcPr>
            <w:tcW w:w="940" w:type="pct"/>
            <w:tcMar>
              <w:top w:w="75" w:type="dxa"/>
              <w:left w:w="120" w:type="dxa"/>
              <w:bottom w:w="75" w:type="dxa"/>
              <w:right w:w="120" w:type="dxa"/>
            </w:tcMar>
            <w:vAlign w:val="center"/>
          </w:tcPr>
          <w:p>
            <w:pPr>
              <w:spacing w:line="320" w:lineRule="exact"/>
              <w:ind w:firstLine="0" w:firstLineChars="0"/>
              <w:rPr>
                <w:rFonts w:cs="Times New Roman"/>
                <w:kern w:val="0"/>
                <w:sz w:val="21"/>
                <w:szCs w:val="21"/>
                <w:lang w:bidi="ar"/>
              </w:rPr>
            </w:pPr>
            <w:r>
              <w:rPr>
                <w:rFonts w:cs="Times New Roman"/>
                <w:kern w:val="0"/>
                <w:sz w:val="21"/>
                <w:szCs w:val="21"/>
                <w:lang w:bidi="ar"/>
              </w:rPr>
              <w:t>将LLM监控融入企业通用可观测性体系，避免数据孤岛</w:t>
            </w:r>
          </w:p>
        </w:tc>
        <w:tc>
          <w:tcPr>
            <w:tcW w:w="987" w:type="pct"/>
            <w:tcMar>
              <w:top w:w="75" w:type="dxa"/>
              <w:left w:w="120" w:type="dxa"/>
              <w:bottom w:w="75" w:type="dxa"/>
              <w:right w:w="0" w:type="dxa"/>
            </w:tcMar>
            <w:vAlign w:val="center"/>
          </w:tcPr>
          <w:p>
            <w:pPr>
              <w:spacing w:line="320" w:lineRule="exact"/>
              <w:ind w:firstLine="0" w:firstLineChars="0"/>
              <w:rPr>
                <w:rFonts w:cs="Times New Roman"/>
                <w:kern w:val="0"/>
                <w:sz w:val="21"/>
                <w:szCs w:val="21"/>
                <w:lang w:bidi="ar"/>
              </w:rPr>
            </w:pPr>
            <w:r>
              <w:rPr>
                <w:rFonts w:cs="Times New Roman"/>
                <w:kern w:val="0"/>
                <w:sz w:val="21"/>
                <w:szCs w:val="21"/>
                <w:lang w:bidi="ar"/>
              </w:rPr>
              <w:t>已有OTel基础设施的企业；L3级场景数据自控；统一运维视图</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5" w:type="dxa"/>
            <w:left w:w="15" w:type="dxa"/>
            <w:bottom w:w="15" w:type="dxa"/>
            <w:right w:w="15" w:type="dxa"/>
          </w:tblCellMar>
        </w:tblPrEx>
        <w:trPr>
          <w:jc w:val="center"/>
        </w:trPr>
        <w:tc>
          <w:tcPr>
            <w:tcW w:w="767" w:type="pct"/>
            <w:tcMar>
              <w:top w:w="75" w:type="dxa"/>
              <w:left w:w="0" w:type="dxa"/>
              <w:bottom w:w="75" w:type="dxa"/>
              <w:right w:w="120" w:type="dxa"/>
            </w:tcMar>
            <w:vAlign w:val="center"/>
          </w:tcPr>
          <w:p>
            <w:pPr>
              <w:spacing w:line="320" w:lineRule="exact"/>
              <w:ind w:firstLine="0" w:firstLineChars="0"/>
              <w:jc w:val="center"/>
              <w:rPr>
                <w:rFonts w:cs="Times New Roman"/>
                <w:kern w:val="0"/>
                <w:sz w:val="21"/>
                <w:szCs w:val="21"/>
                <w:lang w:bidi="ar"/>
              </w:rPr>
            </w:pPr>
            <w:r>
              <w:rPr>
                <w:rFonts w:cs="Times New Roman"/>
                <w:kern w:val="0"/>
                <w:sz w:val="21"/>
                <w:szCs w:val="21"/>
                <w:lang w:bidi="ar"/>
              </w:rPr>
              <w:t>Helicone</w:t>
            </w:r>
          </w:p>
        </w:tc>
        <w:tc>
          <w:tcPr>
            <w:tcW w:w="855" w:type="pct"/>
            <w:tcMar>
              <w:top w:w="75" w:type="dxa"/>
              <w:left w:w="120" w:type="dxa"/>
              <w:bottom w:w="75" w:type="dxa"/>
              <w:right w:w="120" w:type="dxa"/>
            </w:tcMar>
            <w:vAlign w:val="center"/>
          </w:tcPr>
          <w:p>
            <w:pPr>
              <w:spacing w:line="320" w:lineRule="exact"/>
              <w:ind w:firstLine="0" w:firstLineChars="0"/>
              <w:jc w:val="center"/>
              <w:rPr>
                <w:rFonts w:cs="Times New Roman"/>
                <w:kern w:val="0"/>
                <w:sz w:val="21"/>
                <w:szCs w:val="21"/>
                <w:lang w:bidi="ar"/>
              </w:rPr>
            </w:pPr>
            <w:r>
              <w:rPr>
                <w:rFonts w:cs="Times New Roman"/>
                <w:kern w:val="0"/>
                <w:sz w:val="21"/>
                <w:szCs w:val="21"/>
                <w:lang w:bidi="ar"/>
              </w:rPr>
              <w:t>轻量级代理监控</w:t>
            </w:r>
          </w:p>
        </w:tc>
        <w:tc>
          <w:tcPr>
            <w:tcW w:w="1451" w:type="pct"/>
            <w:tcMar>
              <w:top w:w="75" w:type="dxa"/>
              <w:left w:w="120" w:type="dxa"/>
              <w:bottom w:w="75" w:type="dxa"/>
              <w:right w:w="120" w:type="dxa"/>
            </w:tcMar>
            <w:vAlign w:val="center"/>
          </w:tcPr>
          <w:p>
            <w:pPr>
              <w:spacing w:line="320" w:lineRule="exact"/>
              <w:ind w:firstLine="0" w:firstLineChars="0"/>
              <w:rPr>
                <w:rFonts w:cs="Times New Roman"/>
                <w:kern w:val="0"/>
                <w:sz w:val="21"/>
                <w:szCs w:val="21"/>
                <w:lang w:bidi="ar"/>
              </w:rPr>
            </w:pPr>
            <w:r>
              <w:rPr>
                <w:rFonts w:cs="Times New Roman"/>
                <w:kern w:val="0"/>
                <w:sz w:val="21"/>
                <w:szCs w:val="21"/>
                <w:lang w:bidi="ar"/>
              </w:rPr>
              <w:t>通过修改Base URL无侵入接入；Token用量、成本、延迟仪表盘；请求缓存与速率限制</w:t>
            </w:r>
          </w:p>
        </w:tc>
        <w:tc>
          <w:tcPr>
            <w:tcW w:w="940" w:type="pct"/>
            <w:tcMar>
              <w:top w:w="75" w:type="dxa"/>
              <w:left w:w="120" w:type="dxa"/>
              <w:bottom w:w="75" w:type="dxa"/>
              <w:right w:w="120" w:type="dxa"/>
            </w:tcMar>
            <w:vAlign w:val="center"/>
          </w:tcPr>
          <w:p>
            <w:pPr>
              <w:spacing w:line="320" w:lineRule="exact"/>
              <w:ind w:firstLine="0" w:firstLineChars="0"/>
              <w:rPr>
                <w:rFonts w:cs="Times New Roman"/>
                <w:kern w:val="0"/>
                <w:sz w:val="21"/>
                <w:szCs w:val="21"/>
                <w:lang w:bidi="ar"/>
              </w:rPr>
            </w:pPr>
            <w:r>
              <w:rPr>
                <w:rFonts w:cs="Times New Roman"/>
                <w:kern w:val="0"/>
                <w:sz w:val="21"/>
                <w:szCs w:val="21"/>
                <w:lang w:bidi="ar"/>
              </w:rPr>
              <w:t>代理层拦截请求，自动记录用量与成本信息</w:t>
            </w:r>
          </w:p>
        </w:tc>
        <w:tc>
          <w:tcPr>
            <w:tcW w:w="987" w:type="pct"/>
            <w:tcMar>
              <w:top w:w="75" w:type="dxa"/>
              <w:left w:w="120" w:type="dxa"/>
              <w:bottom w:w="75" w:type="dxa"/>
              <w:right w:w="0" w:type="dxa"/>
            </w:tcMar>
            <w:vAlign w:val="center"/>
          </w:tcPr>
          <w:p>
            <w:pPr>
              <w:spacing w:line="320" w:lineRule="exact"/>
              <w:ind w:firstLine="0" w:firstLineChars="0"/>
              <w:rPr>
                <w:rFonts w:cs="Times New Roman"/>
                <w:kern w:val="0"/>
                <w:sz w:val="21"/>
                <w:szCs w:val="21"/>
                <w:lang w:bidi="ar"/>
              </w:rPr>
            </w:pPr>
            <w:r>
              <w:rPr>
                <w:rFonts w:cs="Times New Roman"/>
                <w:kern w:val="0"/>
                <w:sz w:val="21"/>
                <w:szCs w:val="21"/>
                <w:lang w:bidi="ar"/>
              </w:rPr>
              <w:t>快速建立Token监控；L1级场景轻量接入；团队级用量广告牌</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5" w:type="dxa"/>
            <w:left w:w="15" w:type="dxa"/>
            <w:bottom w:w="15" w:type="dxa"/>
            <w:right w:w="15" w:type="dxa"/>
          </w:tblCellMar>
        </w:tblPrEx>
        <w:trPr>
          <w:jc w:val="center"/>
        </w:trPr>
        <w:tc>
          <w:tcPr>
            <w:tcW w:w="767" w:type="pct"/>
            <w:tcMar>
              <w:top w:w="75" w:type="dxa"/>
              <w:left w:w="0" w:type="dxa"/>
              <w:bottom w:w="75" w:type="dxa"/>
              <w:right w:w="120" w:type="dxa"/>
            </w:tcMar>
            <w:vAlign w:val="center"/>
          </w:tcPr>
          <w:p>
            <w:pPr>
              <w:spacing w:line="320" w:lineRule="exact"/>
              <w:ind w:firstLine="0" w:firstLineChars="0"/>
              <w:jc w:val="center"/>
              <w:rPr>
                <w:rFonts w:cs="Times New Roman"/>
                <w:kern w:val="0"/>
                <w:sz w:val="21"/>
                <w:szCs w:val="21"/>
                <w:lang w:bidi="ar"/>
              </w:rPr>
            </w:pPr>
            <w:r>
              <w:rPr>
                <w:rFonts w:cs="Times New Roman"/>
                <w:kern w:val="0"/>
                <w:sz w:val="21"/>
                <w:szCs w:val="21"/>
                <w:lang w:bidi="ar"/>
              </w:rPr>
              <w:t>OpenMeter</w:t>
            </w:r>
          </w:p>
        </w:tc>
        <w:tc>
          <w:tcPr>
            <w:tcW w:w="855" w:type="pct"/>
            <w:tcMar>
              <w:top w:w="75" w:type="dxa"/>
              <w:left w:w="120" w:type="dxa"/>
              <w:bottom w:w="75" w:type="dxa"/>
              <w:right w:w="120" w:type="dxa"/>
            </w:tcMar>
            <w:vAlign w:val="center"/>
          </w:tcPr>
          <w:p>
            <w:pPr>
              <w:spacing w:line="320" w:lineRule="exact"/>
              <w:ind w:firstLine="0" w:firstLineChars="0"/>
              <w:jc w:val="center"/>
              <w:rPr>
                <w:rFonts w:cs="Times New Roman"/>
                <w:kern w:val="0"/>
                <w:sz w:val="21"/>
                <w:szCs w:val="21"/>
                <w:lang w:bidi="ar"/>
              </w:rPr>
            </w:pPr>
            <w:r>
              <w:rPr>
                <w:rFonts w:cs="Times New Roman"/>
                <w:kern w:val="0"/>
                <w:sz w:val="21"/>
                <w:szCs w:val="21"/>
                <w:lang w:bidi="ar"/>
              </w:rPr>
              <w:t>用量计量与计费引擎</w:t>
            </w:r>
          </w:p>
        </w:tc>
        <w:tc>
          <w:tcPr>
            <w:tcW w:w="1451" w:type="pct"/>
            <w:tcMar>
              <w:top w:w="75" w:type="dxa"/>
              <w:left w:w="120" w:type="dxa"/>
              <w:bottom w:w="75" w:type="dxa"/>
              <w:right w:w="120" w:type="dxa"/>
            </w:tcMar>
            <w:vAlign w:val="center"/>
          </w:tcPr>
          <w:p>
            <w:pPr>
              <w:spacing w:line="320" w:lineRule="exact"/>
              <w:ind w:firstLine="0" w:firstLineChars="0"/>
              <w:rPr>
                <w:rFonts w:cs="Times New Roman"/>
                <w:kern w:val="0"/>
                <w:sz w:val="21"/>
                <w:szCs w:val="21"/>
                <w:lang w:bidi="ar"/>
              </w:rPr>
            </w:pPr>
            <w:r>
              <w:rPr>
                <w:rFonts w:cs="Times New Roman"/>
                <w:kern w:val="0"/>
                <w:sz w:val="21"/>
                <w:szCs w:val="21"/>
                <w:lang w:bidi="ar"/>
              </w:rPr>
              <w:t>实时用量计量；多租户/多部门计费分摊；用量配额管理</w:t>
            </w:r>
          </w:p>
        </w:tc>
        <w:tc>
          <w:tcPr>
            <w:tcW w:w="940" w:type="pct"/>
            <w:tcMar>
              <w:top w:w="75" w:type="dxa"/>
              <w:left w:w="120" w:type="dxa"/>
              <w:bottom w:w="75" w:type="dxa"/>
              <w:right w:w="120" w:type="dxa"/>
            </w:tcMar>
            <w:vAlign w:val="center"/>
          </w:tcPr>
          <w:p>
            <w:pPr>
              <w:spacing w:line="320" w:lineRule="exact"/>
              <w:ind w:firstLine="0" w:firstLineChars="0"/>
              <w:rPr>
                <w:rFonts w:cs="Times New Roman"/>
                <w:kern w:val="0"/>
                <w:sz w:val="21"/>
                <w:szCs w:val="21"/>
                <w:lang w:bidi="ar"/>
              </w:rPr>
            </w:pPr>
            <w:r>
              <w:rPr>
                <w:rFonts w:cs="Times New Roman"/>
                <w:kern w:val="0"/>
                <w:sz w:val="21"/>
                <w:szCs w:val="21"/>
                <w:lang w:bidi="ar"/>
              </w:rPr>
              <w:t>在请求路径上嵌入计量点，按规则实时归算用量</w:t>
            </w:r>
          </w:p>
        </w:tc>
        <w:tc>
          <w:tcPr>
            <w:tcW w:w="987" w:type="pct"/>
            <w:tcMar>
              <w:top w:w="75" w:type="dxa"/>
              <w:left w:w="120" w:type="dxa"/>
              <w:bottom w:w="75" w:type="dxa"/>
              <w:right w:w="0" w:type="dxa"/>
            </w:tcMar>
            <w:vAlign w:val="center"/>
          </w:tcPr>
          <w:p>
            <w:pPr>
              <w:spacing w:line="320" w:lineRule="exact"/>
              <w:ind w:firstLine="0" w:firstLineChars="0"/>
              <w:rPr>
                <w:rFonts w:cs="Times New Roman"/>
                <w:kern w:val="0"/>
                <w:sz w:val="21"/>
                <w:szCs w:val="21"/>
                <w:lang w:bidi="ar"/>
              </w:rPr>
            </w:pPr>
            <w:r>
              <w:rPr>
                <w:rFonts w:cs="Times New Roman"/>
                <w:kern w:val="0"/>
                <w:sz w:val="21"/>
                <w:szCs w:val="21"/>
                <w:lang w:bidi="ar"/>
              </w:rPr>
              <w:t>需要按租户/部门精确核算成本的场景；多项目资源结算</w:t>
            </w:r>
          </w:p>
        </w:tc>
      </w:tr>
    </w:tbl>
    <w:p>
      <w:pPr>
        <w:ind w:firstLine="643" w:firstLineChars="0"/>
        <w:rPr>
          <w:highlight w:val="yellow"/>
        </w:rPr>
      </w:pPr>
      <w:r>
        <w:rPr>
          <w:rFonts w:cs="Times New Roman"/>
          <w:b/>
          <w:bCs/>
          <w:szCs w:val="32"/>
        </w:rPr>
        <w:t>在本地化部署模式下</w:t>
      </w:r>
      <w:r>
        <w:rPr>
          <w:rFonts w:cs="Times New Roman"/>
          <w:szCs w:val="32"/>
        </w:rPr>
        <w:t>，企业应构建适配私有化底座的算力配额换算机制，基于内部成本归集口径，对硬件资产折旧、机房电力能耗、平台运维保障等综合投入完成标准化计量，形成等效Token配额基准值，结合业务场景分级结果，沿</w:t>
      </w:r>
      <w:r>
        <w:rPr>
          <w:rFonts w:hint="eastAsia" w:cs="Times New Roman"/>
          <w:szCs w:val="32"/>
        </w:rPr>
        <w:t>“</w:t>
      </w:r>
      <w:r>
        <w:rPr>
          <w:rFonts w:cs="Times New Roman"/>
          <w:szCs w:val="32"/>
        </w:rPr>
        <w:t>场景</w:t>
      </w:r>
      <w:r>
        <w:rPr>
          <w:rFonts w:hint="eastAsia" w:cs="Times New Roman"/>
          <w:szCs w:val="32"/>
        </w:rPr>
        <w:t>—</w:t>
      </w:r>
      <w:r>
        <w:rPr>
          <w:rFonts w:cs="Times New Roman"/>
          <w:szCs w:val="32"/>
        </w:rPr>
        <w:t>部门</w:t>
      </w:r>
      <w:r>
        <w:rPr>
          <w:rFonts w:hint="eastAsia" w:cs="Times New Roman"/>
          <w:szCs w:val="32"/>
        </w:rPr>
        <w:t>—</w:t>
      </w:r>
      <w:r>
        <w:rPr>
          <w:rFonts w:cs="Times New Roman"/>
          <w:szCs w:val="32"/>
        </w:rPr>
        <w:t>项目</w:t>
      </w:r>
      <w:r>
        <w:rPr>
          <w:rFonts w:hint="eastAsia" w:cs="Times New Roman"/>
          <w:szCs w:val="32"/>
        </w:rPr>
        <w:t>—</w:t>
      </w:r>
      <w:r>
        <w:rPr>
          <w:rFonts w:cs="Times New Roman"/>
          <w:szCs w:val="32"/>
        </w:rPr>
        <w:t>用户</w:t>
      </w:r>
      <w:r>
        <w:rPr>
          <w:rFonts w:hint="eastAsia" w:cs="Times New Roman"/>
          <w:szCs w:val="32"/>
        </w:rPr>
        <w:t>”</w:t>
      </w:r>
      <w:r>
        <w:rPr>
          <w:rFonts w:cs="Times New Roman"/>
          <w:szCs w:val="32"/>
        </w:rPr>
        <w:t>四级管控维度完成配额逐级拆解与下发。依托容器调度平台与配额管控引擎，动态采集各业务单元GPU资源占用、推理运行时长以及等效Token消耗数据，实现配额额度实时扣减；当资源使用率触发提醒、预警、熔断三级管控阈值时，自动执行限流、降级、资源熔断等处置策略。同时，配额换算过程充分考虑</w:t>
      </w:r>
      <w:r>
        <w:rPr>
          <w:rFonts w:hint="eastAsia" w:ascii="方正仿宋_GBK" w:hAnsi="方正仿宋_GBK" w:cs="方正仿宋_GBK"/>
          <w:szCs w:val="32"/>
        </w:rPr>
        <w:t>不同经营主体的成本归集差异，在等效配额生成阶段规避因资产归属、运维责任边界不同带来的分摊口径不一致问题，保障各主体配额测算结果公允可落地。</w:t>
      </w:r>
    </w:p>
    <w:p>
      <w:pPr>
        <w:pStyle w:val="4"/>
        <w:ind w:firstLine="643"/>
      </w:pPr>
      <w:bookmarkStart w:id="46" w:name="_Toc31971"/>
      <w:bookmarkStart w:id="47" w:name="_Toc5312"/>
      <w:r>
        <w:rPr>
          <w:rFonts w:hint="eastAsia"/>
        </w:rPr>
        <w:t>5.Prompt工程</w:t>
      </w:r>
      <w:bookmarkEnd w:id="46"/>
      <w:bookmarkEnd w:id="47"/>
    </w:p>
    <w:p>
      <w:pPr>
        <w:ind w:firstLine="640"/>
        <w:rPr>
          <w:b/>
          <w:bCs/>
        </w:rPr>
      </w:pPr>
      <w:r>
        <w:rPr>
          <w:rFonts w:hint="eastAsia"/>
        </w:rPr>
        <w:t>Prompt工程的核心目标是削减固定稳态Token开销，即在保证输出质量不降级的前提下，系统性地降低多轮交互中反复传输、反复计算的“不变成本”。</w:t>
      </w:r>
    </w:p>
    <w:p>
      <w:pPr>
        <w:ind w:firstLine="643"/>
      </w:pPr>
      <w:r>
        <w:rPr>
          <w:rFonts w:hint="eastAsia"/>
          <w:b/>
          <w:bCs/>
        </w:rPr>
        <w:t>Prompt工程应坚持四大原则</w:t>
      </w:r>
      <w:r>
        <w:rPr>
          <w:rFonts w:hint="eastAsia"/>
        </w:rPr>
        <w:t>：一是清晰结构化，指令表达无歧义，通过分段、编号等形式降低模型理解成本；二是业务角色设定与约束，明确模型的业务专家身份，并严格限定输出格式、篇幅与禁用内容；三是少量样本引导，通过提供高质量的输入输出样例，引导模型精准对齐业务期望；四是模板可管可控，统一归集企业全部Prompt模板，留存版本修改记录，支持灰度发布与一键回滚，避免无规范自定义提示词造成Token浪费。</w:t>
      </w:r>
    </w:p>
    <w:p>
      <w:pPr>
        <w:ind w:firstLine="643"/>
      </w:pPr>
      <w:r>
        <w:rPr>
          <w:rFonts w:hint="eastAsia"/>
          <w:b/>
          <w:bCs/>
        </w:rPr>
        <w:t>具体来看，在公有云API模式下</w:t>
      </w:r>
      <w:r>
        <w:rPr>
          <w:rFonts w:hint="eastAsia"/>
        </w:rPr>
        <w:t>，Prompt工程的实施路径侧重动态测试与效果评估。企业应建立Prompt A/B测试机制，针对工艺报告生成、设备客服咨询、质检文本分析等不同场景，配置多套提示词模板。在模板设计层面，企业应注重优化Prompt的结构布局，利用大模型对输入开头和结尾关注度更高的特性，将角色设定、工艺原则、输出格式要求等固定不变的“硬性指令”集中放置在上下文的最前面，以确保模型每次响应时都能优先捕获并遵循核心约束；同时，可将具体问题或待处理文本放在末尾。这种结构优化能有效提高指令遵循的命中率，减少因“中间丢失”导致的逻辑偏差。通过统计业务采纳率、人工复核转单量、回答准确率等指标，量化对比各版本Prompt的Token消耗与业务收益。同时可借助云端大模型长上下文能力，动态注入最新工艺标准、设备台账等参考资料，优化长对话场景上下文复用逻辑，减少重复输入带来的冗余Token开销。</w:t>
      </w:r>
    </w:p>
    <w:p>
      <w:pPr>
        <w:numPr>
          <w:ilvl w:val="255"/>
          <w:numId w:val="0"/>
        </w:numPr>
        <w:ind w:firstLine="642" w:firstLineChars="200"/>
      </w:pPr>
      <w:r>
        <w:rPr>
          <w:rFonts w:hint="eastAsia"/>
          <w:b/>
          <w:bCs/>
        </w:rPr>
        <w:t>在本地部署模式下</w:t>
      </w:r>
      <w:r>
        <w:rPr>
          <w:rFonts w:hint="eastAsia"/>
        </w:rPr>
        <w:t>，Prompt工程需兼顾提示词输出效果与GPU算力负载，并深度适配工业场景。受本地算力上限约束，企业需精简Prompt内容，控制Few-shot案例数量，长对话历史自动摘要压缩，减少单次推理显存占用与Token消耗。针对制造业设备日志与工人现场描述等非结构化数据，统一设计“结构化信息抽取—故障归类—根因分析—整改建议输出”的标准化推理链路。此外，本地部署的Prompt模板应支持文本图像联合输入，结合现场巡检图片与传感器数据进行综合研判，将复杂业务规则固化为系统内置逻辑，降低单次推理输入Token总量，缓解本地算力压力。</w:t>
      </w:r>
    </w:p>
    <w:p>
      <w:pPr>
        <w:pStyle w:val="4"/>
        <w:ind w:firstLine="643"/>
      </w:pPr>
      <w:bookmarkStart w:id="48" w:name="_Toc15254"/>
      <w:bookmarkStart w:id="49" w:name="_Toc16669"/>
      <w:r>
        <w:rPr>
          <w:rFonts w:hint="eastAsia"/>
        </w:rPr>
        <w:t>6.RAG配置与更新</w:t>
      </w:r>
      <w:bookmarkEnd w:id="48"/>
      <w:bookmarkEnd w:id="49"/>
    </w:p>
    <w:p>
      <w:pPr>
        <w:ind w:firstLine="640"/>
      </w:pPr>
      <w:r>
        <w:rPr>
          <w:rFonts w:hint="eastAsia"/>
        </w:rPr>
        <w:t>RAG配置与更新的核心目标是解决通用大模型难以直接适配制造业垂直场景的一系列问题，即通过将企业内部知识向量化并构建为可检索的知识库，让模型在回答问题时能够查阅企业内部资料，而非仅依赖训练时的通用知识，保障模型基于最新知识库开展分析决策，保障模型回答质量，控制Token消耗基线。</w:t>
      </w:r>
    </w:p>
    <w:p>
      <w:pPr>
        <w:ind w:firstLine="643"/>
      </w:pPr>
      <w:r>
        <w:rPr>
          <w:rFonts w:hint="eastAsia"/>
          <w:b/>
          <w:bCs/>
        </w:rPr>
        <w:t>RAG配置与更新应坚持四大核心原则</w:t>
      </w:r>
      <w:r>
        <w:rPr>
          <w:rFonts w:hint="eastAsia"/>
        </w:rPr>
        <w:t>：一是自动化时效更新，打通企业网盘、OA、MES文档系统，实现新增技术文档自动抓取、清洗、矢量化入库，消除人工维护滞后问题；二是检索精度优先，采用父子文档等高级检索策略，保障召回内容完整、精准，减少无关文本拼接带来的多余Token；三是业务反馈闭环，收集用户问答点赞、纠错反馈，定期复盘回答错误、资料未命中案例，持续优化文档切片、矢量检索策略。四是分级精准运维，引入RAG成熟度模型（如RMM</w:t>
      </w:r>
      <w:r>
        <w:rPr>
          <w:rFonts w:hint="eastAsia"/>
          <w:vertAlign w:val="superscript"/>
        </w:rPr>
        <w:t>20</w:t>
      </w:r>
      <w:r>
        <w:rPr>
          <w:rFonts w:hint="eastAsia"/>
        </w:rPr>
        <w:t>）进行分级管理，明确不同场景下的建设目标与投入重点。对于检索精度与知识时效性要求高的场景，通常需达到RMM-4及以上级别，即在召回与重排序优化的基础上，建立缓存机制以保障响应性能，并通过周期性评测监控系统漂移；更进一步达到RMM-5企业级成熟度时，还需引入A/B测试、对抗性测试及CI/CD门禁，确保每次知识库更新均可量化验证对下游任务准确率的影响。而对于日常问答等常规场景，达到RMM-2（优化检索精度）或RMM-3（优化工作流）级别即可满足需求。通过分级设定维护策略，可在不同业务场景间合理分配运维资源，避免统一标准下的过度建设或精度不足。</w:t>
      </w:r>
    </w:p>
    <w:p>
      <w:pPr>
        <w:ind w:firstLine="643"/>
      </w:pPr>
      <w:r>
        <w:rPr>
          <w:rFonts w:hint="eastAsia"/>
          <w:b/>
          <w:bCs/>
        </w:rPr>
        <w:t>具体来看，在公有云API模式下</w:t>
      </w:r>
      <w:r>
        <w:rPr>
          <w:rFonts w:hint="eastAsia"/>
        </w:rPr>
        <w:t>，RAG配置与更新依托云端矢量库、托管知识库服务实现弹性检索。企业将工艺图纸、设备手册、生产规范批量自动化切片、矢量化存储；用户发起业务查询时，云端高并发检索引擎快速匹配关联资料，拼接至Prompt后送入大模型推理。依托云端弹性算力承载海量文档检索需求，无需占用本地硬件资源，同时可按检索调用量精细化核算Token与检索资源成本。在此基础上，可针对不同业务场景按需设定RMM目标等级并配置相应维护策略：对于产线自主决策类等高准确度场景，按RMM-4/5级别要求配置缓存加速、周期性评测及版本更新准入机制，确保每次更新均经过量化验证；对于常规知识问答场景，按RMM-2/3级别要求配置基础检索优化与反馈闭环即可。云端托管的弹性特性使得不同等级策略可按业务单元独立部署与计费，实现资源投入与精度要求的精准匹配。</w:t>
      </w:r>
    </w:p>
    <w:p>
      <w:pPr>
        <w:ind w:firstLine="643"/>
      </w:pPr>
      <w:r>
        <w:rPr>
          <w:rFonts w:hint="eastAsia"/>
          <w:b/>
          <w:bCs/>
        </w:rPr>
        <w:t>在本地部署模式下</w:t>
      </w:r>
      <w:r>
        <w:rPr>
          <w:rFonts w:hint="eastAsia"/>
        </w:rPr>
        <w:t>，RAG配置与更新的核心在于全链路本地化、数据安全与OT/IT数据打通。企业需在内网自建矢量数据库与检索引擎，文档解析、清洗、切片、矢量化全部本地完成，严守制造核心生产数据安全要求。为规避实时查询占用算力影响产线推理任务，设置非生产时段批量完成新文档矢量化预处理，同时对反馈闭环中积累的错误案例进行离线批量评估与检索策略验证，实现后台运维算力的集中复用。深度打通OT设备层、IT业务系统，实时同步设备故障码、工艺参数，建立故障与解决方案精准映射；通过矢量检索过滤冗余传感器数据，搭配知识图谱做语义压缩，避免大模型因海量冗余信息过载产生模糊结论，同时大幅压缩输入Token规模，降低GPU算力占用。在本地资源有限的前提下，更应依据RMM分级对维护策略进行差异化投入：面向产线自主决策的核心场景，集中资源优先达到RMM-4级要求，重点保障其检索精度的周期性评测、缓存响应速度及系统漂移监控；对于辅助类查询场景，维持RMM-2/3级标准，通过基础检索优化与反馈闭环持续迭代。同时，本地部署模式下可充分利用非生产时段的批量处理窗口，针对不同等级场景安排差异化的向量化更新频率与评测周期，在有限的算力资源下实现分级保障。</w:t>
      </w:r>
    </w:p>
    <w:p>
      <w:pPr>
        <w:pStyle w:val="3"/>
        <w:numPr>
          <w:ilvl w:val="0"/>
          <w:numId w:val="1"/>
        </w:numPr>
      </w:pPr>
      <w:bookmarkStart w:id="50" w:name="_Toc5408"/>
      <w:bookmarkStart w:id="51" w:name="_Toc16783"/>
      <w:r>
        <w:rPr>
          <w:rFonts w:hint="eastAsia"/>
        </w:rPr>
        <w:t>事中运行监控</w:t>
      </w:r>
      <w:bookmarkEnd w:id="50"/>
      <w:bookmarkEnd w:id="51"/>
    </w:p>
    <w:p>
      <w:pPr>
        <w:pStyle w:val="4"/>
        <w:numPr>
          <w:ilvl w:val="0"/>
          <w:numId w:val="2"/>
        </w:numPr>
        <w:ind w:left="0" w:firstLine="643"/>
      </w:pPr>
      <w:bookmarkStart w:id="52" w:name="_Toc7733"/>
      <w:bookmarkStart w:id="53" w:name="_Toc24356"/>
      <w:r>
        <w:rPr>
          <w:rFonts w:hint="eastAsia"/>
        </w:rPr>
        <w:t>并发与限流机制</w:t>
      </w:r>
      <w:bookmarkEnd w:id="52"/>
      <w:bookmarkEnd w:id="53"/>
    </w:p>
    <w:p>
      <w:pPr>
        <w:ind w:firstLine="640"/>
      </w:pPr>
      <w:r>
        <w:rPr>
          <w:rFonts w:hint="eastAsia"/>
        </w:rPr>
        <w:t>并发与限流机制是依托智能调度引擎与配额规则执行组件，以场景分级优先级为核心依据，对实时调用流量实施分级调度、峰值限流与故障降级，在流量波动与资源受限场景下按优先级有序分配算力与</w:t>
      </w:r>
      <w:r>
        <w:rPr>
          <w:rFonts w:cs="Times New Roman"/>
        </w:rPr>
        <w:t>Token</w:t>
      </w:r>
      <w:r>
        <w:rPr>
          <w:rFonts w:hint="eastAsia"/>
        </w:rPr>
        <w:t>资源，为核心生产场景稳定运行、全局服务可用性保障提供流量管控底座。</w:t>
      </w:r>
    </w:p>
    <w:p>
      <w:pPr>
        <w:ind w:firstLine="643"/>
      </w:pPr>
      <w:r>
        <w:rPr>
          <w:rFonts w:hint="eastAsia"/>
          <w:b/>
          <w:bCs/>
        </w:rPr>
        <w:t>并发与限流机制应坚持四大原则</w:t>
      </w:r>
      <w:r>
        <w:rPr>
          <w:rFonts w:hint="eastAsia"/>
        </w:rPr>
        <w:t>：一是分级优先保障，按场景等级优先级调度资源，算力与Token额度向核心生产场景倾斜，杜绝无差别平均分配；二是多维阈值管控，按场景、部门、用户三层设置分级限流与熔断阈值，高优先级场景保底、低优先级场景严控，防止无序挤占引发全局服务中断；三是动态弹性适配，随流量峰谷与配额使用进度实时调整限流力度，高峰锁资源保生产、低谷放权限提复用；四是链路联动闭环，限流规则与配额管控、路由调度、容灾降级深度联动，触发可追溯、故障可梯度回切，保障业务连续性。</w:t>
      </w:r>
    </w:p>
    <w:p>
      <w:pPr>
        <w:ind w:firstLine="643"/>
      </w:pPr>
      <w:r>
        <w:rPr>
          <w:rFonts w:hint="eastAsia"/>
          <w:b/>
          <w:bCs/>
        </w:rPr>
        <w:t>具体来看，在公有云</w:t>
      </w:r>
      <w:r>
        <w:rPr>
          <w:rFonts w:cs="Times New Roman"/>
          <w:b/>
          <w:bCs/>
        </w:rPr>
        <w:t>API</w:t>
      </w:r>
      <w:r>
        <w:rPr>
          <w:rFonts w:hint="eastAsia"/>
          <w:b/>
          <w:bCs/>
        </w:rPr>
        <w:t>模式下</w:t>
      </w:r>
      <w:r>
        <w:rPr>
          <w:rFonts w:hint="eastAsia"/>
        </w:rPr>
        <w:t>，并发与限流机制以请求级身份标签与网关流量管控为基础，推荐采用“统一网关队列+分级阈值引擎”管控方案。各业务应用统一接入企业AI调度网关发起请求，携带场景等级、部门归属、用户身份标识按序进入对应优先级调度队列，不直接对接各厂商公有云API接口。智能调度引擎在请求准入阶段，自动完成场景配额余量校验、并发阈值实时判定与队列分发，结合配额使用率联动触发限流提醒、收紧与熔断动作，同步留存全量流量管控审计日志；针对工控瘫痪、工艺泄密等高风险生产安全场景，增设一票否决熔断红线。一旦触及安全临界阈值或出现异常调用模式，立即强制熔断并阻断全链路请求，不受常规优先级调度约束，同步冻结关联配额余量，并留存带责任追溯标识的全量审计记录，确保安全事件追责可闭环、可倒查。</w:t>
      </w:r>
    </w:p>
    <w:p>
      <w:pPr>
        <w:ind w:firstLine="643"/>
      </w:pPr>
      <w:r>
        <w:rPr>
          <w:rFonts w:hint="eastAsia"/>
          <w:b/>
          <w:bCs/>
        </w:rPr>
        <w:t>在本地化部署模式下</w:t>
      </w:r>
      <w:r>
        <w:rPr>
          <w:rFonts w:hint="eastAsia"/>
        </w:rPr>
        <w:t>，企业需建立统一的本地流量调度与容量管控体系，将GPU集群、产线边缘节点的总算力容量转化为标准化并发承载阈值，按场景等级划定专属算力保障配额与全局共享资源池。依托容器调度平台与智能限流引擎，实时采集各模型实例的负载率、推理时延、并发占用量等运行指标，结合分级限流规则动态调整队列优先级、执行分级降级熔断、释放低优先级场景占用资源；其中，面向工控、工艺等高风险生产安全场景，应部署独立的安全阈值监测与强制熔断通路，一旦识别到可能导致生产瘫痪或工艺数据泄露的调用特征，直接由安全熔断通路执行一票否决阻断，并生成包含调用来源、操作链路、触发依据及责任人信息的详细审计记录，支撑事后安全追溯与责任认定。</w:t>
      </w:r>
    </w:p>
    <w:p>
      <w:pPr>
        <w:ind w:firstLine="0" w:firstLineChars="0"/>
        <w:jc w:val="center"/>
        <w:rPr>
          <w:rFonts w:hint="default" w:ascii="Times New Roman" w:hAnsi="Times New Roman" w:eastAsia="方正黑体_GBK" w:cs="Times New Roman"/>
        </w:rPr>
      </w:pPr>
      <w:r>
        <w:rPr>
          <w:rFonts w:hint="default" w:ascii="Times New Roman" w:hAnsi="Times New Roman" w:eastAsia="方正黑体_GBK" w:cs="Times New Roman"/>
          <w:sz w:val="24"/>
          <w:szCs w:val="21"/>
        </w:rPr>
        <w:t>表</w:t>
      </w:r>
      <w:r>
        <w:rPr>
          <w:rFonts w:hint="default" w:ascii="Times New Roman" w:hAnsi="Times New Roman" w:eastAsia="方正黑体_GBK" w:cs="Times New Roman"/>
          <w:sz w:val="24"/>
          <w:szCs w:val="21"/>
        </w:rPr>
        <w:fldChar w:fldCharType="begin"/>
      </w:r>
      <w:r>
        <w:rPr>
          <w:rFonts w:hint="default" w:ascii="Times New Roman" w:hAnsi="Times New Roman" w:eastAsia="方正黑体_GBK" w:cs="Times New Roman"/>
          <w:sz w:val="24"/>
          <w:szCs w:val="21"/>
        </w:rPr>
        <w:instrText xml:space="preserve"> SEQ 表 \* ARABIC </w:instrText>
      </w:r>
      <w:r>
        <w:rPr>
          <w:rFonts w:hint="default" w:ascii="Times New Roman" w:hAnsi="Times New Roman" w:eastAsia="方正黑体_GBK" w:cs="Times New Roman"/>
          <w:sz w:val="24"/>
          <w:szCs w:val="21"/>
        </w:rPr>
        <w:fldChar w:fldCharType="separate"/>
      </w:r>
      <w:r>
        <w:rPr>
          <w:rFonts w:hint="default" w:ascii="Times New Roman" w:hAnsi="Times New Roman" w:eastAsia="方正黑体_GBK" w:cs="Times New Roman"/>
          <w:sz w:val="24"/>
          <w:szCs w:val="21"/>
        </w:rPr>
        <w:t>6</w:t>
      </w:r>
      <w:r>
        <w:rPr>
          <w:rFonts w:hint="default" w:ascii="Times New Roman" w:hAnsi="Times New Roman" w:eastAsia="方正黑体_GBK" w:cs="Times New Roman"/>
          <w:sz w:val="24"/>
          <w:szCs w:val="21"/>
        </w:rPr>
        <w:fldChar w:fldCharType="end"/>
      </w:r>
      <w:r>
        <w:rPr>
          <w:rFonts w:hint="default" w:ascii="Times New Roman" w:hAnsi="Times New Roman" w:eastAsia="方正黑体_GBK" w:cs="Times New Roman"/>
          <w:sz w:val="24"/>
          <w:szCs w:val="21"/>
        </w:rPr>
        <w:t xml:space="preserve"> 本地部署模式下并发设置关键维度及建议</w:t>
      </w:r>
    </w:p>
    <w:tbl>
      <w:tblPr>
        <w:tblStyle w:val="25"/>
        <w:tblW w:w="5046" w:type="pct"/>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2195"/>
        <w:gridCol w:w="4978"/>
        <w:gridCol w:w="1970"/>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74" w:hRule="atLeast"/>
          <w:jc w:val="center"/>
        </w:trPr>
        <w:tc>
          <w:tcPr>
            <w:tcW w:w="1200" w:type="pct"/>
          </w:tcPr>
          <w:p>
            <w:pPr>
              <w:spacing w:line="380" w:lineRule="exact"/>
              <w:ind w:firstLine="0" w:firstLineChars="0"/>
              <w:jc w:val="center"/>
              <w:rPr>
                <w:rFonts w:hint="eastAsia" w:ascii="方正黑体_GBK" w:hAnsi="方正黑体_GBK" w:eastAsia="方正黑体_GBK" w:cs="方正黑体_GBK"/>
                <w:b w:val="0"/>
                <w:bCs w:val="0"/>
                <w:sz w:val="24"/>
                <w:szCs w:val="21"/>
              </w:rPr>
            </w:pPr>
            <w:r>
              <w:rPr>
                <w:rFonts w:hint="eastAsia" w:ascii="方正黑体_GBK" w:hAnsi="方正黑体_GBK" w:eastAsia="方正黑体_GBK" w:cs="方正黑体_GBK"/>
                <w:b w:val="0"/>
                <w:bCs w:val="0"/>
                <w:sz w:val="24"/>
                <w:szCs w:val="21"/>
              </w:rPr>
              <w:t>维度</w:t>
            </w:r>
          </w:p>
        </w:tc>
        <w:tc>
          <w:tcPr>
            <w:tcW w:w="2721" w:type="pct"/>
          </w:tcPr>
          <w:p>
            <w:pPr>
              <w:spacing w:line="380" w:lineRule="exact"/>
              <w:ind w:firstLine="0" w:firstLineChars="0"/>
              <w:jc w:val="center"/>
              <w:rPr>
                <w:rFonts w:hint="eastAsia" w:ascii="方正黑体_GBK" w:hAnsi="方正黑体_GBK" w:eastAsia="方正黑体_GBK" w:cs="方正黑体_GBK"/>
                <w:b w:val="0"/>
                <w:bCs w:val="0"/>
                <w:sz w:val="24"/>
                <w:szCs w:val="21"/>
              </w:rPr>
            </w:pPr>
            <w:r>
              <w:rPr>
                <w:rFonts w:hint="eastAsia" w:ascii="方正黑体_GBK" w:hAnsi="方正黑体_GBK" w:eastAsia="方正黑体_GBK" w:cs="方正黑体_GBK"/>
                <w:b w:val="0"/>
                <w:bCs w:val="0"/>
                <w:sz w:val="24"/>
                <w:szCs w:val="21"/>
              </w:rPr>
              <w:t>核心要点</w:t>
            </w:r>
          </w:p>
        </w:tc>
        <w:tc>
          <w:tcPr>
            <w:tcW w:w="1077" w:type="pct"/>
          </w:tcPr>
          <w:p>
            <w:pPr>
              <w:spacing w:line="380" w:lineRule="exact"/>
              <w:ind w:firstLine="0" w:firstLineChars="0"/>
              <w:jc w:val="center"/>
              <w:rPr>
                <w:rFonts w:hint="eastAsia" w:ascii="方正黑体_GBK" w:hAnsi="方正黑体_GBK" w:eastAsia="方正黑体_GBK" w:cs="方正黑体_GBK"/>
                <w:b w:val="0"/>
                <w:bCs w:val="0"/>
                <w:sz w:val="24"/>
                <w:szCs w:val="21"/>
              </w:rPr>
            </w:pPr>
            <w:r>
              <w:rPr>
                <w:rFonts w:hint="eastAsia" w:ascii="方正黑体_GBK" w:hAnsi="方正黑体_GBK" w:eastAsia="方正黑体_GBK" w:cs="方正黑体_GBK"/>
                <w:b w:val="0"/>
                <w:bCs w:val="0"/>
                <w:sz w:val="24"/>
                <w:szCs w:val="21"/>
              </w:rPr>
              <w:t>建议值</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39" w:hRule="atLeast"/>
          <w:jc w:val="center"/>
        </w:trPr>
        <w:tc>
          <w:tcPr>
            <w:tcW w:w="1200" w:type="pct"/>
            <w:vAlign w:val="center"/>
          </w:tcPr>
          <w:p>
            <w:pPr>
              <w:spacing w:line="320" w:lineRule="exact"/>
              <w:ind w:firstLine="0" w:firstLineChars="0"/>
              <w:jc w:val="center"/>
              <w:rPr>
                <w:sz w:val="24"/>
                <w:szCs w:val="21"/>
              </w:rPr>
            </w:pPr>
            <w:r>
              <w:rPr>
                <w:rFonts w:hint="eastAsia"/>
                <w:sz w:val="24"/>
                <w:szCs w:val="21"/>
              </w:rPr>
              <w:t>设置位置</w:t>
            </w:r>
          </w:p>
        </w:tc>
        <w:tc>
          <w:tcPr>
            <w:tcW w:w="2721" w:type="pct"/>
            <w:vAlign w:val="center"/>
          </w:tcPr>
          <w:p>
            <w:pPr>
              <w:spacing w:line="320" w:lineRule="exact"/>
              <w:ind w:firstLine="0" w:firstLineChars="0"/>
              <w:jc w:val="center"/>
              <w:rPr>
                <w:sz w:val="24"/>
                <w:szCs w:val="21"/>
              </w:rPr>
            </w:pPr>
            <w:r>
              <w:rPr>
                <w:rFonts w:hint="eastAsia"/>
                <w:sz w:val="24"/>
                <w:szCs w:val="21"/>
              </w:rPr>
              <w:t>在推理服务层配置</w:t>
            </w:r>
          </w:p>
          <w:p>
            <w:pPr>
              <w:spacing w:line="320" w:lineRule="exact"/>
              <w:ind w:firstLine="0" w:firstLineChars="0"/>
              <w:jc w:val="center"/>
              <w:rPr>
                <w:sz w:val="24"/>
                <w:szCs w:val="21"/>
              </w:rPr>
            </w:pPr>
            <w:r>
              <w:rPr>
                <w:rFonts w:hint="eastAsia"/>
                <w:sz w:val="24"/>
                <w:szCs w:val="21"/>
              </w:rPr>
              <w:t>（vLLM/Ollama/自建网关）</w:t>
            </w:r>
          </w:p>
        </w:tc>
        <w:tc>
          <w:tcPr>
            <w:tcW w:w="1077" w:type="pct"/>
            <w:vAlign w:val="center"/>
          </w:tcPr>
          <w:p>
            <w:pPr>
              <w:spacing w:line="320" w:lineRule="exact"/>
              <w:ind w:firstLine="0" w:firstLineChars="0"/>
              <w:jc w:val="center"/>
              <w:rPr>
                <w:sz w:val="24"/>
                <w:szCs w:val="21"/>
              </w:rPr>
            </w:pPr>
            <w:r>
              <w:rPr>
                <w:rFonts w:hint="eastAsia"/>
                <w:sz w:val="24"/>
                <w:szCs w:val="21"/>
              </w:rPr>
              <w:t>—</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39" w:hRule="atLeast"/>
          <w:jc w:val="center"/>
        </w:trPr>
        <w:tc>
          <w:tcPr>
            <w:tcW w:w="1200" w:type="pct"/>
            <w:vAlign w:val="center"/>
          </w:tcPr>
          <w:p>
            <w:pPr>
              <w:spacing w:line="320" w:lineRule="exact"/>
              <w:ind w:firstLine="0" w:firstLineChars="0"/>
              <w:jc w:val="center"/>
              <w:rPr>
                <w:sz w:val="24"/>
                <w:szCs w:val="21"/>
              </w:rPr>
            </w:pPr>
            <w:r>
              <w:rPr>
                <w:rFonts w:hint="eastAsia"/>
                <w:sz w:val="24"/>
                <w:szCs w:val="21"/>
              </w:rPr>
              <w:t>硬性上限公式</w:t>
            </w:r>
          </w:p>
        </w:tc>
        <w:tc>
          <w:tcPr>
            <w:tcW w:w="2721" w:type="pct"/>
            <w:vAlign w:val="center"/>
          </w:tcPr>
          <w:p>
            <w:pPr>
              <w:spacing w:line="320" w:lineRule="exact"/>
              <w:ind w:firstLine="0" w:firstLineChars="0"/>
              <w:jc w:val="center"/>
              <w:rPr>
                <w:sz w:val="24"/>
                <w:szCs w:val="21"/>
              </w:rPr>
            </w:pPr>
            <w:r>
              <w:rPr>
                <w:rFonts w:hint="eastAsia"/>
                <w:sz w:val="24"/>
                <w:szCs w:val="21"/>
              </w:rPr>
              <w:t>压测找到P99延迟拐点后，打七折留余量</w:t>
            </w:r>
          </w:p>
        </w:tc>
        <w:tc>
          <w:tcPr>
            <w:tcW w:w="1077" w:type="pct"/>
            <w:vAlign w:val="center"/>
          </w:tcPr>
          <w:p>
            <w:pPr>
              <w:spacing w:line="320" w:lineRule="exact"/>
              <w:ind w:firstLine="0" w:firstLineChars="0"/>
              <w:jc w:val="center"/>
              <w:rPr>
                <w:sz w:val="24"/>
                <w:szCs w:val="21"/>
              </w:rPr>
            </w:pPr>
            <w:r>
              <w:rPr>
                <w:rFonts w:hint="eastAsia"/>
                <w:sz w:val="24"/>
                <w:szCs w:val="21"/>
              </w:rPr>
              <w:t>理论上限×0.7</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113" w:hRule="atLeast"/>
          <w:jc w:val="center"/>
        </w:trPr>
        <w:tc>
          <w:tcPr>
            <w:tcW w:w="1200" w:type="pct"/>
            <w:vAlign w:val="center"/>
          </w:tcPr>
          <w:p>
            <w:pPr>
              <w:spacing w:line="320" w:lineRule="exact"/>
              <w:ind w:firstLine="0" w:firstLineChars="0"/>
              <w:jc w:val="center"/>
              <w:rPr>
                <w:sz w:val="24"/>
                <w:szCs w:val="21"/>
              </w:rPr>
            </w:pPr>
            <w:r>
              <w:rPr>
                <w:rFonts w:hint="eastAsia"/>
                <w:sz w:val="24"/>
                <w:szCs w:val="21"/>
              </w:rPr>
              <w:t>单请求长度上限</w:t>
            </w:r>
          </w:p>
        </w:tc>
        <w:tc>
          <w:tcPr>
            <w:tcW w:w="2721" w:type="pct"/>
            <w:vAlign w:val="center"/>
          </w:tcPr>
          <w:p>
            <w:pPr>
              <w:spacing w:line="320" w:lineRule="exact"/>
              <w:ind w:firstLine="0" w:firstLineChars="0"/>
              <w:jc w:val="center"/>
              <w:rPr>
                <w:sz w:val="24"/>
                <w:szCs w:val="21"/>
              </w:rPr>
            </w:pPr>
            <w:r>
              <w:rPr>
                <w:rFonts w:hint="eastAsia"/>
                <w:sz w:val="24"/>
                <w:szCs w:val="21"/>
              </w:rPr>
              <w:t>限制单次请求最大Token数，防止超长请求打穿显存</w:t>
            </w:r>
          </w:p>
        </w:tc>
        <w:tc>
          <w:tcPr>
            <w:tcW w:w="1077" w:type="pct"/>
            <w:vAlign w:val="center"/>
          </w:tcPr>
          <w:p>
            <w:pPr>
              <w:spacing w:line="320" w:lineRule="exact"/>
              <w:ind w:firstLine="0" w:firstLineChars="0"/>
              <w:jc w:val="center"/>
              <w:rPr>
                <w:sz w:val="24"/>
                <w:szCs w:val="21"/>
              </w:rPr>
            </w:pPr>
            <w:r>
              <w:rPr>
                <w:rFonts w:hint="eastAsia"/>
                <w:sz w:val="24"/>
                <w:szCs w:val="21"/>
              </w:rPr>
              <w:t>根据场景设定（质检≤4K，知识库≤8K）</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95" w:hRule="atLeast"/>
          <w:jc w:val="center"/>
        </w:trPr>
        <w:tc>
          <w:tcPr>
            <w:tcW w:w="1200" w:type="pct"/>
            <w:vAlign w:val="center"/>
          </w:tcPr>
          <w:p>
            <w:pPr>
              <w:spacing w:line="320" w:lineRule="exact"/>
              <w:ind w:firstLine="0" w:firstLineChars="0"/>
              <w:jc w:val="center"/>
              <w:rPr>
                <w:sz w:val="24"/>
                <w:szCs w:val="21"/>
              </w:rPr>
            </w:pPr>
            <w:r>
              <w:rPr>
                <w:rFonts w:hint="eastAsia"/>
                <w:sz w:val="24"/>
                <w:szCs w:val="21"/>
              </w:rPr>
              <w:t>并发上限</w:t>
            </w:r>
          </w:p>
        </w:tc>
        <w:tc>
          <w:tcPr>
            <w:tcW w:w="2721" w:type="pct"/>
            <w:vAlign w:val="center"/>
          </w:tcPr>
          <w:p>
            <w:pPr>
              <w:spacing w:line="320" w:lineRule="exact"/>
              <w:ind w:firstLine="0" w:firstLineChars="0"/>
              <w:jc w:val="center"/>
              <w:rPr>
                <w:sz w:val="24"/>
                <w:szCs w:val="21"/>
              </w:rPr>
            </w:pPr>
            <w:r>
              <w:rPr>
                <w:rFonts w:hint="eastAsia"/>
                <w:sz w:val="24"/>
                <w:szCs w:val="21"/>
              </w:rPr>
              <w:t>超过上限的请求进入有界队列排队等待</w:t>
            </w:r>
          </w:p>
        </w:tc>
        <w:tc>
          <w:tcPr>
            <w:tcW w:w="1077" w:type="pct"/>
            <w:vAlign w:val="center"/>
          </w:tcPr>
          <w:p>
            <w:pPr>
              <w:spacing w:line="320" w:lineRule="exact"/>
              <w:ind w:firstLine="0" w:firstLineChars="0"/>
              <w:jc w:val="center"/>
              <w:rPr>
                <w:sz w:val="24"/>
                <w:szCs w:val="21"/>
              </w:rPr>
            </w:pPr>
            <w:r>
              <w:rPr>
                <w:rFonts w:hint="eastAsia"/>
                <w:sz w:val="24"/>
                <w:szCs w:val="21"/>
              </w:rPr>
              <w:t>压测拐点×0.7</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63" w:hRule="atLeast"/>
          <w:jc w:val="center"/>
        </w:trPr>
        <w:tc>
          <w:tcPr>
            <w:tcW w:w="1200" w:type="pct"/>
            <w:vAlign w:val="center"/>
          </w:tcPr>
          <w:p>
            <w:pPr>
              <w:spacing w:line="320" w:lineRule="exact"/>
              <w:ind w:firstLine="0" w:firstLineChars="0"/>
              <w:jc w:val="center"/>
              <w:rPr>
                <w:sz w:val="24"/>
                <w:szCs w:val="21"/>
              </w:rPr>
            </w:pPr>
            <w:r>
              <w:rPr>
                <w:rFonts w:hint="eastAsia"/>
                <w:sz w:val="24"/>
                <w:szCs w:val="21"/>
              </w:rPr>
              <w:t>队列深度上限</w:t>
            </w:r>
          </w:p>
        </w:tc>
        <w:tc>
          <w:tcPr>
            <w:tcW w:w="2721" w:type="pct"/>
            <w:vAlign w:val="center"/>
          </w:tcPr>
          <w:p>
            <w:pPr>
              <w:spacing w:line="320" w:lineRule="exact"/>
              <w:ind w:firstLine="0" w:firstLineChars="0"/>
              <w:jc w:val="center"/>
              <w:rPr>
                <w:sz w:val="24"/>
                <w:szCs w:val="21"/>
              </w:rPr>
            </w:pPr>
            <w:r>
              <w:rPr>
                <w:rFonts w:hint="eastAsia"/>
                <w:sz w:val="24"/>
                <w:szCs w:val="21"/>
              </w:rPr>
              <w:t>队列满后直接返回快速失败，避免无限堆积</w:t>
            </w:r>
          </w:p>
        </w:tc>
        <w:tc>
          <w:tcPr>
            <w:tcW w:w="1077" w:type="pct"/>
            <w:vAlign w:val="center"/>
          </w:tcPr>
          <w:p>
            <w:pPr>
              <w:spacing w:line="320" w:lineRule="exact"/>
              <w:ind w:firstLine="0" w:firstLineChars="0"/>
              <w:jc w:val="center"/>
              <w:rPr>
                <w:sz w:val="24"/>
                <w:szCs w:val="21"/>
              </w:rPr>
            </w:pPr>
            <w:r>
              <w:rPr>
                <w:rFonts w:hint="eastAsia"/>
                <w:sz w:val="24"/>
                <w:szCs w:val="21"/>
              </w:rPr>
              <w:t>并发上限的2~3倍</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06" w:hRule="atLeast"/>
          <w:jc w:val="center"/>
        </w:trPr>
        <w:tc>
          <w:tcPr>
            <w:tcW w:w="1200" w:type="pct"/>
            <w:vAlign w:val="center"/>
          </w:tcPr>
          <w:p>
            <w:pPr>
              <w:spacing w:line="320" w:lineRule="exact"/>
              <w:ind w:firstLine="0" w:firstLineChars="0"/>
              <w:jc w:val="center"/>
              <w:rPr>
                <w:sz w:val="24"/>
                <w:szCs w:val="21"/>
              </w:rPr>
            </w:pPr>
            <w:r>
              <w:rPr>
                <w:rFonts w:hint="eastAsia"/>
                <w:sz w:val="24"/>
                <w:szCs w:val="21"/>
              </w:rPr>
              <w:t>显存利用率警戒线</w:t>
            </w:r>
          </w:p>
        </w:tc>
        <w:tc>
          <w:tcPr>
            <w:tcW w:w="2721" w:type="pct"/>
            <w:vAlign w:val="center"/>
          </w:tcPr>
          <w:p>
            <w:pPr>
              <w:spacing w:line="320" w:lineRule="exact"/>
              <w:ind w:firstLine="0" w:firstLineChars="0"/>
              <w:jc w:val="center"/>
              <w:rPr>
                <w:sz w:val="24"/>
                <w:szCs w:val="21"/>
              </w:rPr>
            </w:pPr>
            <w:r>
              <w:rPr>
                <w:rFonts w:hint="eastAsia"/>
                <w:sz w:val="24"/>
                <w:szCs w:val="21"/>
              </w:rPr>
              <w:t>超过该值触发告警，需降并发或扩容</w:t>
            </w:r>
          </w:p>
        </w:tc>
        <w:tc>
          <w:tcPr>
            <w:tcW w:w="1077" w:type="pct"/>
            <w:vAlign w:val="center"/>
          </w:tcPr>
          <w:p>
            <w:pPr>
              <w:spacing w:line="320" w:lineRule="exact"/>
              <w:ind w:firstLine="0" w:firstLineChars="0"/>
              <w:jc w:val="center"/>
              <w:rPr>
                <w:sz w:val="24"/>
                <w:szCs w:val="21"/>
              </w:rPr>
            </w:pPr>
            <w:r>
              <w:rPr>
                <w:rFonts w:hint="eastAsia"/>
                <w:sz w:val="24"/>
                <w:szCs w:val="21"/>
              </w:rPr>
              <w:t>85%</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21" w:hRule="atLeast"/>
          <w:jc w:val="center"/>
        </w:trPr>
        <w:tc>
          <w:tcPr>
            <w:tcW w:w="1200" w:type="pct"/>
            <w:vAlign w:val="center"/>
          </w:tcPr>
          <w:p>
            <w:pPr>
              <w:spacing w:line="320" w:lineRule="exact"/>
              <w:ind w:firstLine="0" w:firstLineChars="0"/>
              <w:jc w:val="center"/>
              <w:rPr>
                <w:sz w:val="24"/>
                <w:szCs w:val="21"/>
              </w:rPr>
            </w:pPr>
            <w:r>
              <w:rPr>
                <w:rFonts w:hint="eastAsia"/>
                <w:sz w:val="24"/>
                <w:szCs w:val="21"/>
              </w:rPr>
              <w:t>P99延迟警戒线</w:t>
            </w:r>
          </w:p>
        </w:tc>
        <w:tc>
          <w:tcPr>
            <w:tcW w:w="2721" w:type="pct"/>
            <w:vAlign w:val="center"/>
          </w:tcPr>
          <w:p>
            <w:pPr>
              <w:spacing w:line="320" w:lineRule="exact"/>
              <w:ind w:firstLine="0" w:firstLineChars="0"/>
              <w:jc w:val="center"/>
              <w:rPr>
                <w:sz w:val="24"/>
                <w:szCs w:val="21"/>
              </w:rPr>
            </w:pPr>
            <w:r>
              <w:rPr>
                <w:rFonts w:hint="eastAsia"/>
                <w:sz w:val="24"/>
                <w:szCs w:val="21"/>
              </w:rPr>
              <w:t>超过该值说明并发压力过大，需降并发</w:t>
            </w:r>
          </w:p>
        </w:tc>
        <w:tc>
          <w:tcPr>
            <w:tcW w:w="1077" w:type="pct"/>
            <w:vAlign w:val="center"/>
          </w:tcPr>
          <w:p>
            <w:pPr>
              <w:spacing w:line="320" w:lineRule="exact"/>
              <w:ind w:firstLine="0" w:firstLineChars="0"/>
              <w:jc w:val="center"/>
              <w:rPr>
                <w:sz w:val="24"/>
                <w:szCs w:val="21"/>
              </w:rPr>
            </w:pPr>
            <w:r>
              <w:rPr>
                <w:rFonts w:hint="eastAsia"/>
                <w:sz w:val="24"/>
                <w:szCs w:val="21"/>
              </w:rPr>
              <w:t>500ms</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45" w:hRule="atLeast"/>
          <w:jc w:val="center"/>
        </w:trPr>
        <w:tc>
          <w:tcPr>
            <w:tcW w:w="1200" w:type="pct"/>
            <w:vAlign w:val="center"/>
          </w:tcPr>
          <w:p>
            <w:pPr>
              <w:spacing w:line="380" w:lineRule="exact"/>
              <w:ind w:firstLine="0" w:firstLineChars="0"/>
              <w:jc w:val="center"/>
              <w:rPr>
                <w:sz w:val="24"/>
                <w:szCs w:val="21"/>
              </w:rPr>
            </w:pPr>
            <w:r>
              <w:rPr>
                <w:rFonts w:hint="eastAsia"/>
                <w:sz w:val="24"/>
                <w:szCs w:val="21"/>
              </w:rPr>
              <w:t>动态调整依据</w:t>
            </w:r>
          </w:p>
        </w:tc>
        <w:tc>
          <w:tcPr>
            <w:tcW w:w="2721" w:type="pct"/>
            <w:vAlign w:val="center"/>
          </w:tcPr>
          <w:p>
            <w:pPr>
              <w:spacing w:line="380" w:lineRule="exact"/>
              <w:ind w:firstLine="0" w:firstLineChars="0"/>
              <w:jc w:val="center"/>
              <w:rPr>
                <w:sz w:val="24"/>
                <w:szCs w:val="21"/>
              </w:rPr>
            </w:pPr>
            <w:r>
              <w:rPr>
                <w:rFonts w:hint="eastAsia"/>
                <w:sz w:val="24"/>
                <w:szCs w:val="21"/>
              </w:rPr>
              <w:t>拒绝率持续偏高→上调；显存利用率长期低于50%→上调</w:t>
            </w:r>
          </w:p>
        </w:tc>
        <w:tc>
          <w:tcPr>
            <w:tcW w:w="1077" w:type="pct"/>
            <w:vAlign w:val="center"/>
          </w:tcPr>
          <w:p>
            <w:pPr>
              <w:spacing w:line="380" w:lineRule="exact"/>
              <w:ind w:firstLine="0" w:firstLineChars="0"/>
              <w:jc w:val="center"/>
              <w:rPr>
                <w:sz w:val="24"/>
                <w:szCs w:val="21"/>
              </w:rPr>
            </w:pPr>
            <w:r>
              <w:rPr>
                <w:rFonts w:hint="eastAsia"/>
                <w:sz w:val="24"/>
                <w:szCs w:val="21"/>
              </w:rPr>
              <w:t>每周复盘一次</w:t>
            </w:r>
          </w:p>
        </w:tc>
      </w:tr>
    </w:tbl>
    <w:p>
      <w:pPr>
        <w:pStyle w:val="4"/>
        <w:numPr>
          <w:ilvl w:val="0"/>
          <w:numId w:val="2"/>
        </w:numPr>
        <w:ind w:left="0" w:firstLine="643"/>
      </w:pPr>
      <w:bookmarkStart w:id="54" w:name="_Toc32656"/>
      <w:bookmarkStart w:id="55" w:name="_Toc32263"/>
      <w:r>
        <w:rPr>
          <w:rFonts w:hint="eastAsia"/>
        </w:rPr>
        <w:t>缓存复用与语义拦截</w:t>
      </w:r>
      <w:bookmarkEnd w:id="54"/>
      <w:bookmarkEnd w:id="55"/>
    </w:p>
    <w:p>
      <w:pPr>
        <w:ind w:firstLine="640"/>
      </w:pPr>
      <w:r>
        <w:rPr>
          <w:rFonts w:hint="eastAsia"/>
        </w:rPr>
        <w:t>缓存复用与语义拦截是依托语义缓存系统与统一</w:t>
      </w:r>
      <w:r>
        <w:rPr>
          <w:rFonts w:cs="Times New Roman"/>
        </w:rPr>
        <w:t>API</w:t>
      </w:r>
      <w:r>
        <w:rPr>
          <w:rFonts w:hint="eastAsia"/>
        </w:rPr>
        <w:t>网关、场景准入校验引擎的联动能力，在保障业务输出准确性的前提下，前置拦截无效重复请求、复用合规历史推理结果，减少冗余模型调用，实现</w:t>
      </w:r>
      <w:r>
        <w:rPr>
          <w:rFonts w:cs="Times New Roman"/>
        </w:rPr>
        <w:t>Token</w:t>
      </w:r>
      <w:r>
        <w:rPr>
          <w:rFonts w:hint="eastAsia"/>
        </w:rPr>
        <w:t>消耗降低、推理响应提速，为整体资源利用效率提升与成本管控提供前置优化底座。</w:t>
      </w:r>
    </w:p>
    <w:p>
      <w:pPr>
        <w:ind w:firstLine="643"/>
      </w:pPr>
      <w:r>
        <w:rPr>
          <w:rFonts w:hint="eastAsia"/>
          <w:b/>
          <w:bCs/>
        </w:rPr>
        <w:t>缓存复用与语义拦截应坚持四大原则</w:t>
      </w:r>
      <w:r>
        <w:rPr>
          <w:rFonts w:hint="eastAsia"/>
        </w:rPr>
        <w:t>：一是准确底线优先，缓存匹配与拦截规则以业务输出可靠性为前提，核心生产场景严控相似度阈值与覆盖范围，不得以效能提升为由牺牲结果准确性与业务合规性；二是分级差异适配，匹配场景等级设置差异化管控强度，高价值高风险场景审慎开放权限、严控规则边界，通用办公场景全面覆盖、最大化释放降本效能；三是前置拦截增效，将校验与匹配环节前置至请求进入模型链路之前，从源头过滤无效消耗、复用已有成果，避免无效请求占用后端算力与</w:t>
      </w:r>
      <w:r>
        <w:rPr>
          <w:rFonts w:cs="Times New Roman"/>
        </w:rPr>
        <w:t>Token</w:t>
      </w:r>
      <w:r>
        <w:rPr>
          <w:rFonts w:hint="eastAsia"/>
        </w:rPr>
        <w:t>资源；四是全链闭环管控，建立缓存内容生命周期管理与质量回溯机制，规则迭代联动配额、路由等全链路模块，实现效能数据可统计、规则优化可落地、收益成果可核算。</w:t>
      </w:r>
    </w:p>
    <w:p>
      <w:pPr>
        <w:ind w:firstLine="643"/>
      </w:pPr>
      <w:r>
        <w:rPr>
          <w:rFonts w:hint="eastAsia"/>
          <w:b/>
          <w:bCs/>
        </w:rPr>
        <w:t>具体来看，在公有云</w:t>
      </w:r>
      <w:r>
        <w:rPr>
          <w:rFonts w:cs="Times New Roman"/>
          <w:b/>
          <w:bCs/>
        </w:rPr>
        <w:t>API</w:t>
      </w:r>
      <w:r>
        <w:rPr>
          <w:rFonts w:hint="eastAsia"/>
          <w:b/>
          <w:bCs/>
        </w:rPr>
        <w:t>模式下</w:t>
      </w:r>
      <w:r>
        <w:rPr>
          <w:rFonts w:hint="eastAsia"/>
        </w:rPr>
        <w:t>，缓存复用与语义拦截以统一调度网关为前置入口，推荐采用“网关拦截+调度层语义缓存”管控方案。所有业务请求统一接入企业</w:t>
      </w:r>
      <w:r>
        <w:rPr>
          <w:rFonts w:cs="Times New Roman"/>
        </w:rPr>
        <w:t>AI</w:t>
      </w:r>
      <w:r>
        <w:rPr>
          <w:rFonts w:hint="eastAsia"/>
        </w:rPr>
        <w:t>调度网关，先由网关侧完成重复提交、格式错误、超范围调用、异常消耗等无效请求的前置拦截，被拦截请求不进入云端调用链路、不产生</w:t>
      </w:r>
      <w:r>
        <w:rPr>
          <w:rFonts w:cs="Times New Roman"/>
        </w:rPr>
        <w:t>Token</w:t>
      </w:r>
      <w:r>
        <w:rPr>
          <w:rFonts w:hint="eastAsia"/>
        </w:rPr>
        <w:t>消耗；通过校验的请求流转至调度层语义缓存系统，按场景等级对应的相似度阈值完成语义匹配，命中缓存的请求直接返回结果，零成本调用云端模型。未命中缓存的正常请求，再由路由引擎分发至对应公有云模型实例，返回结果符合缓存准入规则的自动写入缓存库。</w:t>
      </w:r>
    </w:p>
    <w:p>
      <w:pPr>
        <w:ind w:firstLine="643"/>
      </w:pPr>
      <w:r>
        <w:rPr>
          <w:rFonts w:hint="eastAsia"/>
          <w:b/>
          <w:bCs/>
        </w:rPr>
        <w:t>在本地化部署模式下</w:t>
      </w:r>
      <w:r>
        <w:rPr>
          <w:rFonts w:hint="eastAsia"/>
        </w:rPr>
        <w:t>，企业需建立统一的本地语义缓存与请求拦截体系，将企业工艺标准、设备知识库、管理规则等固化内容纳入基础缓存库，对接内部工艺、质量标准管理系统实现缓存内容同步更新。依托本地统一</w:t>
      </w:r>
      <w:r>
        <w:rPr>
          <w:rFonts w:cs="Times New Roman"/>
        </w:rPr>
        <w:t>API</w:t>
      </w:r>
      <w:r>
        <w:rPr>
          <w:rFonts w:hint="eastAsia"/>
        </w:rPr>
        <w:t>网关与调度平台，在请求进入本地</w:t>
      </w:r>
      <w:r>
        <w:rPr>
          <w:rFonts w:cs="Times New Roman"/>
        </w:rPr>
        <w:t>GPU</w:t>
      </w:r>
      <w:r>
        <w:rPr>
          <w:rFonts w:hint="eastAsia"/>
        </w:rPr>
        <w:t>推理集群前完成无效请求拦截与语义缓存匹配，命中缓存的请求直接返回，不占用本地模型算力资源；同时结合场景分级设置差异化匹配精度，核心生产场景对接实时业务系统做版本校验，保障结果与现行规则一致。</w:t>
      </w:r>
    </w:p>
    <w:p>
      <w:pPr>
        <w:ind w:firstLine="0" w:firstLineChars="0"/>
        <w:jc w:val="center"/>
        <w:rPr>
          <w:rFonts w:hint="eastAsia" w:ascii="黑体" w:hAnsi="黑体" w:eastAsia="黑体" w:cs="黑体"/>
          <w:sz w:val="24"/>
          <w:szCs w:val="21"/>
        </w:rPr>
      </w:pPr>
    </w:p>
    <w:p>
      <w:pPr>
        <w:ind w:firstLine="0" w:firstLineChars="0"/>
        <w:jc w:val="center"/>
        <w:rPr>
          <w:rFonts w:hint="default" w:ascii="Times New Roman" w:hAnsi="Times New Roman" w:eastAsia="方正黑体_GBK" w:cs="Times New Roman"/>
        </w:rPr>
      </w:pPr>
      <w:r>
        <w:rPr>
          <w:rFonts w:hint="default" w:ascii="Times New Roman" w:hAnsi="Times New Roman" w:eastAsia="方正黑体_GBK" w:cs="Times New Roman"/>
          <w:sz w:val="24"/>
          <w:szCs w:val="21"/>
        </w:rPr>
        <w:t>表</w:t>
      </w:r>
      <w:r>
        <w:rPr>
          <w:rFonts w:hint="default" w:ascii="Times New Roman" w:hAnsi="Times New Roman" w:eastAsia="方正黑体_GBK" w:cs="Times New Roman"/>
          <w:sz w:val="24"/>
          <w:szCs w:val="21"/>
        </w:rPr>
        <w:fldChar w:fldCharType="begin"/>
      </w:r>
      <w:r>
        <w:rPr>
          <w:rFonts w:hint="default" w:ascii="Times New Roman" w:hAnsi="Times New Roman" w:eastAsia="方正黑体_GBK" w:cs="Times New Roman"/>
          <w:sz w:val="24"/>
          <w:szCs w:val="21"/>
        </w:rPr>
        <w:instrText xml:space="preserve"> SEQ 表 \* ARABIC </w:instrText>
      </w:r>
      <w:r>
        <w:rPr>
          <w:rFonts w:hint="default" w:ascii="Times New Roman" w:hAnsi="Times New Roman" w:eastAsia="方正黑体_GBK" w:cs="Times New Roman"/>
          <w:sz w:val="24"/>
          <w:szCs w:val="21"/>
        </w:rPr>
        <w:fldChar w:fldCharType="separate"/>
      </w:r>
      <w:r>
        <w:rPr>
          <w:rFonts w:hint="default" w:ascii="Times New Roman" w:hAnsi="Times New Roman" w:eastAsia="方正黑体_GBK" w:cs="Times New Roman"/>
          <w:sz w:val="24"/>
          <w:szCs w:val="21"/>
        </w:rPr>
        <w:t>7</w:t>
      </w:r>
      <w:r>
        <w:rPr>
          <w:rFonts w:hint="default" w:ascii="Times New Roman" w:hAnsi="Times New Roman" w:eastAsia="方正黑体_GBK" w:cs="Times New Roman"/>
          <w:sz w:val="24"/>
          <w:szCs w:val="21"/>
        </w:rPr>
        <w:fldChar w:fldCharType="end"/>
      </w:r>
      <w:r>
        <w:rPr>
          <w:rFonts w:hint="default" w:ascii="Times New Roman" w:hAnsi="Times New Roman" w:eastAsia="方正黑体_GBK" w:cs="Times New Roman"/>
          <w:sz w:val="24"/>
          <w:szCs w:val="21"/>
        </w:rPr>
        <w:t xml:space="preserve"> 分级缓存命中率基线设置建议</w:t>
      </w:r>
    </w:p>
    <w:tbl>
      <w:tblPr>
        <w:tblStyle w:val="26"/>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3213"/>
        <w:gridCol w:w="1500"/>
        <w:gridCol w:w="1845"/>
        <w:gridCol w:w="2226"/>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3213" w:type="dxa"/>
          </w:tcPr>
          <w:p>
            <w:pPr>
              <w:widowControl/>
              <w:spacing w:line="380" w:lineRule="exact"/>
              <w:ind w:firstLine="0" w:firstLineChars="0"/>
              <w:jc w:val="center"/>
              <w:rPr>
                <w:rFonts w:hint="eastAsia" w:ascii="方正黑体_GBK" w:hAnsi="方正黑体_GBK" w:eastAsia="方正黑体_GBK" w:cs="方正黑体_GBK"/>
                <w:b w:val="0"/>
                <w:bCs w:val="0"/>
                <w:sz w:val="24"/>
                <w:szCs w:val="21"/>
              </w:rPr>
            </w:pPr>
            <w:r>
              <w:rPr>
                <w:rFonts w:hint="eastAsia" w:ascii="方正黑体_GBK" w:hAnsi="方正黑体_GBK" w:eastAsia="方正黑体_GBK" w:cs="方正黑体_GBK"/>
                <w:b w:val="0"/>
                <w:bCs w:val="0"/>
                <w:sz w:val="24"/>
                <w:szCs w:val="21"/>
              </w:rPr>
              <w:t>场景类型</w:t>
            </w:r>
          </w:p>
        </w:tc>
        <w:tc>
          <w:tcPr>
            <w:tcW w:w="1500" w:type="dxa"/>
          </w:tcPr>
          <w:p>
            <w:pPr>
              <w:widowControl/>
              <w:spacing w:line="380" w:lineRule="exact"/>
              <w:ind w:firstLine="0" w:firstLineChars="0"/>
              <w:jc w:val="center"/>
              <w:rPr>
                <w:rFonts w:hint="eastAsia" w:ascii="方正黑体_GBK" w:hAnsi="方正黑体_GBK" w:eastAsia="方正黑体_GBK" w:cs="方正黑体_GBK"/>
                <w:b w:val="0"/>
                <w:bCs w:val="0"/>
                <w:sz w:val="24"/>
                <w:szCs w:val="21"/>
              </w:rPr>
            </w:pPr>
            <w:r>
              <w:rPr>
                <w:rFonts w:hint="eastAsia" w:ascii="方正黑体_GBK" w:hAnsi="方正黑体_GBK" w:eastAsia="方正黑体_GBK" w:cs="方正黑体_GBK"/>
                <w:b w:val="0"/>
                <w:bCs w:val="0"/>
                <w:sz w:val="24"/>
                <w:szCs w:val="21"/>
              </w:rPr>
              <w:t>命中率基线</w:t>
            </w:r>
          </w:p>
        </w:tc>
        <w:tc>
          <w:tcPr>
            <w:tcW w:w="1845" w:type="dxa"/>
          </w:tcPr>
          <w:p>
            <w:pPr>
              <w:widowControl/>
              <w:spacing w:line="380" w:lineRule="exact"/>
              <w:ind w:firstLine="0" w:firstLineChars="0"/>
              <w:jc w:val="center"/>
              <w:rPr>
                <w:rFonts w:hint="eastAsia" w:ascii="方正黑体_GBK" w:hAnsi="方正黑体_GBK" w:eastAsia="方正黑体_GBK" w:cs="方正黑体_GBK"/>
                <w:b w:val="0"/>
                <w:bCs w:val="0"/>
                <w:sz w:val="24"/>
                <w:szCs w:val="21"/>
              </w:rPr>
            </w:pPr>
            <w:r>
              <w:rPr>
                <w:rFonts w:hint="eastAsia" w:ascii="方正黑体_GBK" w:hAnsi="方正黑体_GBK" w:eastAsia="方正黑体_GBK" w:cs="方正黑体_GBK"/>
                <w:b w:val="0"/>
                <w:bCs w:val="0"/>
                <w:sz w:val="24"/>
                <w:szCs w:val="21"/>
              </w:rPr>
              <w:t>告警阈值</w:t>
            </w:r>
          </w:p>
        </w:tc>
        <w:tc>
          <w:tcPr>
            <w:tcW w:w="2226" w:type="dxa"/>
          </w:tcPr>
          <w:p>
            <w:pPr>
              <w:widowControl/>
              <w:spacing w:line="380" w:lineRule="exact"/>
              <w:ind w:firstLine="0" w:firstLineChars="0"/>
              <w:jc w:val="center"/>
              <w:rPr>
                <w:rFonts w:hint="eastAsia" w:ascii="方正黑体_GBK" w:hAnsi="方正黑体_GBK" w:eastAsia="方正黑体_GBK" w:cs="方正黑体_GBK"/>
                <w:b w:val="0"/>
                <w:bCs w:val="0"/>
                <w:sz w:val="24"/>
                <w:szCs w:val="21"/>
              </w:rPr>
            </w:pPr>
            <w:r>
              <w:rPr>
                <w:rFonts w:hint="eastAsia" w:ascii="方正黑体_GBK" w:hAnsi="方正黑体_GBK" w:eastAsia="方正黑体_GBK" w:cs="方正黑体_GBK"/>
                <w:b w:val="0"/>
                <w:bCs w:val="0"/>
                <w:sz w:val="24"/>
                <w:szCs w:val="21"/>
              </w:rPr>
              <w:t>说明</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3213" w:type="dxa"/>
            <w:vAlign w:val="center"/>
          </w:tcPr>
          <w:p>
            <w:pPr>
              <w:widowControl/>
              <w:spacing w:line="380" w:lineRule="exact"/>
              <w:ind w:firstLine="0" w:firstLineChars="0"/>
              <w:jc w:val="center"/>
              <w:rPr>
                <w:sz w:val="24"/>
                <w:szCs w:val="21"/>
              </w:rPr>
            </w:pPr>
            <w:r>
              <w:rPr>
                <w:rFonts w:hint="eastAsia"/>
                <w:sz w:val="24"/>
                <w:szCs w:val="21"/>
              </w:rPr>
              <w:t>高频标准化场景</w:t>
            </w:r>
          </w:p>
          <w:p>
            <w:pPr>
              <w:widowControl/>
              <w:spacing w:line="380" w:lineRule="exact"/>
              <w:ind w:firstLine="0" w:firstLineChars="0"/>
              <w:jc w:val="center"/>
              <w:rPr>
                <w:sz w:val="24"/>
                <w:szCs w:val="21"/>
              </w:rPr>
            </w:pPr>
            <w:r>
              <w:rPr>
                <w:rFonts w:hint="eastAsia"/>
                <w:sz w:val="24"/>
                <w:szCs w:val="21"/>
              </w:rPr>
              <w:t>（如质检、FAQ客服）</w:t>
            </w:r>
          </w:p>
        </w:tc>
        <w:tc>
          <w:tcPr>
            <w:tcW w:w="1500" w:type="dxa"/>
            <w:vAlign w:val="center"/>
          </w:tcPr>
          <w:p>
            <w:pPr>
              <w:widowControl/>
              <w:spacing w:line="380" w:lineRule="exact"/>
              <w:ind w:firstLine="0" w:firstLineChars="0"/>
              <w:jc w:val="center"/>
              <w:rPr>
                <w:sz w:val="24"/>
                <w:szCs w:val="21"/>
              </w:rPr>
            </w:pPr>
            <w:r>
              <w:rPr>
                <w:rFonts w:hint="eastAsia"/>
                <w:sz w:val="24"/>
                <w:szCs w:val="21"/>
              </w:rPr>
              <w:t>≥75%</w:t>
            </w:r>
          </w:p>
        </w:tc>
        <w:tc>
          <w:tcPr>
            <w:tcW w:w="1845" w:type="dxa"/>
            <w:vAlign w:val="center"/>
          </w:tcPr>
          <w:p>
            <w:pPr>
              <w:widowControl/>
              <w:spacing w:line="380" w:lineRule="exact"/>
              <w:ind w:firstLine="0" w:firstLineChars="0"/>
              <w:jc w:val="center"/>
              <w:rPr>
                <w:sz w:val="24"/>
                <w:szCs w:val="21"/>
              </w:rPr>
            </w:pPr>
            <w:r>
              <w:rPr>
                <w:rFonts w:hint="eastAsia"/>
                <w:sz w:val="24"/>
                <w:szCs w:val="21"/>
              </w:rPr>
              <w:t>&lt;60%触发告警</w:t>
            </w:r>
          </w:p>
        </w:tc>
        <w:tc>
          <w:tcPr>
            <w:tcW w:w="2226" w:type="dxa"/>
            <w:vAlign w:val="center"/>
          </w:tcPr>
          <w:p>
            <w:pPr>
              <w:widowControl/>
              <w:spacing w:line="380" w:lineRule="exact"/>
              <w:ind w:firstLine="0" w:firstLineChars="0"/>
              <w:jc w:val="center"/>
              <w:rPr>
                <w:sz w:val="24"/>
                <w:szCs w:val="21"/>
              </w:rPr>
            </w:pPr>
            <w:r>
              <w:rPr>
                <w:rFonts w:hint="eastAsia"/>
                <w:sz w:val="24"/>
                <w:szCs w:val="21"/>
              </w:rPr>
              <w:t>静态Prompt占比高，优化空间大</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3213" w:type="dxa"/>
            <w:vAlign w:val="center"/>
          </w:tcPr>
          <w:p>
            <w:pPr>
              <w:widowControl/>
              <w:spacing w:line="380" w:lineRule="exact"/>
              <w:ind w:firstLine="0" w:firstLineChars="0"/>
              <w:jc w:val="center"/>
              <w:rPr>
                <w:sz w:val="24"/>
                <w:szCs w:val="21"/>
              </w:rPr>
            </w:pPr>
            <w:r>
              <w:rPr>
                <w:rFonts w:hint="eastAsia"/>
                <w:sz w:val="24"/>
                <w:szCs w:val="21"/>
              </w:rPr>
              <w:t>中频专业场景</w:t>
            </w:r>
          </w:p>
          <w:p>
            <w:pPr>
              <w:widowControl/>
              <w:spacing w:line="380" w:lineRule="exact"/>
              <w:ind w:firstLine="0" w:firstLineChars="0"/>
              <w:jc w:val="center"/>
              <w:rPr>
                <w:sz w:val="24"/>
                <w:szCs w:val="21"/>
              </w:rPr>
            </w:pPr>
            <w:r>
              <w:rPr>
                <w:rFonts w:hint="eastAsia"/>
                <w:sz w:val="24"/>
                <w:szCs w:val="21"/>
              </w:rPr>
              <w:t>（如工艺知识库、排产）</w:t>
            </w:r>
          </w:p>
        </w:tc>
        <w:tc>
          <w:tcPr>
            <w:tcW w:w="1500" w:type="dxa"/>
            <w:vAlign w:val="center"/>
          </w:tcPr>
          <w:p>
            <w:pPr>
              <w:widowControl/>
              <w:spacing w:line="380" w:lineRule="exact"/>
              <w:ind w:firstLine="0" w:firstLineChars="0"/>
              <w:jc w:val="center"/>
              <w:rPr>
                <w:sz w:val="24"/>
                <w:szCs w:val="21"/>
              </w:rPr>
            </w:pPr>
            <w:r>
              <w:rPr>
                <w:rFonts w:hint="eastAsia"/>
                <w:sz w:val="24"/>
                <w:szCs w:val="21"/>
              </w:rPr>
              <w:t>≥50%</w:t>
            </w:r>
          </w:p>
        </w:tc>
        <w:tc>
          <w:tcPr>
            <w:tcW w:w="1845" w:type="dxa"/>
            <w:vAlign w:val="center"/>
          </w:tcPr>
          <w:p>
            <w:pPr>
              <w:widowControl/>
              <w:spacing w:line="380" w:lineRule="exact"/>
              <w:ind w:firstLine="0" w:firstLineChars="0"/>
              <w:jc w:val="center"/>
              <w:rPr>
                <w:sz w:val="24"/>
                <w:szCs w:val="21"/>
              </w:rPr>
            </w:pPr>
            <w:r>
              <w:rPr>
                <w:rFonts w:hint="eastAsia"/>
                <w:sz w:val="24"/>
                <w:szCs w:val="21"/>
              </w:rPr>
              <w:t>&lt;35%触发告警</w:t>
            </w:r>
          </w:p>
        </w:tc>
        <w:tc>
          <w:tcPr>
            <w:tcW w:w="2226" w:type="dxa"/>
            <w:vAlign w:val="center"/>
          </w:tcPr>
          <w:p>
            <w:pPr>
              <w:widowControl/>
              <w:spacing w:line="380" w:lineRule="exact"/>
              <w:ind w:firstLine="0" w:firstLineChars="0"/>
              <w:jc w:val="center"/>
              <w:rPr>
                <w:sz w:val="24"/>
                <w:szCs w:val="21"/>
              </w:rPr>
            </w:pPr>
            <w:r>
              <w:rPr>
                <w:rFonts w:hint="eastAsia"/>
                <w:sz w:val="24"/>
                <w:szCs w:val="21"/>
              </w:rPr>
              <w:t>有一定重复度，但动态内容较多</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c>
          <w:tcPr>
            <w:tcW w:w="3213" w:type="dxa"/>
            <w:vAlign w:val="center"/>
          </w:tcPr>
          <w:p>
            <w:pPr>
              <w:widowControl/>
              <w:spacing w:line="380" w:lineRule="exact"/>
              <w:ind w:firstLine="0" w:firstLineChars="0"/>
              <w:jc w:val="center"/>
              <w:rPr>
                <w:sz w:val="24"/>
                <w:szCs w:val="21"/>
              </w:rPr>
            </w:pPr>
            <w:r>
              <w:rPr>
                <w:rFonts w:hint="eastAsia"/>
                <w:sz w:val="24"/>
                <w:szCs w:val="21"/>
              </w:rPr>
              <w:t>低频个性化场景</w:t>
            </w:r>
          </w:p>
          <w:p>
            <w:pPr>
              <w:widowControl/>
              <w:spacing w:line="380" w:lineRule="exact"/>
              <w:ind w:firstLine="0" w:firstLineChars="0"/>
              <w:jc w:val="center"/>
              <w:rPr>
                <w:sz w:val="24"/>
                <w:szCs w:val="21"/>
              </w:rPr>
            </w:pPr>
            <w:r>
              <w:rPr>
                <w:rFonts w:hint="eastAsia"/>
                <w:sz w:val="24"/>
                <w:szCs w:val="21"/>
              </w:rPr>
              <w:t>（如故障诊断、异常分析）</w:t>
            </w:r>
          </w:p>
        </w:tc>
        <w:tc>
          <w:tcPr>
            <w:tcW w:w="1500" w:type="dxa"/>
            <w:vAlign w:val="center"/>
          </w:tcPr>
          <w:p>
            <w:pPr>
              <w:widowControl/>
              <w:spacing w:line="380" w:lineRule="exact"/>
              <w:ind w:firstLine="0" w:firstLineChars="0"/>
              <w:jc w:val="center"/>
              <w:rPr>
                <w:sz w:val="24"/>
                <w:szCs w:val="21"/>
              </w:rPr>
            </w:pPr>
            <w:r>
              <w:rPr>
                <w:rFonts w:hint="eastAsia"/>
                <w:sz w:val="24"/>
                <w:szCs w:val="21"/>
              </w:rPr>
              <w:t>≥30%</w:t>
            </w:r>
          </w:p>
        </w:tc>
        <w:tc>
          <w:tcPr>
            <w:tcW w:w="1845" w:type="dxa"/>
            <w:vAlign w:val="center"/>
          </w:tcPr>
          <w:p>
            <w:pPr>
              <w:widowControl/>
              <w:spacing w:line="380" w:lineRule="exact"/>
              <w:ind w:firstLine="0" w:firstLineChars="0"/>
              <w:jc w:val="center"/>
              <w:rPr>
                <w:sz w:val="24"/>
                <w:szCs w:val="21"/>
              </w:rPr>
            </w:pPr>
            <w:r>
              <w:rPr>
                <w:rFonts w:hint="eastAsia"/>
                <w:sz w:val="24"/>
                <w:szCs w:val="21"/>
              </w:rPr>
              <w:t>&lt;15%触发告警</w:t>
            </w:r>
          </w:p>
        </w:tc>
        <w:tc>
          <w:tcPr>
            <w:tcW w:w="2226" w:type="dxa"/>
            <w:vAlign w:val="center"/>
          </w:tcPr>
          <w:p>
            <w:pPr>
              <w:widowControl/>
              <w:spacing w:line="380" w:lineRule="exact"/>
              <w:ind w:firstLine="0" w:firstLineChars="0"/>
              <w:jc w:val="center"/>
              <w:rPr>
                <w:sz w:val="24"/>
                <w:szCs w:val="21"/>
              </w:rPr>
            </w:pPr>
            <w:r>
              <w:rPr>
                <w:rFonts w:hint="eastAsia"/>
                <w:sz w:val="24"/>
                <w:szCs w:val="21"/>
              </w:rPr>
              <w:t>问题个性化强，命中率天然偏低</w:t>
            </w:r>
          </w:p>
        </w:tc>
      </w:tr>
    </w:tbl>
    <w:p>
      <w:pPr>
        <w:pStyle w:val="4"/>
        <w:numPr>
          <w:ilvl w:val="0"/>
          <w:numId w:val="2"/>
        </w:numPr>
        <w:ind w:left="0" w:firstLine="643"/>
      </w:pPr>
      <w:bookmarkStart w:id="56" w:name="_Toc17877"/>
      <w:bookmarkStart w:id="57" w:name="_Toc3600"/>
      <w:r>
        <w:rPr>
          <w:rFonts w:hint="eastAsia"/>
        </w:rPr>
        <w:t>余量调配与弹性扩缩容</w:t>
      </w:r>
      <w:bookmarkEnd w:id="56"/>
      <w:bookmarkEnd w:id="57"/>
    </w:p>
    <w:p>
      <w:pPr>
        <w:ind w:firstLine="640"/>
      </w:pPr>
      <w:r>
        <w:rPr>
          <w:rFonts w:hint="eastAsia"/>
        </w:rPr>
        <w:t>余量调配与弹性扩缩容的主要目的是避免核心业务因算力挤占而卡顿，同时消除非核心业务闲时的算力空转。企业应基于历史运行数据，对调度策略进行动态调优，遵循三大原则：一是全局统筹，按需调度，打破部门壁垒；二是削峰填谷，时空错峰，最大化激活闲置算力；三是底线保障，敏捷响应，实现资源供给对业务波动的自适应匹配。</w:t>
      </w:r>
    </w:p>
    <w:p>
      <w:pPr>
        <w:ind w:firstLine="643"/>
      </w:pPr>
      <w:r>
        <w:rPr>
          <w:rFonts w:hint="eastAsia"/>
          <w:b/>
          <w:bCs/>
        </w:rPr>
        <w:t>公有云API模式下</w:t>
      </w:r>
      <w:r>
        <w:rPr>
          <w:rFonts w:hint="eastAsia"/>
        </w:rPr>
        <w:t>，企业可依托统一API网关，将统采的API资源池化，实现余量动态调配与弹性扩缩容。余量调配方面，网关将全局Token与并发余量集中管理，结合业务优先级智能调度：优先保障核心产线质检等关键任务；在突发场景下，自动跨部门借用闲置余量以削峰填谷；并将非紧急批处理任务错峰至夜间执行，最大化资源利用率。弹性扩缩容方面，网关通过监控队列深度与响应延迟，在流量超载时自动触发多Key分流或向云厂商申请提升并发配额；同时在非工作时间主动调低并发限制，以防范异常请求引发的系统雪崩与预算失控。当全局余量不足时，系统可无缝对接云厂商弹性API按量扩容，峰值后自动缩容，最终实现保障业务连续性与降低整体IT成本的双赢。</w:t>
      </w:r>
    </w:p>
    <w:p>
      <w:pPr>
        <w:ind w:firstLine="643"/>
      </w:pPr>
      <w:r>
        <w:rPr>
          <w:rFonts w:hint="eastAsia"/>
          <w:b/>
          <w:bCs/>
        </w:rPr>
        <w:t>本地私有化部署模式下，</w:t>
      </w:r>
      <w:r>
        <w:rPr>
          <w:rFonts w:hint="eastAsia"/>
        </w:rPr>
        <w:t>企业拥有算力基础设施的绝对控制权，其资源调配的本质是底层物理硬件——GPU显存与算力的精细化分配与动态调度。余量调配方面，企业需依托容器编排平台构建统一的GPU资源池。结合制造业的生产节拍与业务优先级，实施空间隔离与时间错峰：白天将算力余量优先倾斜给产线质检、设备控制等实时性要求高的核心生产业务；夜间则释放闲置算力，集中调度用于工业仿真、自动驾驶模型训练或全量数据清洗等重计算批量作业，实现“昼推夜训”的算力闭环。弹性扩缩容方面，由于无法像公有云那样秒级调用外部资源，企业需采取“预调度+边云协同+区域算力溢出”三级弹性策略。第一层，基于历史生产曲线提前预留算力，避免突发流量导致的响应延迟；第二层，将实时控制逻辑下沉至工厂边缘节点，边缘节点具备断网自治能力，在网络中断时仍可独立支撑本地生产运转，云端仅处理全局排产与数据分析，从架构层面缓解中心算力压力。第三层，企业在本地预留标准化对接接口，当本地集群资源触及瓶颈、物理节点横向扩容已无法及时满足需求时，系统可通过混合调度机制将溢出任务自动引导至区域算力平台，形成“本地优先、区域平台兜底”的弹性溢出模式。智能路由层根据负载情况动态决定请求在本地与区域平台之间分配，扩容时优先调度到本地节点、资源不足时自动溢出到区域算力平台，缩容时则优先释放外部资源、保留本地资源，从而在不中断服务的前提下突破物理资源的弹性天花板。</w:t>
      </w:r>
    </w:p>
    <w:p>
      <w:pPr>
        <w:pStyle w:val="4"/>
        <w:numPr>
          <w:ilvl w:val="0"/>
          <w:numId w:val="2"/>
        </w:numPr>
        <w:ind w:left="0" w:firstLine="643"/>
      </w:pPr>
      <w:bookmarkStart w:id="58" w:name="_Toc11625"/>
      <w:bookmarkStart w:id="59" w:name="_Toc8698"/>
      <w:r>
        <w:rPr>
          <w:rFonts w:hint="eastAsia"/>
        </w:rPr>
        <w:t>数据合规与脱敏</w:t>
      </w:r>
      <w:bookmarkEnd w:id="58"/>
      <w:bookmarkEnd w:id="59"/>
    </w:p>
    <w:p>
      <w:pPr>
        <w:ind w:firstLine="640"/>
      </w:pPr>
      <w:r>
        <w:rPr>
          <w:rFonts w:hint="eastAsia"/>
        </w:rPr>
        <w:t>数据合规与脱敏是依托敏感数据脱敏引擎、内容安全审核模块与数据流转边界管控组件，串接模型调用全链路输入、输出、流转关键节点，实时开展敏感数据识别、脱敏处理、合规校验与边界管控，在模型调用全过程严守数据安全边界，防范敏感生产与经营数据外泄，为工业数据安全合规与风险闭环管控提供安全底座。</w:t>
      </w:r>
    </w:p>
    <w:p>
      <w:pPr>
        <w:ind w:firstLine="643"/>
      </w:pPr>
      <w:r>
        <w:rPr>
          <w:rFonts w:hint="eastAsia"/>
          <w:b/>
          <w:bCs/>
        </w:rPr>
        <w:t>数据合规与脱敏应坚持四大原则</w:t>
      </w:r>
      <w:r>
        <w:rPr>
          <w:rFonts w:hint="eastAsia"/>
        </w:rPr>
        <w:t>：一是边界刚性约束，数据流转严格匹配部署模式安全域边界，核心敏感数据严禁跨域出网，安全约束一票否决所有非合规数据传输路径；二是分级强度适配，匹配场景等级与数据敏感等级设置差异化脱敏审核强度，核心生产场景执行最高等级管控，不得以业务便利降低合规标准；三是全链路节点校验，覆盖输入侧、输出侧、流转侧全节点闭环管控，实现入模合规、出模安全、流转可控，杜绝风险漏点；四是审计联动追溯，全量合规操作留痕并支持全链路溯源，规则迭代联动场景准入、配额管控模块，形成风险识别—处置—优化的闭环管理。</w:t>
      </w:r>
    </w:p>
    <w:p>
      <w:pPr>
        <w:ind w:firstLine="643"/>
      </w:pPr>
      <w:r>
        <w:rPr>
          <w:rFonts w:hint="eastAsia"/>
          <w:b/>
          <w:bCs/>
        </w:rPr>
        <w:t>具体来看，在公有云</w:t>
      </w:r>
      <w:r>
        <w:rPr>
          <w:rFonts w:cs="Times New Roman"/>
          <w:b/>
          <w:bCs/>
        </w:rPr>
        <w:t>API</w:t>
      </w:r>
      <w:r>
        <w:rPr>
          <w:rFonts w:hint="eastAsia"/>
          <w:b/>
          <w:bCs/>
        </w:rPr>
        <w:t>模式下</w:t>
      </w:r>
      <w:r>
        <w:rPr>
          <w:rFonts w:hint="eastAsia"/>
        </w:rPr>
        <w:t>，数据合规脱敏以统一调度网关为前置安全卡口，推荐采用“集成接口前置脱敏+分层约束+输出侧二次校验+本地化审计”管控方案。所有经由SAP、MES等业务系统集成接口输出、发往公有云模型的单据、工艺数据，统一接入调度网关，先对系统集成原始数据执行标准化脱敏，对完整工艺配方、SAP成本单据等不可脱敏内容直接阻断，禁止编码Token上传云端；云端缓存、推理上下文按研发、生产、仓储、采购、质量、运维多业务维度分层隔离存储，高涉密研发工艺、核心产线参数类Token设置短时内存缓存时效，到期自动清理销毁；模型输出含工艺方案、采购报表的Token经内容审核，屏蔽单据定价、加工参数后再回传给工业系统集成接口；第三方联网检索、外部测算插件、跨厂区跨租户云传输环节自动剥离图纸涉密特征、工艺配比、财务核算、供应商敏感信息类Token片段；全量系统集成调用、单据/工艺数据传输、Token生成缓存销毁、脱敏拦截等操作审计日志全部本地化持久留存，审计数据不随业务Token同步上传公有云。</w:t>
      </w:r>
    </w:p>
    <w:p>
      <w:pPr>
        <w:ind w:firstLine="643"/>
      </w:pPr>
      <w:r>
        <w:rPr>
          <w:rFonts w:hint="eastAsia"/>
          <w:b/>
          <w:bCs/>
        </w:rPr>
        <w:t>在本地化部署模式下</w:t>
      </w:r>
      <w:r>
        <w:rPr>
          <w:rFonts w:hint="eastAsia"/>
        </w:rPr>
        <w:t>，企业需建立统一的本地Token安全合规体系，将承载SAP、MES等核心业务系统的生产控制网、办公分析网、外联网划分为独立安全域，配置工业系统集成跨域强管控规则，MES核心工艺、涉密生产单据仅在生产控制网集成链路闭环流转，严禁向外网传输。依托本地脱敏引擎对接业务系统底层集成通道，针对工业单据、工艺数据等敏感数据配置差异化脱敏策略，实时产线工艺集成采用旁路脱敏不占用生产带宽；所有跨安全域同步的图纸、工艺、采购、质检类Token必须经过域间集成校验节点，未脱敏直接阻断；敏感数据批量离线任务单独隔离调度；全部系统集成交互、单据/工艺传输、Token脱敏销毁操作写入本地防篡改审计日志，留存周期满足行业监管，配套工艺泄密、单据数据外泄专项溯源追责机制。</w:t>
      </w:r>
    </w:p>
    <w:p>
      <w:pPr>
        <w:ind w:firstLine="640"/>
      </w:pPr>
      <w:r>
        <w:rPr>
          <w:rFonts w:hint="eastAsia"/>
        </w:rPr>
        <w:t>针对制造业生产经营数据特征，适配</w:t>
      </w:r>
      <w:r>
        <w:rPr>
          <w:rFonts w:cs="Times New Roman"/>
        </w:rPr>
        <w:t>Token</w:t>
      </w:r>
      <w:r>
        <w:rPr>
          <w:rFonts w:hint="eastAsia"/>
        </w:rPr>
        <w:t>管理全链路的核心脱敏手段如下表所示。</w:t>
      </w:r>
    </w:p>
    <w:p>
      <w:pPr>
        <w:ind w:firstLine="0" w:firstLineChars="0"/>
        <w:jc w:val="center"/>
        <w:rPr>
          <w:rFonts w:hint="default" w:ascii="Times New Roman" w:hAnsi="Times New Roman" w:eastAsia="方正黑体_GBK" w:cs="Times New Roman"/>
        </w:rPr>
      </w:pPr>
      <w:r>
        <w:rPr>
          <w:rFonts w:hint="default" w:ascii="Times New Roman" w:hAnsi="Times New Roman" w:eastAsia="方正黑体_GBK" w:cs="Times New Roman"/>
          <w:sz w:val="24"/>
          <w:szCs w:val="21"/>
        </w:rPr>
        <w:t>表</w:t>
      </w:r>
      <w:r>
        <w:rPr>
          <w:rFonts w:hint="default" w:ascii="Times New Roman" w:hAnsi="Times New Roman" w:eastAsia="方正黑体_GBK" w:cs="Times New Roman"/>
          <w:sz w:val="24"/>
          <w:szCs w:val="21"/>
        </w:rPr>
        <w:fldChar w:fldCharType="begin"/>
      </w:r>
      <w:r>
        <w:rPr>
          <w:rFonts w:hint="default" w:ascii="Times New Roman" w:hAnsi="Times New Roman" w:eastAsia="方正黑体_GBK" w:cs="Times New Roman"/>
          <w:sz w:val="24"/>
          <w:szCs w:val="21"/>
        </w:rPr>
        <w:instrText xml:space="preserve"> SEQ 表 \* ARABIC </w:instrText>
      </w:r>
      <w:r>
        <w:rPr>
          <w:rFonts w:hint="default" w:ascii="Times New Roman" w:hAnsi="Times New Roman" w:eastAsia="方正黑体_GBK" w:cs="Times New Roman"/>
          <w:sz w:val="24"/>
          <w:szCs w:val="21"/>
        </w:rPr>
        <w:fldChar w:fldCharType="separate"/>
      </w:r>
      <w:r>
        <w:rPr>
          <w:rFonts w:hint="default" w:ascii="Times New Roman" w:hAnsi="Times New Roman" w:eastAsia="方正黑体_GBK" w:cs="Times New Roman"/>
          <w:sz w:val="24"/>
          <w:szCs w:val="21"/>
        </w:rPr>
        <w:t>8</w:t>
      </w:r>
      <w:r>
        <w:rPr>
          <w:rFonts w:hint="default" w:ascii="Times New Roman" w:hAnsi="Times New Roman" w:eastAsia="方正黑体_GBK" w:cs="Times New Roman"/>
          <w:sz w:val="24"/>
          <w:szCs w:val="21"/>
        </w:rPr>
        <w:fldChar w:fldCharType="end"/>
      </w:r>
      <w:r>
        <w:rPr>
          <w:rFonts w:hint="default" w:ascii="Times New Roman" w:hAnsi="Times New Roman" w:eastAsia="方正黑体_GBK" w:cs="Times New Roman"/>
          <w:sz w:val="24"/>
          <w:szCs w:val="21"/>
        </w:rPr>
        <w:t xml:space="preserve"> Token管理全链路的核心脱敏手段</w:t>
      </w:r>
    </w:p>
    <w:tbl>
      <w:tblPr>
        <w:tblStyle w:val="25"/>
        <w:tblW w:w="5029" w:type="pct"/>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15" w:type="dxa"/>
          <w:left w:w="15" w:type="dxa"/>
          <w:bottom w:w="15" w:type="dxa"/>
          <w:right w:w="15" w:type="dxa"/>
        </w:tblCellMar>
      </w:tblPr>
      <w:tblGrid>
        <w:gridCol w:w="806"/>
        <w:gridCol w:w="1385"/>
        <w:gridCol w:w="1769"/>
        <w:gridCol w:w="1650"/>
        <w:gridCol w:w="3445"/>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5" w:type="dxa"/>
            <w:left w:w="15" w:type="dxa"/>
            <w:bottom w:w="15" w:type="dxa"/>
            <w:right w:w="15" w:type="dxa"/>
          </w:tblCellMar>
        </w:tblPrEx>
        <w:trPr>
          <w:tblHeader/>
          <w:jc w:val="center"/>
        </w:trPr>
        <w:tc>
          <w:tcPr>
            <w:tcW w:w="445" w:type="pct"/>
            <w:tcMar>
              <w:top w:w="80" w:type="dxa"/>
              <w:left w:w="80" w:type="dxa"/>
              <w:bottom w:w="80" w:type="dxa"/>
              <w:right w:w="80" w:type="dxa"/>
            </w:tcMar>
            <w:vAlign w:val="center"/>
          </w:tcPr>
          <w:p>
            <w:pPr>
              <w:spacing w:line="300" w:lineRule="exact"/>
              <w:ind w:firstLine="0" w:firstLineChars="0"/>
              <w:jc w:val="center"/>
              <w:rPr>
                <w:rFonts w:hint="eastAsia" w:ascii="方正黑体_GBK" w:hAnsi="方正黑体_GBK" w:eastAsia="方正黑体_GBK" w:cs="方正黑体_GBK"/>
                <w:sz w:val="22"/>
                <w:szCs w:val="22"/>
              </w:rPr>
            </w:pPr>
            <w:r>
              <w:rPr>
                <w:rFonts w:hint="eastAsia" w:ascii="方正黑体_GBK" w:hAnsi="方正黑体_GBK" w:eastAsia="方正黑体_GBK" w:cs="方正黑体_GBK"/>
                <w:kern w:val="0"/>
                <w:sz w:val="22"/>
                <w:szCs w:val="22"/>
                <w:lang w:bidi="ar"/>
              </w:rPr>
              <w:t>序号</w:t>
            </w:r>
          </w:p>
        </w:tc>
        <w:tc>
          <w:tcPr>
            <w:tcW w:w="764" w:type="pct"/>
            <w:tcMar>
              <w:top w:w="80" w:type="dxa"/>
              <w:left w:w="80" w:type="dxa"/>
              <w:bottom w:w="80" w:type="dxa"/>
              <w:right w:w="80" w:type="dxa"/>
            </w:tcMar>
            <w:vAlign w:val="center"/>
          </w:tcPr>
          <w:p>
            <w:pPr>
              <w:spacing w:line="300" w:lineRule="exact"/>
              <w:ind w:firstLine="0" w:firstLineChars="0"/>
              <w:jc w:val="center"/>
              <w:rPr>
                <w:rFonts w:hint="eastAsia" w:ascii="方正黑体_GBK" w:hAnsi="方正黑体_GBK" w:eastAsia="方正黑体_GBK" w:cs="方正黑体_GBK"/>
                <w:sz w:val="22"/>
                <w:szCs w:val="22"/>
              </w:rPr>
            </w:pPr>
            <w:r>
              <w:rPr>
                <w:rFonts w:hint="eastAsia" w:ascii="方正黑体_GBK" w:hAnsi="方正黑体_GBK" w:eastAsia="方正黑体_GBK" w:cs="方正黑体_GBK"/>
                <w:kern w:val="0"/>
                <w:sz w:val="22"/>
                <w:szCs w:val="22"/>
                <w:lang w:bidi="ar"/>
              </w:rPr>
              <w:t>流程环节</w:t>
            </w:r>
          </w:p>
        </w:tc>
        <w:tc>
          <w:tcPr>
            <w:tcW w:w="976" w:type="pct"/>
            <w:tcMar>
              <w:top w:w="80" w:type="dxa"/>
              <w:left w:w="80" w:type="dxa"/>
              <w:bottom w:w="80" w:type="dxa"/>
              <w:right w:w="80" w:type="dxa"/>
            </w:tcMar>
            <w:vAlign w:val="center"/>
          </w:tcPr>
          <w:p>
            <w:pPr>
              <w:spacing w:line="300" w:lineRule="exact"/>
              <w:ind w:firstLine="0" w:firstLineChars="0"/>
              <w:jc w:val="center"/>
              <w:rPr>
                <w:rFonts w:hint="eastAsia" w:ascii="方正黑体_GBK" w:hAnsi="方正黑体_GBK" w:eastAsia="方正黑体_GBK" w:cs="方正黑体_GBK"/>
                <w:sz w:val="22"/>
                <w:szCs w:val="22"/>
              </w:rPr>
            </w:pPr>
            <w:r>
              <w:rPr>
                <w:rFonts w:hint="eastAsia" w:ascii="方正黑体_GBK" w:hAnsi="方正黑体_GBK" w:eastAsia="方正黑体_GBK" w:cs="方正黑体_GBK"/>
                <w:kern w:val="0"/>
                <w:sz w:val="22"/>
                <w:szCs w:val="22"/>
                <w:lang w:bidi="ar"/>
              </w:rPr>
              <w:t>承载对象</w:t>
            </w:r>
          </w:p>
        </w:tc>
        <w:tc>
          <w:tcPr>
            <w:tcW w:w="911" w:type="pct"/>
            <w:tcMar>
              <w:top w:w="80" w:type="dxa"/>
              <w:left w:w="80" w:type="dxa"/>
              <w:bottom w:w="80" w:type="dxa"/>
              <w:right w:w="80" w:type="dxa"/>
            </w:tcMar>
            <w:vAlign w:val="center"/>
          </w:tcPr>
          <w:p>
            <w:pPr>
              <w:spacing w:line="300" w:lineRule="exact"/>
              <w:ind w:firstLine="0" w:firstLineChars="0"/>
              <w:jc w:val="center"/>
              <w:rPr>
                <w:rFonts w:hint="eastAsia" w:ascii="方正黑体_GBK" w:hAnsi="方正黑体_GBK" w:eastAsia="方正黑体_GBK" w:cs="方正黑体_GBK"/>
                <w:sz w:val="22"/>
                <w:szCs w:val="22"/>
              </w:rPr>
            </w:pPr>
            <w:r>
              <w:rPr>
                <w:rFonts w:hint="eastAsia" w:ascii="方正黑体_GBK" w:hAnsi="方正黑体_GBK" w:eastAsia="方正黑体_GBK" w:cs="方正黑体_GBK"/>
                <w:kern w:val="0"/>
                <w:sz w:val="22"/>
                <w:szCs w:val="22"/>
                <w:lang w:bidi="ar"/>
              </w:rPr>
              <w:t>合规脱敏手段</w:t>
            </w:r>
          </w:p>
        </w:tc>
        <w:tc>
          <w:tcPr>
            <w:tcW w:w="1901" w:type="pct"/>
            <w:tcMar>
              <w:top w:w="80" w:type="dxa"/>
              <w:left w:w="80" w:type="dxa"/>
              <w:bottom w:w="80" w:type="dxa"/>
              <w:right w:w="80" w:type="dxa"/>
            </w:tcMar>
            <w:vAlign w:val="center"/>
          </w:tcPr>
          <w:p>
            <w:pPr>
              <w:spacing w:line="300" w:lineRule="exact"/>
              <w:ind w:firstLine="0" w:firstLineChars="0"/>
              <w:jc w:val="center"/>
              <w:rPr>
                <w:rFonts w:hint="eastAsia" w:ascii="方正黑体_GBK" w:hAnsi="方正黑体_GBK" w:eastAsia="方正黑体_GBK" w:cs="方正黑体_GBK"/>
                <w:sz w:val="22"/>
                <w:szCs w:val="22"/>
              </w:rPr>
            </w:pPr>
            <w:r>
              <w:rPr>
                <w:rFonts w:hint="eastAsia" w:ascii="方正黑体_GBK" w:hAnsi="方正黑体_GBK" w:eastAsia="方正黑体_GBK" w:cs="方正黑体_GBK"/>
                <w:kern w:val="0"/>
                <w:sz w:val="22"/>
                <w:szCs w:val="22"/>
                <w:lang w:bidi="ar"/>
              </w:rPr>
              <w:t>手段说明</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5" w:type="dxa"/>
            <w:left w:w="15" w:type="dxa"/>
            <w:bottom w:w="15" w:type="dxa"/>
            <w:right w:w="15" w:type="dxa"/>
          </w:tblCellMar>
        </w:tblPrEx>
        <w:trPr>
          <w:jc w:val="center"/>
        </w:trPr>
        <w:tc>
          <w:tcPr>
            <w:tcW w:w="445" w:type="pct"/>
            <w:vMerge w:val="restart"/>
            <w:tcMar>
              <w:top w:w="80" w:type="dxa"/>
              <w:left w:w="80" w:type="dxa"/>
              <w:bottom w:w="80" w:type="dxa"/>
              <w:right w:w="80" w:type="dxa"/>
            </w:tcMar>
            <w:vAlign w:val="center"/>
          </w:tcPr>
          <w:p>
            <w:pPr>
              <w:spacing w:line="300" w:lineRule="exact"/>
              <w:ind w:firstLine="0" w:firstLineChars="0"/>
              <w:jc w:val="center"/>
              <w:rPr>
                <w:rFonts w:cs="Times New Roman"/>
                <w:sz w:val="21"/>
                <w:szCs w:val="21"/>
              </w:rPr>
            </w:pPr>
            <w:r>
              <w:rPr>
                <w:rFonts w:cs="Times New Roman"/>
                <w:kern w:val="0"/>
                <w:sz w:val="21"/>
                <w:szCs w:val="21"/>
                <w:lang w:bidi="ar"/>
              </w:rPr>
              <w:t>1</w:t>
            </w:r>
          </w:p>
        </w:tc>
        <w:tc>
          <w:tcPr>
            <w:tcW w:w="764" w:type="pct"/>
            <w:vMerge w:val="restart"/>
            <w:tcMar>
              <w:top w:w="80" w:type="dxa"/>
              <w:left w:w="80" w:type="dxa"/>
              <w:bottom w:w="80" w:type="dxa"/>
              <w:right w:w="80" w:type="dxa"/>
            </w:tcMar>
            <w:vAlign w:val="center"/>
          </w:tcPr>
          <w:p>
            <w:pPr>
              <w:spacing w:line="300" w:lineRule="exact"/>
              <w:ind w:firstLine="0" w:firstLineChars="0"/>
              <w:jc w:val="center"/>
              <w:rPr>
                <w:rFonts w:cs="Times New Roman"/>
                <w:sz w:val="21"/>
                <w:szCs w:val="21"/>
              </w:rPr>
            </w:pPr>
            <w:r>
              <w:rPr>
                <w:rFonts w:cs="Times New Roman"/>
                <w:kern w:val="0"/>
                <w:sz w:val="21"/>
                <w:szCs w:val="21"/>
                <w:lang w:bidi="ar"/>
              </w:rPr>
              <w:t>业务数据源接入环节</w:t>
            </w:r>
          </w:p>
        </w:tc>
        <w:tc>
          <w:tcPr>
            <w:tcW w:w="976" w:type="pct"/>
            <w:vMerge w:val="restart"/>
            <w:tcMar>
              <w:top w:w="80" w:type="dxa"/>
              <w:left w:w="80" w:type="dxa"/>
              <w:bottom w:w="80" w:type="dxa"/>
              <w:right w:w="80" w:type="dxa"/>
            </w:tcMar>
            <w:vAlign w:val="center"/>
          </w:tcPr>
          <w:p>
            <w:pPr>
              <w:spacing w:line="300" w:lineRule="exact"/>
              <w:ind w:firstLine="0" w:firstLineChars="0"/>
              <w:jc w:val="left"/>
              <w:rPr>
                <w:rFonts w:hint="eastAsia" w:ascii="方正仿宋_GBK" w:hAnsi="方正仿宋_GBK" w:cs="方正仿宋_GBK"/>
                <w:sz w:val="21"/>
                <w:szCs w:val="21"/>
              </w:rPr>
            </w:pPr>
            <w:r>
              <w:rPr>
                <w:rFonts w:cs="Times New Roman"/>
                <w:kern w:val="0"/>
                <w:sz w:val="21"/>
                <w:szCs w:val="21"/>
                <w:lang w:bidi="ar"/>
              </w:rPr>
              <w:t>SAP</w:t>
            </w:r>
            <w:r>
              <w:rPr>
                <w:rFonts w:hint="eastAsia" w:ascii="方正仿宋_GBK" w:hAnsi="方正仿宋_GBK" w:cs="方正仿宋_GBK"/>
                <w:kern w:val="0"/>
                <w:sz w:val="21"/>
                <w:szCs w:val="21"/>
                <w:lang w:bidi="ar"/>
              </w:rPr>
              <w:t>财务/采购、</w:t>
            </w:r>
            <w:r>
              <w:rPr>
                <w:rFonts w:cs="Times New Roman"/>
                <w:kern w:val="0"/>
                <w:sz w:val="21"/>
                <w:szCs w:val="21"/>
                <w:lang w:bidi="ar"/>
              </w:rPr>
              <w:t>MES</w:t>
            </w:r>
            <w:r>
              <w:rPr>
                <w:rFonts w:hint="eastAsia" w:ascii="方正仿宋_GBK" w:hAnsi="方正仿宋_GBK" w:cs="方正仿宋_GBK"/>
                <w:kern w:val="0"/>
                <w:sz w:val="21"/>
                <w:szCs w:val="21"/>
                <w:lang w:bidi="ar"/>
              </w:rPr>
              <w:t>工序/批次、</w:t>
            </w:r>
            <w:r>
              <w:rPr>
                <w:rFonts w:cs="Times New Roman"/>
                <w:kern w:val="0"/>
                <w:sz w:val="21"/>
                <w:szCs w:val="21"/>
                <w:lang w:bidi="ar"/>
              </w:rPr>
              <w:t>PLM</w:t>
            </w:r>
            <w:r>
              <w:rPr>
                <w:rFonts w:hint="eastAsia" w:ascii="方正仿宋_GBK" w:hAnsi="方正仿宋_GBK" w:cs="方正仿宋_GBK"/>
                <w:kern w:val="0"/>
                <w:sz w:val="21"/>
                <w:szCs w:val="21"/>
                <w:lang w:bidi="ar"/>
              </w:rPr>
              <w:t>图纸配方、</w:t>
            </w:r>
            <w:r>
              <w:rPr>
                <w:rFonts w:cs="Times New Roman"/>
                <w:kern w:val="0"/>
                <w:sz w:val="21"/>
                <w:szCs w:val="21"/>
                <w:lang w:bidi="ar"/>
              </w:rPr>
              <w:t>WMS</w:t>
            </w:r>
            <w:r>
              <w:rPr>
                <w:rFonts w:hint="eastAsia" w:ascii="方正仿宋_GBK" w:hAnsi="方正仿宋_GBK" w:cs="方正仿宋_GBK"/>
                <w:kern w:val="0"/>
                <w:sz w:val="21"/>
                <w:szCs w:val="21"/>
                <w:lang w:bidi="ar"/>
              </w:rPr>
              <w:t>库存；系统集成</w:t>
            </w:r>
            <w:r>
              <w:rPr>
                <w:rFonts w:cs="Times New Roman"/>
                <w:kern w:val="0"/>
                <w:sz w:val="21"/>
                <w:szCs w:val="21"/>
                <w:lang w:bidi="ar"/>
              </w:rPr>
              <w:t>API</w:t>
            </w:r>
            <w:r>
              <w:rPr>
                <w:rFonts w:hint="eastAsia" w:ascii="方正仿宋_GBK" w:hAnsi="方正仿宋_GBK" w:cs="方正仿宋_GBK"/>
                <w:kern w:val="0"/>
                <w:sz w:val="21"/>
                <w:szCs w:val="21"/>
                <w:lang w:bidi="ar"/>
              </w:rPr>
              <w:t>、数据库直连同步接口</w:t>
            </w:r>
          </w:p>
        </w:tc>
        <w:tc>
          <w:tcPr>
            <w:tcW w:w="911" w:type="pct"/>
            <w:tcMar>
              <w:top w:w="80" w:type="dxa"/>
              <w:left w:w="80" w:type="dxa"/>
              <w:bottom w:w="80" w:type="dxa"/>
              <w:right w:w="80" w:type="dxa"/>
            </w:tcMar>
            <w:vAlign w:val="center"/>
          </w:tcPr>
          <w:p>
            <w:pPr>
              <w:spacing w:line="300" w:lineRule="exact"/>
              <w:ind w:firstLine="0" w:firstLineChars="0"/>
              <w:jc w:val="left"/>
              <w:rPr>
                <w:rFonts w:hint="eastAsia" w:ascii="方正仿宋_GBK" w:hAnsi="方正仿宋_GBK" w:cs="方正仿宋_GBK"/>
                <w:sz w:val="21"/>
                <w:szCs w:val="21"/>
              </w:rPr>
            </w:pPr>
            <w:r>
              <w:rPr>
                <w:rFonts w:hint="eastAsia" w:ascii="方正仿宋_GBK" w:hAnsi="方正仿宋_GBK" w:cs="方正仿宋_GBK"/>
                <w:kern w:val="0"/>
                <w:sz w:val="21"/>
                <w:szCs w:val="21"/>
                <w:lang w:bidi="ar"/>
              </w:rPr>
              <w:t>数据库透明脱敏</w:t>
            </w:r>
          </w:p>
        </w:tc>
        <w:tc>
          <w:tcPr>
            <w:tcW w:w="1901" w:type="pct"/>
            <w:tcMar>
              <w:top w:w="80" w:type="dxa"/>
              <w:left w:w="80" w:type="dxa"/>
              <w:bottom w:w="80" w:type="dxa"/>
              <w:right w:w="80" w:type="dxa"/>
            </w:tcMar>
            <w:vAlign w:val="center"/>
          </w:tcPr>
          <w:p>
            <w:pPr>
              <w:spacing w:line="300" w:lineRule="exact"/>
              <w:ind w:firstLine="0" w:firstLineChars="0"/>
              <w:jc w:val="left"/>
              <w:rPr>
                <w:rFonts w:hint="eastAsia" w:ascii="方正仿宋_GBK" w:hAnsi="方正仿宋_GBK" w:cs="方正仿宋_GBK"/>
                <w:sz w:val="21"/>
                <w:szCs w:val="21"/>
              </w:rPr>
            </w:pPr>
            <w:r>
              <w:rPr>
                <w:rFonts w:hint="eastAsia" w:ascii="方正仿宋_GBK" w:hAnsi="方正仿宋_GBK" w:cs="方正仿宋_GBK"/>
                <w:kern w:val="0"/>
                <w:sz w:val="21"/>
                <w:szCs w:val="21"/>
                <w:lang w:bidi="ar"/>
              </w:rPr>
              <w:t>系统底层查询原始数据时自动屏蔽成本、工艺、供应商底价、设备涉密参数，未脱敏数据不流出数据库</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5" w:type="dxa"/>
            <w:left w:w="15" w:type="dxa"/>
            <w:bottom w:w="15" w:type="dxa"/>
            <w:right w:w="15" w:type="dxa"/>
          </w:tblCellMar>
        </w:tblPrEx>
        <w:trPr>
          <w:jc w:val="center"/>
        </w:trPr>
        <w:tc>
          <w:tcPr>
            <w:tcW w:w="445" w:type="pct"/>
            <w:vMerge w:val="continue"/>
            <w:tcMar>
              <w:top w:w="80" w:type="dxa"/>
              <w:left w:w="80" w:type="dxa"/>
              <w:bottom w:w="80" w:type="dxa"/>
              <w:right w:w="80" w:type="dxa"/>
            </w:tcMar>
            <w:vAlign w:val="center"/>
          </w:tcPr>
          <w:p>
            <w:pPr>
              <w:spacing w:line="300" w:lineRule="exact"/>
              <w:ind w:firstLine="420"/>
              <w:jc w:val="center"/>
              <w:rPr>
                <w:rFonts w:cs="Times New Roman"/>
                <w:kern w:val="0"/>
                <w:sz w:val="21"/>
                <w:szCs w:val="21"/>
                <w:lang w:bidi="ar"/>
              </w:rPr>
            </w:pPr>
          </w:p>
        </w:tc>
        <w:tc>
          <w:tcPr>
            <w:tcW w:w="764" w:type="pct"/>
            <w:vMerge w:val="continue"/>
            <w:tcMar>
              <w:top w:w="80" w:type="dxa"/>
              <w:left w:w="80" w:type="dxa"/>
              <w:bottom w:w="80" w:type="dxa"/>
              <w:right w:w="80" w:type="dxa"/>
            </w:tcMar>
            <w:vAlign w:val="center"/>
          </w:tcPr>
          <w:p>
            <w:pPr>
              <w:spacing w:line="300" w:lineRule="exact"/>
              <w:ind w:firstLine="420"/>
              <w:jc w:val="center"/>
              <w:rPr>
                <w:rFonts w:cs="Times New Roman"/>
                <w:kern w:val="0"/>
                <w:sz w:val="21"/>
                <w:szCs w:val="21"/>
                <w:lang w:bidi="ar"/>
              </w:rPr>
            </w:pPr>
          </w:p>
        </w:tc>
        <w:tc>
          <w:tcPr>
            <w:tcW w:w="976" w:type="pct"/>
            <w:vMerge w:val="continue"/>
            <w:tcMar>
              <w:top w:w="80" w:type="dxa"/>
              <w:left w:w="80" w:type="dxa"/>
              <w:bottom w:w="80" w:type="dxa"/>
              <w:right w:w="80" w:type="dxa"/>
            </w:tcMar>
            <w:vAlign w:val="center"/>
          </w:tcPr>
          <w:p>
            <w:pPr>
              <w:spacing w:line="300" w:lineRule="exact"/>
              <w:ind w:firstLine="420"/>
              <w:jc w:val="left"/>
              <w:rPr>
                <w:rFonts w:hint="eastAsia" w:ascii="方正仿宋_GBK" w:hAnsi="方正仿宋_GBK" w:cs="方正仿宋_GBK"/>
                <w:kern w:val="0"/>
                <w:sz w:val="21"/>
                <w:szCs w:val="21"/>
                <w:lang w:bidi="ar"/>
              </w:rPr>
            </w:pPr>
          </w:p>
        </w:tc>
        <w:tc>
          <w:tcPr>
            <w:tcW w:w="911" w:type="pct"/>
            <w:tcMar>
              <w:top w:w="80" w:type="dxa"/>
              <w:left w:w="80" w:type="dxa"/>
              <w:bottom w:w="80" w:type="dxa"/>
              <w:right w:w="80" w:type="dxa"/>
            </w:tcMar>
            <w:vAlign w:val="center"/>
          </w:tcPr>
          <w:p>
            <w:pPr>
              <w:spacing w:line="300" w:lineRule="exact"/>
              <w:ind w:firstLine="0" w:firstLineChars="0"/>
              <w:jc w:val="left"/>
              <w:rPr>
                <w:rFonts w:hint="eastAsia" w:ascii="方正仿宋_GBK" w:hAnsi="方正仿宋_GBK" w:cs="方正仿宋_GBK"/>
                <w:kern w:val="0"/>
                <w:sz w:val="21"/>
                <w:szCs w:val="21"/>
                <w:lang w:bidi="ar"/>
              </w:rPr>
            </w:pPr>
            <w:r>
              <w:rPr>
                <w:rFonts w:hint="eastAsia" w:ascii="方正仿宋_GBK" w:hAnsi="方正仿宋_GBK" w:cs="方正仿宋_GBK"/>
                <w:kern w:val="0"/>
                <w:sz w:val="21"/>
                <w:szCs w:val="21"/>
                <w:lang w:bidi="ar"/>
              </w:rPr>
              <w:t>接口静态/动态双脱敏</w:t>
            </w:r>
          </w:p>
        </w:tc>
        <w:tc>
          <w:tcPr>
            <w:tcW w:w="1901" w:type="pct"/>
            <w:tcMar>
              <w:top w:w="80" w:type="dxa"/>
              <w:left w:w="80" w:type="dxa"/>
              <w:bottom w:w="80" w:type="dxa"/>
              <w:right w:w="80" w:type="dxa"/>
            </w:tcMar>
            <w:vAlign w:val="center"/>
          </w:tcPr>
          <w:p>
            <w:pPr>
              <w:spacing w:line="300" w:lineRule="exact"/>
              <w:ind w:firstLine="0" w:firstLineChars="0"/>
              <w:jc w:val="left"/>
              <w:rPr>
                <w:rFonts w:hint="eastAsia" w:ascii="方正仿宋_GBK" w:hAnsi="方正仿宋_GBK" w:cs="方正仿宋_GBK"/>
                <w:kern w:val="0"/>
                <w:sz w:val="21"/>
                <w:szCs w:val="21"/>
                <w:lang w:bidi="ar"/>
              </w:rPr>
            </w:pPr>
            <w:r>
              <w:rPr>
                <w:rFonts w:hint="eastAsia" w:ascii="方正仿宋_GBK" w:hAnsi="方正仿宋_GBK" w:cs="方正仿宋_GBK"/>
                <w:kern w:val="0"/>
                <w:sz w:val="21"/>
                <w:szCs w:val="21"/>
                <w:lang w:bidi="ar"/>
              </w:rPr>
              <w:t>实时集成接口启用动态脱敏，批量同步集成任务执行静态批量脱敏</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5" w:type="dxa"/>
            <w:left w:w="15" w:type="dxa"/>
            <w:bottom w:w="15" w:type="dxa"/>
            <w:right w:w="15" w:type="dxa"/>
          </w:tblCellMar>
        </w:tblPrEx>
        <w:trPr>
          <w:jc w:val="center"/>
        </w:trPr>
        <w:tc>
          <w:tcPr>
            <w:tcW w:w="445" w:type="pct"/>
            <w:vMerge w:val="continue"/>
            <w:tcMar>
              <w:top w:w="80" w:type="dxa"/>
              <w:left w:w="80" w:type="dxa"/>
              <w:bottom w:w="80" w:type="dxa"/>
              <w:right w:w="80" w:type="dxa"/>
            </w:tcMar>
            <w:vAlign w:val="center"/>
          </w:tcPr>
          <w:p>
            <w:pPr>
              <w:spacing w:line="300" w:lineRule="exact"/>
              <w:ind w:firstLine="420"/>
              <w:jc w:val="center"/>
              <w:rPr>
                <w:rFonts w:cs="Times New Roman"/>
                <w:kern w:val="0"/>
                <w:sz w:val="21"/>
                <w:szCs w:val="21"/>
                <w:lang w:bidi="ar"/>
              </w:rPr>
            </w:pPr>
          </w:p>
        </w:tc>
        <w:tc>
          <w:tcPr>
            <w:tcW w:w="764" w:type="pct"/>
            <w:vMerge w:val="continue"/>
            <w:tcMar>
              <w:top w:w="80" w:type="dxa"/>
              <w:left w:w="80" w:type="dxa"/>
              <w:bottom w:w="80" w:type="dxa"/>
              <w:right w:w="80" w:type="dxa"/>
            </w:tcMar>
            <w:vAlign w:val="center"/>
          </w:tcPr>
          <w:p>
            <w:pPr>
              <w:spacing w:line="300" w:lineRule="exact"/>
              <w:ind w:firstLine="420"/>
              <w:jc w:val="center"/>
              <w:rPr>
                <w:rFonts w:cs="Times New Roman"/>
                <w:kern w:val="0"/>
                <w:sz w:val="21"/>
                <w:szCs w:val="21"/>
                <w:lang w:bidi="ar"/>
              </w:rPr>
            </w:pPr>
          </w:p>
        </w:tc>
        <w:tc>
          <w:tcPr>
            <w:tcW w:w="976" w:type="pct"/>
            <w:vMerge w:val="continue"/>
            <w:tcMar>
              <w:top w:w="80" w:type="dxa"/>
              <w:left w:w="80" w:type="dxa"/>
              <w:bottom w:w="80" w:type="dxa"/>
              <w:right w:w="80" w:type="dxa"/>
            </w:tcMar>
            <w:vAlign w:val="center"/>
          </w:tcPr>
          <w:p>
            <w:pPr>
              <w:spacing w:line="300" w:lineRule="exact"/>
              <w:ind w:firstLine="420"/>
              <w:jc w:val="left"/>
              <w:rPr>
                <w:rFonts w:hint="eastAsia" w:ascii="方正仿宋_GBK" w:hAnsi="方正仿宋_GBK" w:cs="方正仿宋_GBK"/>
                <w:kern w:val="0"/>
                <w:sz w:val="21"/>
                <w:szCs w:val="21"/>
                <w:lang w:bidi="ar"/>
              </w:rPr>
            </w:pPr>
          </w:p>
        </w:tc>
        <w:tc>
          <w:tcPr>
            <w:tcW w:w="911" w:type="pct"/>
            <w:tcMar>
              <w:top w:w="80" w:type="dxa"/>
              <w:left w:w="80" w:type="dxa"/>
              <w:bottom w:w="80" w:type="dxa"/>
              <w:right w:w="80" w:type="dxa"/>
            </w:tcMar>
            <w:vAlign w:val="center"/>
          </w:tcPr>
          <w:p>
            <w:pPr>
              <w:spacing w:line="300" w:lineRule="exact"/>
              <w:ind w:firstLine="0" w:firstLineChars="0"/>
              <w:jc w:val="left"/>
              <w:rPr>
                <w:rFonts w:hint="eastAsia" w:ascii="方正仿宋_GBK" w:hAnsi="方正仿宋_GBK" w:cs="方正仿宋_GBK"/>
                <w:kern w:val="0"/>
                <w:sz w:val="21"/>
                <w:szCs w:val="21"/>
                <w:lang w:bidi="ar"/>
              </w:rPr>
            </w:pPr>
            <w:r>
              <w:rPr>
                <w:rFonts w:hint="eastAsia" w:ascii="方正仿宋_GBK" w:hAnsi="方正仿宋_GBK" w:cs="方正仿宋_GBK"/>
                <w:kern w:val="0"/>
                <w:sz w:val="21"/>
                <w:szCs w:val="21"/>
                <w:lang w:bidi="ar"/>
              </w:rPr>
              <w:t>字段令牌化</w:t>
            </w:r>
          </w:p>
        </w:tc>
        <w:tc>
          <w:tcPr>
            <w:tcW w:w="1901" w:type="pct"/>
            <w:tcMar>
              <w:top w:w="80" w:type="dxa"/>
              <w:left w:w="80" w:type="dxa"/>
              <w:bottom w:w="80" w:type="dxa"/>
              <w:right w:w="80" w:type="dxa"/>
            </w:tcMar>
            <w:vAlign w:val="center"/>
          </w:tcPr>
          <w:p>
            <w:pPr>
              <w:spacing w:line="300" w:lineRule="exact"/>
              <w:ind w:firstLine="0" w:firstLineChars="0"/>
              <w:jc w:val="left"/>
              <w:rPr>
                <w:rFonts w:hint="eastAsia" w:ascii="方正仿宋_GBK" w:hAnsi="方正仿宋_GBK" w:cs="方正仿宋_GBK"/>
                <w:kern w:val="0"/>
                <w:sz w:val="21"/>
                <w:szCs w:val="21"/>
                <w:lang w:bidi="ar"/>
              </w:rPr>
            </w:pPr>
            <w:r>
              <w:rPr>
                <w:rFonts w:cs="Times New Roman"/>
                <w:kern w:val="0"/>
                <w:sz w:val="21"/>
                <w:szCs w:val="21"/>
                <w:lang w:bidi="ar"/>
              </w:rPr>
              <w:t>BOM</w:t>
            </w:r>
            <w:r>
              <w:rPr>
                <w:rFonts w:hint="eastAsia" w:ascii="方正仿宋_GBK" w:hAnsi="方正仿宋_GBK" w:cs="方正仿宋_GBK"/>
                <w:kern w:val="0"/>
                <w:sz w:val="21"/>
                <w:szCs w:val="21"/>
                <w:lang w:bidi="ar"/>
              </w:rPr>
              <w:t>主键、批次号、客户编号、内部工单号替换为无解析能力临时令牌，原始主键不参与后续</w:t>
            </w:r>
            <w:r>
              <w:rPr>
                <w:rFonts w:cs="Times New Roman"/>
                <w:kern w:val="0"/>
                <w:sz w:val="21"/>
                <w:szCs w:val="21"/>
                <w:lang w:bidi="ar"/>
              </w:rPr>
              <w:t>Token</w:t>
            </w:r>
            <w:r>
              <w:rPr>
                <w:rFonts w:hint="eastAsia" w:ascii="方正仿宋_GBK" w:hAnsi="方正仿宋_GBK" w:cs="方正仿宋_GBK"/>
                <w:kern w:val="0"/>
                <w:sz w:val="21"/>
                <w:szCs w:val="21"/>
                <w:lang w:bidi="ar"/>
              </w:rPr>
              <w:t>编码</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5" w:type="dxa"/>
            <w:left w:w="15" w:type="dxa"/>
            <w:bottom w:w="15" w:type="dxa"/>
            <w:right w:w="15" w:type="dxa"/>
          </w:tblCellMar>
        </w:tblPrEx>
        <w:trPr>
          <w:jc w:val="center"/>
        </w:trPr>
        <w:tc>
          <w:tcPr>
            <w:tcW w:w="445" w:type="pct"/>
            <w:vMerge w:val="continue"/>
            <w:tcMar>
              <w:top w:w="80" w:type="dxa"/>
              <w:left w:w="80" w:type="dxa"/>
              <w:bottom w:w="80" w:type="dxa"/>
              <w:right w:w="80" w:type="dxa"/>
            </w:tcMar>
            <w:vAlign w:val="center"/>
          </w:tcPr>
          <w:p>
            <w:pPr>
              <w:spacing w:line="300" w:lineRule="exact"/>
              <w:ind w:firstLine="420"/>
              <w:jc w:val="center"/>
              <w:rPr>
                <w:rFonts w:cs="Times New Roman"/>
                <w:kern w:val="0"/>
                <w:sz w:val="21"/>
                <w:szCs w:val="21"/>
                <w:lang w:bidi="ar"/>
              </w:rPr>
            </w:pPr>
          </w:p>
        </w:tc>
        <w:tc>
          <w:tcPr>
            <w:tcW w:w="764" w:type="pct"/>
            <w:vMerge w:val="continue"/>
            <w:tcMar>
              <w:top w:w="80" w:type="dxa"/>
              <w:left w:w="80" w:type="dxa"/>
              <w:bottom w:w="80" w:type="dxa"/>
              <w:right w:w="80" w:type="dxa"/>
            </w:tcMar>
            <w:vAlign w:val="center"/>
          </w:tcPr>
          <w:p>
            <w:pPr>
              <w:spacing w:line="300" w:lineRule="exact"/>
              <w:ind w:firstLine="420"/>
              <w:jc w:val="center"/>
              <w:rPr>
                <w:rFonts w:cs="Times New Roman"/>
                <w:kern w:val="0"/>
                <w:sz w:val="21"/>
                <w:szCs w:val="21"/>
                <w:lang w:bidi="ar"/>
              </w:rPr>
            </w:pPr>
          </w:p>
        </w:tc>
        <w:tc>
          <w:tcPr>
            <w:tcW w:w="976" w:type="pct"/>
            <w:vMerge w:val="continue"/>
            <w:tcMar>
              <w:top w:w="80" w:type="dxa"/>
              <w:left w:w="80" w:type="dxa"/>
              <w:bottom w:w="80" w:type="dxa"/>
              <w:right w:w="80" w:type="dxa"/>
            </w:tcMar>
            <w:vAlign w:val="center"/>
          </w:tcPr>
          <w:p>
            <w:pPr>
              <w:spacing w:line="300" w:lineRule="exact"/>
              <w:ind w:firstLine="420"/>
              <w:jc w:val="left"/>
              <w:rPr>
                <w:rFonts w:hint="eastAsia" w:ascii="方正仿宋_GBK" w:hAnsi="方正仿宋_GBK" w:cs="方正仿宋_GBK"/>
                <w:kern w:val="0"/>
                <w:sz w:val="21"/>
                <w:szCs w:val="21"/>
                <w:lang w:bidi="ar"/>
              </w:rPr>
            </w:pPr>
          </w:p>
        </w:tc>
        <w:tc>
          <w:tcPr>
            <w:tcW w:w="911" w:type="pct"/>
            <w:tcMar>
              <w:top w:w="80" w:type="dxa"/>
              <w:left w:w="80" w:type="dxa"/>
              <w:bottom w:w="80" w:type="dxa"/>
              <w:right w:w="80" w:type="dxa"/>
            </w:tcMar>
            <w:vAlign w:val="center"/>
          </w:tcPr>
          <w:p>
            <w:pPr>
              <w:spacing w:line="300" w:lineRule="exact"/>
              <w:ind w:firstLine="0" w:firstLineChars="0"/>
              <w:jc w:val="left"/>
              <w:rPr>
                <w:rFonts w:hint="eastAsia" w:ascii="方正仿宋_GBK" w:hAnsi="方正仿宋_GBK" w:cs="方正仿宋_GBK"/>
                <w:kern w:val="0"/>
                <w:sz w:val="21"/>
                <w:szCs w:val="21"/>
                <w:lang w:bidi="ar"/>
              </w:rPr>
            </w:pPr>
            <w:r>
              <w:rPr>
                <w:rFonts w:hint="eastAsia" w:ascii="方正仿宋_GBK" w:hAnsi="方正仿宋_GBK" w:cs="方正仿宋_GBK"/>
                <w:kern w:val="0"/>
                <w:sz w:val="21"/>
                <w:szCs w:val="21"/>
                <w:lang w:bidi="ar"/>
              </w:rPr>
              <w:t>敏感语义替换</w:t>
            </w:r>
          </w:p>
        </w:tc>
        <w:tc>
          <w:tcPr>
            <w:tcW w:w="1901" w:type="pct"/>
            <w:tcMar>
              <w:top w:w="80" w:type="dxa"/>
              <w:left w:w="80" w:type="dxa"/>
              <w:bottom w:w="80" w:type="dxa"/>
              <w:right w:w="80" w:type="dxa"/>
            </w:tcMar>
            <w:vAlign w:val="center"/>
          </w:tcPr>
          <w:p>
            <w:pPr>
              <w:spacing w:line="300" w:lineRule="exact"/>
              <w:ind w:firstLine="0" w:firstLineChars="0"/>
              <w:jc w:val="left"/>
              <w:rPr>
                <w:rFonts w:hint="eastAsia" w:ascii="方正仿宋_GBK" w:hAnsi="方正仿宋_GBK" w:cs="方正仿宋_GBK"/>
                <w:kern w:val="0"/>
                <w:sz w:val="21"/>
                <w:szCs w:val="21"/>
                <w:lang w:bidi="ar"/>
              </w:rPr>
            </w:pPr>
            <w:r>
              <w:rPr>
                <w:rFonts w:hint="eastAsia" w:ascii="方正仿宋_GBK" w:hAnsi="方正仿宋_GBK" w:cs="方正仿宋_GBK"/>
                <w:kern w:val="0"/>
                <w:sz w:val="21"/>
                <w:szCs w:val="21"/>
                <w:lang w:bidi="ar"/>
              </w:rPr>
              <w:t>工艺配方、热处理阈值、专有工序名称自动替换通用替代词</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5" w:type="dxa"/>
            <w:left w:w="15" w:type="dxa"/>
            <w:bottom w:w="15" w:type="dxa"/>
            <w:right w:w="15" w:type="dxa"/>
          </w:tblCellMar>
        </w:tblPrEx>
        <w:trPr>
          <w:jc w:val="center"/>
        </w:trPr>
        <w:tc>
          <w:tcPr>
            <w:tcW w:w="445" w:type="pct"/>
            <w:vMerge w:val="continue"/>
            <w:tcMar>
              <w:top w:w="80" w:type="dxa"/>
              <w:left w:w="80" w:type="dxa"/>
              <w:bottom w:w="80" w:type="dxa"/>
              <w:right w:w="80" w:type="dxa"/>
            </w:tcMar>
            <w:vAlign w:val="center"/>
          </w:tcPr>
          <w:p>
            <w:pPr>
              <w:spacing w:line="300" w:lineRule="exact"/>
              <w:ind w:firstLine="420"/>
              <w:jc w:val="center"/>
              <w:rPr>
                <w:rFonts w:cs="Times New Roman"/>
                <w:kern w:val="0"/>
                <w:sz w:val="21"/>
                <w:szCs w:val="21"/>
                <w:lang w:bidi="ar"/>
              </w:rPr>
            </w:pPr>
          </w:p>
        </w:tc>
        <w:tc>
          <w:tcPr>
            <w:tcW w:w="764" w:type="pct"/>
            <w:vMerge w:val="continue"/>
            <w:tcMar>
              <w:top w:w="80" w:type="dxa"/>
              <w:left w:w="80" w:type="dxa"/>
              <w:bottom w:w="80" w:type="dxa"/>
              <w:right w:w="80" w:type="dxa"/>
            </w:tcMar>
            <w:vAlign w:val="center"/>
          </w:tcPr>
          <w:p>
            <w:pPr>
              <w:spacing w:line="300" w:lineRule="exact"/>
              <w:ind w:firstLine="420"/>
              <w:jc w:val="center"/>
              <w:rPr>
                <w:rFonts w:cs="Times New Roman"/>
                <w:kern w:val="0"/>
                <w:sz w:val="21"/>
                <w:szCs w:val="21"/>
                <w:lang w:bidi="ar"/>
              </w:rPr>
            </w:pPr>
          </w:p>
        </w:tc>
        <w:tc>
          <w:tcPr>
            <w:tcW w:w="976" w:type="pct"/>
            <w:vMerge w:val="continue"/>
            <w:tcMar>
              <w:top w:w="80" w:type="dxa"/>
              <w:left w:w="80" w:type="dxa"/>
              <w:bottom w:w="80" w:type="dxa"/>
              <w:right w:w="80" w:type="dxa"/>
            </w:tcMar>
            <w:vAlign w:val="center"/>
          </w:tcPr>
          <w:p>
            <w:pPr>
              <w:spacing w:line="300" w:lineRule="exact"/>
              <w:ind w:firstLine="420"/>
              <w:jc w:val="left"/>
              <w:rPr>
                <w:rFonts w:hint="eastAsia" w:ascii="方正仿宋_GBK" w:hAnsi="方正仿宋_GBK" w:cs="方正仿宋_GBK"/>
                <w:kern w:val="0"/>
                <w:sz w:val="21"/>
                <w:szCs w:val="21"/>
                <w:lang w:bidi="ar"/>
              </w:rPr>
            </w:pPr>
          </w:p>
        </w:tc>
        <w:tc>
          <w:tcPr>
            <w:tcW w:w="911" w:type="pct"/>
            <w:tcMar>
              <w:top w:w="80" w:type="dxa"/>
              <w:left w:w="80" w:type="dxa"/>
              <w:bottom w:w="80" w:type="dxa"/>
              <w:right w:w="80" w:type="dxa"/>
            </w:tcMar>
            <w:vAlign w:val="center"/>
          </w:tcPr>
          <w:p>
            <w:pPr>
              <w:spacing w:line="300" w:lineRule="exact"/>
              <w:ind w:firstLine="0" w:firstLineChars="0"/>
              <w:jc w:val="left"/>
              <w:rPr>
                <w:rFonts w:hint="eastAsia" w:ascii="方正仿宋_GBK" w:hAnsi="方正仿宋_GBK" w:cs="方正仿宋_GBK"/>
                <w:kern w:val="0"/>
                <w:sz w:val="21"/>
                <w:szCs w:val="21"/>
                <w:lang w:bidi="ar"/>
              </w:rPr>
            </w:pPr>
            <w:r>
              <w:rPr>
                <w:rFonts w:hint="eastAsia" w:ascii="方正仿宋_GBK" w:hAnsi="方正仿宋_GBK" w:cs="方正仿宋_GBK"/>
                <w:kern w:val="0"/>
                <w:sz w:val="21"/>
                <w:szCs w:val="21"/>
                <w:lang w:bidi="ar"/>
              </w:rPr>
              <w:t>流量预拦截</w:t>
            </w:r>
          </w:p>
        </w:tc>
        <w:tc>
          <w:tcPr>
            <w:tcW w:w="1901" w:type="pct"/>
            <w:tcMar>
              <w:top w:w="80" w:type="dxa"/>
              <w:left w:w="80" w:type="dxa"/>
              <w:bottom w:w="80" w:type="dxa"/>
              <w:right w:w="80" w:type="dxa"/>
            </w:tcMar>
            <w:vAlign w:val="center"/>
          </w:tcPr>
          <w:p>
            <w:pPr>
              <w:spacing w:line="300" w:lineRule="exact"/>
              <w:ind w:firstLine="0" w:firstLineChars="0"/>
              <w:jc w:val="left"/>
              <w:rPr>
                <w:rFonts w:hint="eastAsia" w:ascii="方正仿宋_GBK" w:hAnsi="方正仿宋_GBK" w:cs="方正仿宋_GBK"/>
                <w:kern w:val="0"/>
                <w:sz w:val="21"/>
                <w:szCs w:val="21"/>
                <w:lang w:bidi="ar"/>
              </w:rPr>
            </w:pPr>
            <w:r>
              <w:rPr>
                <w:rFonts w:hint="eastAsia" w:ascii="方正仿宋_GBK" w:hAnsi="方正仿宋_GBK" w:cs="方正仿宋_GBK"/>
                <w:kern w:val="0"/>
                <w:sz w:val="21"/>
                <w:szCs w:val="21"/>
                <w:lang w:bidi="ar"/>
              </w:rPr>
              <w:t>识别不可脱敏核心涉密数据（独家配方、整机未公开结构），直接阻断集成数据下发至</w:t>
            </w:r>
            <w:r>
              <w:rPr>
                <w:rFonts w:cs="Times New Roman"/>
                <w:kern w:val="0"/>
                <w:sz w:val="21"/>
                <w:szCs w:val="21"/>
                <w:lang w:bidi="ar"/>
              </w:rPr>
              <w:t>Token</w:t>
            </w:r>
            <w:r>
              <w:rPr>
                <w:rFonts w:hint="eastAsia" w:ascii="方正仿宋_GBK" w:hAnsi="方正仿宋_GBK" w:cs="方正仿宋_GBK"/>
                <w:kern w:val="0"/>
                <w:sz w:val="21"/>
                <w:szCs w:val="21"/>
                <w:lang w:bidi="ar"/>
              </w:rPr>
              <w:t>生成模块</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5" w:type="dxa"/>
            <w:left w:w="15" w:type="dxa"/>
            <w:bottom w:w="15" w:type="dxa"/>
            <w:right w:w="15" w:type="dxa"/>
          </w:tblCellMar>
        </w:tblPrEx>
        <w:trPr>
          <w:jc w:val="center"/>
        </w:trPr>
        <w:tc>
          <w:tcPr>
            <w:tcW w:w="445" w:type="pct"/>
            <w:vMerge w:val="continue"/>
            <w:tcMar>
              <w:top w:w="80" w:type="dxa"/>
              <w:left w:w="80" w:type="dxa"/>
              <w:bottom w:w="80" w:type="dxa"/>
              <w:right w:w="80" w:type="dxa"/>
            </w:tcMar>
            <w:vAlign w:val="center"/>
          </w:tcPr>
          <w:p>
            <w:pPr>
              <w:spacing w:line="300" w:lineRule="exact"/>
              <w:ind w:firstLine="420"/>
              <w:jc w:val="center"/>
              <w:rPr>
                <w:rFonts w:cs="Times New Roman"/>
                <w:kern w:val="0"/>
                <w:sz w:val="21"/>
                <w:szCs w:val="21"/>
                <w:lang w:bidi="ar"/>
              </w:rPr>
            </w:pPr>
          </w:p>
        </w:tc>
        <w:tc>
          <w:tcPr>
            <w:tcW w:w="764" w:type="pct"/>
            <w:vMerge w:val="continue"/>
            <w:tcMar>
              <w:top w:w="80" w:type="dxa"/>
              <w:left w:w="80" w:type="dxa"/>
              <w:bottom w:w="80" w:type="dxa"/>
              <w:right w:w="80" w:type="dxa"/>
            </w:tcMar>
            <w:vAlign w:val="center"/>
          </w:tcPr>
          <w:p>
            <w:pPr>
              <w:spacing w:line="300" w:lineRule="exact"/>
              <w:ind w:firstLine="420"/>
              <w:jc w:val="center"/>
              <w:rPr>
                <w:rFonts w:cs="Times New Roman"/>
                <w:kern w:val="0"/>
                <w:sz w:val="21"/>
                <w:szCs w:val="21"/>
                <w:lang w:bidi="ar"/>
              </w:rPr>
            </w:pPr>
          </w:p>
        </w:tc>
        <w:tc>
          <w:tcPr>
            <w:tcW w:w="976" w:type="pct"/>
            <w:vMerge w:val="continue"/>
            <w:tcMar>
              <w:top w:w="80" w:type="dxa"/>
              <w:left w:w="80" w:type="dxa"/>
              <w:bottom w:w="80" w:type="dxa"/>
              <w:right w:w="80" w:type="dxa"/>
            </w:tcMar>
            <w:vAlign w:val="center"/>
          </w:tcPr>
          <w:p>
            <w:pPr>
              <w:spacing w:line="300" w:lineRule="exact"/>
              <w:ind w:firstLine="420"/>
              <w:jc w:val="left"/>
              <w:rPr>
                <w:rFonts w:hint="eastAsia" w:ascii="方正仿宋_GBK" w:hAnsi="方正仿宋_GBK" w:cs="方正仿宋_GBK"/>
                <w:kern w:val="0"/>
                <w:sz w:val="21"/>
                <w:szCs w:val="21"/>
                <w:lang w:bidi="ar"/>
              </w:rPr>
            </w:pPr>
          </w:p>
        </w:tc>
        <w:tc>
          <w:tcPr>
            <w:tcW w:w="911" w:type="pct"/>
            <w:tcMar>
              <w:top w:w="80" w:type="dxa"/>
              <w:left w:w="80" w:type="dxa"/>
              <w:bottom w:w="80" w:type="dxa"/>
              <w:right w:w="80" w:type="dxa"/>
            </w:tcMar>
            <w:vAlign w:val="center"/>
          </w:tcPr>
          <w:p>
            <w:pPr>
              <w:spacing w:line="300" w:lineRule="exact"/>
              <w:ind w:firstLine="0" w:firstLineChars="0"/>
              <w:jc w:val="left"/>
              <w:rPr>
                <w:rFonts w:hint="eastAsia" w:ascii="方正仿宋_GBK" w:hAnsi="方正仿宋_GBK" w:cs="方正仿宋_GBK"/>
                <w:kern w:val="0"/>
                <w:sz w:val="21"/>
                <w:szCs w:val="21"/>
                <w:lang w:bidi="ar"/>
              </w:rPr>
            </w:pPr>
            <w:r>
              <w:rPr>
                <w:rFonts w:hint="eastAsia" w:ascii="方正仿宋_GBK" w:hAnsi="方正仿宋_GBK" w:cs="方正仿宋_GBK"/>
                <w:kern w:val="0"/>
                <w:sz w:val="21"/>
                <w:szCs w:val="21"/>
                <w:lang w:bidi="ar"/>
              </w:rPr>
              <w:t>分级标签绑定</w:t>
            </w:r>
          </w:p>
        </w:tc>
        <w:tc>
          <w:tcPr>
            <w:tcW w:w="1901" w:type="pct"/>
            <w:tcMar>
              <w:top w:w="80" w:type="dxa"/>
              <w:left w:w="80" w:type="dxa"/>
              <w:bottom w:w="80" w:type="dxa"/>
              <w:right w:w="80" w:type="dxa"/>
            </w:tcMar>
            <w:vAlign w:val="center"/>
          </w:tcPr>
          <w:p>
            <w:pPr>
              <w:spacing w:line="300" w:lineRule="exact"/>
              <w:ind w:firstLine="0" w:firstLineChars="0"/>
              <w:jc w:val="left"/>
              <w:rPr>
                <w:rFonts w:hint="eastAsia" w:ascii="方正仿宋_GBK" w:hAnsi="方正仿宋_GBK" w:cs="方正仿宋_GBK"/>
                <w:kern w:val="0"/>
                <w:sz w:val="21"/>
                <w:szCs w:val="21"/>
                <w:lang w:bidi="ar"/>
              </w:rPr>
            </w:pPr>
            <w:r>
              <w:rPr>
                <w:rFonts w:hint="eastAsia" w:ascii="方正仿宋_GBK" w:hAnsi="方正仿宋_GBK" w:cs="方正仿宋_GBK"/>
                <w:kern w:val="0"/>
                <w:sz w:val="21"/>
                <w:szCs w:val="21"/>
                <w:lang w:bidi="ar"/>
              </w:rPr>
              <w:t>脱敏完成后给数据打上场景、敏感等级标签，标签跟随数据流转至下游</w:t>
            </w:r>
            <w:r>
              <w:rPr>
                <w:rFonts w:cs="Times New Roman"/>
                <w:kern w:val="0"/>
                <w:sz w:val="21"/>
                <w:szCs w:val="21"/>
                <w:lang w:bidi="ar"/>
              </w:rPr>
              <w:t>Token</w:t>
            </w:r>
            <w:r>
              <w:rPr>
                <w:rFonts w:hint="eastAsia" w:ascii="方正仿宋_GBK" w:hAnsi="方正仿宋_GBK" w:cs="方正仿宋_GBK"/>
                <w:kern w:val="0"/>
                <w:sz w:val="21"/>
                <w:szCs w:val="21"/>
                <w:lang w:bidi="ar"/>
              </w:rPr>
              <w:t>全链路</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5" w:type="dxa"/>
            <w:left w:w="15" w:type="dxa"/>
            <w:bottom w:w="15" w:type="dxa"/>
            <w:right w:w="15" w:type="dxa"/>
          </w:tblCellMar>
        </w:tblPrEx>
        <w:trPr>
          <w:jc w:val="center"/>
        </w:trPr>
        <w:tc>
          <w:tcPr>
            <w:tcW w:w="445" w:type="pct"/>
            <w:vMerge w:val="restart"/>
            <w:tcMar>
              <w:top w:w="80" w:type="dxa"/>
              <w:left w:w="80" w:type="dxa"/>
              <w:bottom w:w="80" w:type="dxa"/>
              <w:right w:w="80" w:type="dxa"/>
            </w:tcMar>
            <w:vAlign w:val="center"/>
          </w:tcPr>
          <w:p>
            <w:pPr>
              <w:spacing w:line="300" w:lineRule="exact"/>
              <w:ind w:firstLine="0" w:firstLineChars="0"/>
              <w:jc w:val="center"/>
              <w:rPr>
                <w:rFonts w:cs="Times New Roman"/>
                <w:kern w:val="0"/>
                <w:sz w:val="21"/>
                <w:szCs w:val="21"/>
                <w:lang w:bidi="ar"/>
              </w:rPr>
            </w:pPr>
            <w:r>
              <w:rPr>
                <w:rFonts w:cs="Times New Roman"/>
                <w:kern w:val="0"/>
                <w:sz w:val="21"/>
                <w:szCs w:val="21"/>
                <w:lang w:bidi="ar"/>
              </w:rPr>
              <w:t>2</w:t>
            </w:r>
          </w:p>
        </w:tc>
        <w:tc>
          <w:tcPr>
            <w:tcW w:w="764" w:type="pct"/>
            <w:vMerge w:val="restart"/>
            <w:tcMar>
              <w:top w:w="80" w:type="dxa"/>
              <w:left w:w="80" w:type="dxa"/>
              <w:bottom w:w="80" w:type="dxa"/>
              <w:right w:w="80" w:type="dxa"/>
            </w:tcMar>
            <w:vAlign w:val="center"/>
          </w:tcPr>
          <w:p>
            <w:pPr>
              <w:spacing w:line="300" w:lineRule="exact"/>
              <w:ind w:firstLine="0" w:firstLineChars="0"/>
              <w:jc w:val="center"/>
              <w:rPr>
                <w:rFonts w:cs="Times New Roman"/>
                <w:kern w:val="0"/>
                <w:sz w:val="21"/>
                <w:szCs w:val="21"/>
                <w:lang w:bidi="ar"/>
              </w:rPr>
            </w:pPr>
            <w:r>
              <w:rPr>
                <w:rFonts w:cs="Times New Roman"/>
                <w:kern w:val="0"/>
                <w:sz w:val="21"/>
                <w:szCs w:val="21"/>
                <w:lang w:bidi="ar"/>
              </w:rPr>
              <w:t>Token生成环节</w:t>
            </w:r>
          </w:p>
        </w:tc>
        <w:tc>
          <w:tcPr>
            <w:tcW w:w="976" w:type="pct"/>
            <w:vMerge w:val="restart"/>
            <w:tcMar>
              <w:top w:w="80" w:type="dxa"/>
              <w:left w:w="80" w:type="dxa"/>
              <w:bottom w:w="80" w:type="dxa"/>
              <w:right w:w="80" w:type="dxa"/>
            </w:tcMar>
            <w:vAlign w:val="center"/>
          </w:tcPr>
          <w:p>
            <w:pPr>
              <w:spacing w:line="300" w:lineRule="exact"/>
              <w:ind w:firstLine="0" w:firstLineChars="0"/>
              <w:jc w:val="left"/>
              <w:rPr>
                <w:rFonts w:hint="eastAsia" w:ascii="方正仿宋_GBK" w:hAnsi="方正仿宋_GBK" w:cs="方正仿宋_GBK"/>
                <w:kern w:val="0"/>
                <w:sz w:val="21"/>
                <w:szCs w:val="21"/>
                <w:lang w:bidi="ar"/>
              </w:rPr>
            </w:pPr>
            <w:r>
              <w:rPr>
                <w:rFonts w:hint="eastAsia" w:ascii="方正仿宋_GBK" w:hAnsi="方正仿宋_GBK" w:cs="方正仿宋_GBK"/>
                <w:kern w:val="0"/>
                <w:sz w:val="21"/>
                <w:szCs w:val="21"/>
                <w:lang w:bidi="ar"/>
              </w:rPr>
              <w:t>业务系统集成推送结构化表单、工艺时序、图纸图文、单据文件，统一编码推理/检索</w:t>
            </w:r>
            <w:r>
              <w:rPr>
                <w:rFonts w:cs="Times New Roman"/>
                <w:kern w:val="0"/>
                <w:sz w:val="21"/>
                <w:szCs w:val="21"/>
                <w:lang w:bidi="ar"/>
              </w:rPr>
              <w:t>Token</w:t>
            </w:r>
          </w:p>
        </w:tc>
        <w:tc>
          <w:tcPr>
            <w:tcW w:w="911" w:type="pct"/>
            <w:tcMar>
              <w:top w:w="80" w:type="dxa"/>
              <w:left w:w="80" w:type="dxa"/>
              <w:bottom w:w="80" w:type="dxa"/>
              <w:right w:w="80" w:type="dxa"/>
            </w:tcMar>
            <w:vAlign w:val="center"/>
          </w:tcPr>
          <w:p>
            <w:pPr>
              <w:spacing w:line="300" w:lineRule="exact"/>
              <w:ind w:firstLine="0" w:firstLineChars="0"/>
              <w:jc w:val="left"/>
              <w:rPr>
                <w:rFonts w:hint="eastAsia" w:ascii="方正仿宋_GBK" w:hAnsi="方正仿宋_GBK" w:cs="方正仿宋_GBK"/>
                <w:kern w:val="0"/>
                <w:sz w:val="21"/>
                <w:szCs w:val="21"/>
                <w:lang w:bidi="ar"/>
              </w:rPr>
            </w:pPr>
            <w:r>
              <w:rPr>
                <w:rFonts w:hint="eastAsia" w:ascii="方正仿宋_GBK" w:hAnsi="方正仿宋_GBK" w:cs="方正仿宋_GBK"/>
                <w:kern w:val="0"/>
                <w:sz w:val="21"/>
                <w:szCs w:val="21"/>
                <w:lang w:bidi="ar"/>
              </w:rPr>
              <w:t>前置全量清洗</w:t>
            </w:r>
          </w:p>
        </w:tc>
        <w:tc>
          <w:tcPr>
            <w:tcW w:w="1901" w:type="pct"/>
            <w:tcMar>
              <w:top w:w="80" w:type="dxa"/>
              <w:left w:w="80" w:type="dxa"/>
              <w:bottom w:w="80" w:type="dxa"/>
              <w:right w:w="80" w:type="dxa"/>
            </w:tcMar>
            <w:vAlign w:val="center"/>
          </w:tcPr>
          <w:p>
            <w:pPr>
              <w:spacing w:line="300" w:lineRule="exact"/>
              <w:ind w:firstLine="0" w:firstLineChars="0"/>
              <w:jc w:val="left"/>
              <w:rPr>
                <w:rFonts w:hint="eastAsia" w:ascii="方正仿宋_GBK" w:hAnsi="方正仿宋_GBK" w:cs="方正仿宋_GBK"/>
                <w:kern w:val="0"/>
                <w:sz w:val="21"/>
                <w:szCs w:val="21"/>
                <w:lang w:bidi="ar"/>
              </w:rPr>
            </w:pPr>
            <w:r>
              <w:rPr>
                <w:rFonts w:hint="eastAsia" w:ascii="方正仿宋_GBK" w:hAnsi="方正仿宋_GBK" w:cs="方正仿宋_GBK"/>
                <w:kern w:val="0"/>
                <w:sz w:val="21"/>
                <w:szCs w:val="21"/>
                <w:lang w:bidi="ar"/>
              </w:rPr>
              <w:t>仅允许上一环节完成脱敏的业务数据参与</w:t>
            </w:r>
            <w:r>
              <w:rPr>
                <w:rFonts w:cs="Times New Roman"/>
                <w:kern w:val="0"/>
                <w:sz w:val="21"/>
                <w:szCs w:val="21"/>
                <w:lang w:bidi="ar"/>
              </w:rPr>
              <w:t>Token</w:t>
            </w:r>
            <w:r>
              <w:rPr>
                <w:rFonts w:hint="eastAsia" w:ascii="方正仿宋_GBK" w:hAnsi="方正仿宋_GBK" w:cs="方正仿宋_GBK"/>
                <w:kern w:val="0"/>
                <w:sz w:val="21"/>
                <w:szCs w:val="21"/>
                <w:lang w:bidi="ar"/>
              </w:rPr>
              <w:t>生成，明文敏感数据禁止编码为</w:t>
            </w:r>
            <w:r>
              <w:rPr>
                <w:rFonts w:cs="Times New Roman"/>
                <w:kern w:val="0"/>
                <w:sz w:val="21"/>
                <w:szCs w:val="21"/>
                <w:lang w:bidi="ar"/>
              </w:rPr>
              <w:t>Token</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5" w:type="dxa"/>
            <w:left w:w="15" w:type="dxa"/>
            <w:bottom w:w="15" w:type="dxa"/>
            <w:right w:w="15" w:type="dxa"/>
          </w:tblCellMar>
        </w:tblPrEx>
        <w:trPr>
          <w:jc w:val="center"/>
        </w:trPr>
        <w:tc>
          <w:tcPr>
            <w:tcW w:w="445" w:type="pct"/>
            <w:vMerge w:val="continue"/>
            <w:tcMar>
              <w:top w:w="80" w:type="dxa"/>
              <w:left w:w="80" w:type="dxa"/>
              <w:bottom w:w="80" w:type="dxa"/>
              <w:right w:w="80" w:type="dxa"/>
            </w:tcMar>
            <w:vAlign w:val="center"/>
          </w:tcPr>
          <w:p>
            <w:pPr>
              <w:spacing w:line="300" w:lineRule="exact"/>
              <w:ind w:firstLine="420"/>
              <w:jc w:val="center"/>
              <w:rPr>
                <w:rFonts w:cs="Times New Roman"/>
                <w:kern w:val="0"/>
                <w:sz w:val="21"/>
                <w:szCs w:val="21"/>
                <w:lang w:bidi="ar"/>
              </w:rPr>
            </w:pPr>
          </w:p>
        </w:tc>
        <w:tc>
          <w:tcPr>
            <w:tcW w:w="764" w:type="pct"/>
            <w:vMerge w:val="continue"/>
            <w:tcMar>
              <w:top w:w="80" w:type="dxa"/>
              <w:left w:w="80" w:type="dxa"/>
              <w:bottom w:w="80" w:type="dxa"/>
              <w:right w:w="80" w:type="dxa"/>
            </w:tcMar>
            <w:vAlign w:val="center"/>
          </w:tcPr>
          <w:p>
            <w:pPr>
              <w:spacing w:line="300" w:lineRule="exact"/>
              <w:ind w:firstLine="420"/>
              <w:jc w:val="center"/>
              <w:rPr>
                <w:rFonts w:cs="Times New Roman"/>
                <w:kern w:val="0"/>
                <w:sz w:val="21"/>
                <w:szCs w:val="21"/>
                <w:lang w:bidi="ar"/>
              </w:rPr>
            </w:pPr>
          </w:p>
        </w:tc>
        <w:tc>
          <w:tcPr>
            <w:tcW w:w="976" w:type="pct"/>
            <w:vMerge w:val="continue"/>
            <w:tcMar>
              <w:top w:w="80" w:type="dxa"/>
              <w:left w:w="80" w:type="dxa"/>
              <w:bottom w:w="80" w:type="dxa"/>
              <w:right w:w="80" w:type="dxa"/>
            </w:tcMar>
            <w:vAlign w:val="center"/>
          </w:tcPr>
          <w:p>
            <w:pPr>
              <w:spacing w:line="300" w:lineRule="exact"/>
              <w:ind w:firstLine="420"/>
              <w:jc w:val="left"/>
              <w:rPr>
                <w:rFonts w:hint="eastAsia" w:ascii="方正仿宋_GBK" w:hAnsi="方正仿宋_GBK" w:cs="方正仿宋_GBK"/>
                <w:kern w:val="0"/>
                <w:sz w:val="21"/>
                <w:szCs w:val="21"/>
                <w:lang w:bidi="ar"/>
              </w:rPr>
            </w:pPr>
          </w:p>
        </w:tc>
        <w:tc>
          <w:tcPr>
            <w:tcW w:w="911" w:type="pct"/>
            <w:tcMar>
              <w:top w:w="80" w:type="dxa"/>
              <w:left w:w="80" w:type="dxa"/>
              <w:bottom w:w="80" w:type="dxa"/>
              <w:right w:w="80" w:type="dxa"/>
            </w:tcMar>
            <w:vAlign w:val="center"/>
          </w:tcPr>
          <w:p>
            <w:pPr>
              <w:spacing w:line="300" w:lineRule="exact"/>
              <w:ind w:firstLine="0" w:firstLineChars="0"/>
              <w:jc w:val="left"/>
              <w:rPr>
                <w:rFonts w:hint="eastAsia" w:ascii="方正仿宋_GBK" w:hAnsi="方正仿宋_GBK" w:cs="方正仿宋_GBK"/>
                <w:kern w:val="0"/>
                <w:sz w:val="21"/>
                <w:szCs w:val="21"/>
                <w:lang w:bidi="ar"/>
              </w:rPr>
            </w:pPr>
            <w:r>
              <w:rPr>
                <w:rFonts w:hint="eastAsia" w:ascii="方正仿宋_GBK" w:hAnsi="方正仿宋_GBK" w:cs="方正仿宋_GBK"/>
                <w:kern w:val="0"/>
                <w:sz w:val="21"/>
                <w:szCs w:val="21"/>
                <w:lang w:bidi="ar"/>
              </w:rPr>
              <w:t>差分隐私扰动</w:t>
            </w:r>
          </w:p>
        </w:tc>
        <w:tc>
          <w:tcPr>
            <w:tcW w:w="1901" w:type="pct"/>
            <w:tcMar>
              <w:top w:w="80" w:type="dxa"/>
              <w:left w:w="80" w:type="dxa"/>
              <w:bottom w:w="80" w:type="dxa"/>
              <w:right w:w="80" w:type="dxa"/>
            </w:tcMar>
            <w:vAlign w:val="center"/>
          </w:tcPr>
          <w:p>
            <w:pPr>
              <w:spacing w:line="300" w:lineRule="exact"/>
              <w:ind w:firstLine="0" w:firstLineChars="0"/>
              <w:jc w:val="left"/>
              <w:rPr>
                <w:rFonts w:hint="eastAsia" w:ascii="方正仿宋_GBK" w:hAnsi="方正仿宋_GBK" w:cs="方正仿宋_GBK"/>
                <w:kern w:val="0"/>
                <w:sz w:val="21"/>
                <w:szCs w:val="21"/>
                <w:lang w:bidi="ar"/>
              </w:rPr>
            </w:pPr>
            <w:r>
              <w:rPr>
                <w:rFonts w:hint="eastAsia" w:ascii="方正仿宋_GBK" w:hAnsi="方正仿宋_GBK" w:cs="方正仿宋_GBK"/>
                <w:kern w:val="0"/>
                <w:sz w:val="21"/>
                <w:szCs w:val="21"/>
                <w:lang w:bidi="ar"/>
              </w:rPr>
              <w:t>产能、良率、设备性能时序数据生成</w:t>
            </w:r>
            <w:r>
              <w:rPr>
                <w:rFonts w:cs="Times New Roman"/>
                <w:kern w:val="0"/>
                <w:sz w:val="21"/>
                <w:szCs w:val="21"/>
                <w:lang w:bidi="ar"/>
              </w:rPr>
              <w:t>Token</w:t>
            </w:r>
            <w:r>
              <w:rPr>
                <w:rFonts w:hint="eastAsia" w:ascii="方正仿宋_GBK" w:hAnsi="方正仿宋_GBK" w:cs="方正仿宋_GBK"/>
                <w:kern w:val="0"/>
                <w:sz w:val="21"/>
                <w:szCs w:val="21"/>
                <w:lang w:bidi="ar"/>
              </w:rPr>
              <w:t>前增加噪声，防止通过</w:t>
            </w:r>
            <w:r>
              <w:rPr>
                <w:rFonts w:cs="Times New Roman"/>
                <w:kern w:val="0"/>
                <w:sz w:val="21"/>
                <w:szCs w:val="21"/>
                <w:lang w:bidi="ar"/>
              </w:rPr>
              <w:t>Token</w:t>
            </w:r>
            <w:r>
              <w:rPr>
                <w:rFonts w:hint="eastAsia" w:ascii="方正仿宋_GBK" w:hAnsi="方正仿宋_GBK" w:cs="方正仿宋_GBK"/>
                <w:kern w:val="0"/>
                <w:sz w:val="21"/>
                <w:szCs w:val="21"/>
                <w:lang w:bidi="ar"/>
              </w:rPr>
              <w:t>逆向还原真实指标</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5" w:type="dxa"/>
            <w:left w:w="15" w:type="dxa"/>
            <w:bottom w:w="15" w:type="dxa"/>
            <w:right w:w="15" w:type="dxa"/>
          </w:tblCellMar>
        </w:tblPrEx>
        <w:trPr>
          <w:jc w:val="center"/>
        </w:trPr>
        <w:tc>
          <w:tcPr>
            <w:tcW w:w="445" w:type="pct"/>
            <w:vMerge w:val="continue"/>
            <w:tcMar>
              <w:top w:w="80" w:type="dxa"/>
              <w:left w:w="80" w:type="dxa"/>
              <w:bottom w:w="80" w:type="dxa"/>
              <w:right w:w="80" w:type="dxa"/>
            </w:tcMar>
            <w:vAlign w:val="center"/>
          </w:tcPr>
          <w:p>
            <w:pPr>
              <w:spacing w:line="300" w:lineRule="exact"/>
              <w:ind w:firstLine="420"/>
              <w:jc w:val="center"/>
              <w:rPr>
                <w:rFonts w:cs="Times New Roman"/>
                <w:kern w:val="0"/>
                <w:sz w:val="21"/>
                <w:szCs w:val="21"/>
                <w:lang w:bidi="ar"/>
              </w:rPr>
            </w:pPr>
          </w:p>
        </w:tc>
        <w:tc>
          <w:tcPr>
            <w:tcW w:w="764" w:type="pct"/>
            <w:vMerge w:val="continue"/>
            <w:tcMar>
              <w:top w:w="80" w:type="dxa"/>
              <w:left w:w="80" w:type="dxa"/>
              <w:bottom w:w="80" w:type="dxa"/>
              <w:right w:w="80" w:type="dxa"/>
            </w:tcMar>
            <w:vAlign w:val="center"/>
          </w:tcPr>
          <w:p>
            <w:pPr>
              <w:spacing w:line="300" w:lineRule="exact"/>
              <w:ind w:firstLine="420"/>
              <w:jc w:val="center"/>
              <w:rPr>
                <w:rFonts w:cs="Times New Roman"/>
                <w:kern w:val="0"/>
                <w:sz w:val="21"/>
                <w:szCs w:val="21"/>
                <w:lang w:bidi="ar"/>
              </w:rPr>
            </w:pPr>
          </w:p>
        </w:tc>
        <w:tc>
          <w:tcPr>
            <w:tcW w:w="976" w:type="pct"/>
            <w:vMerge w:val="continue"/>
            <w:tcMar>
              <w:top w:w="80" w:type="dxa"/>
              <w:left w:w="80" w:type="dxa"/>
              <w:bottom w:w="80" w:type="dxa"/>
              <w:right w:w="80" w:type="dxa"/>
            </w:tcMar>
            <w:vAlign w:val="center"/>
          </w:tcPr>
          <w:p>
            <w:pPr>
              <w:spacing w:line="300" w:lineRule="exact"/>
              <w:ind w:firstLine="420"/>
              <w:jc w:val="left"/>
              <w:rPr>
                <w:rFonts w:hint="eastAsia" w:ascii="方正仿宋_GBK" w:hAnsi="方正仿宋_GBK" w:cs="方正仿宋_GBK"/>
                <w:kern w:val="0"/>
                <w:sz w:val="21"/>
                <w:szCs w:val="21"/>
                <w:lang w:bidi="ar"/>
              </w:rPr>
            </w:pPr>
          </w:p>
        </w:tc>
        <w:tc>
          <w:tcPr>
            <w:tcW w:w="911" w:type="pct"/>
            <w:tcMar>
              <w:top w:w="80" w:type="dxa"/>
              <w:left w:w="80" w:type="dxa"/>
              <w:bottom w:w="80" w:type="dxa"/>
              <w:right w:w="80" w:type="dxa"/>
            </w:tcMar>
            <w:vAlign w:val="center"/>
          </w:tcPr>
          <w:p>
            <w:pPr>
              <w:spacing w:line="300" w:lineRule="exact"/>
              <w:ind w:firstLine="0" w:firstLineChars="0"/>
              <w:jc w:val="left"/>
              <w:rPr>
                <w:rFonts w:hint="eastAsia" w:ascii="方正仿宋_GBK" w:hAnsi="方正仿宋_GBK" w:cs="方正仿宋_GBK"/>
                <w:kern w:val="0"/>
                <w:sz w:val="21"/>
                <w:szCs w:val="21"/>
                <w:lang w:bidi="ar"/>
              </w:rPr>
            </w:pPr>
            <w:r>
              <w:rPr>
                <w:rFonts w:hint="eastAsia" w:ascii="方正仿宋_GBK" w:hAnsi="方正仿宋_GBK" w:cs="方正仿宋_GBK"/>
                <w:kern w:val="0"/>
                <w:sz w:val="21"/>
                <w:szCs w:val="21"/>
                <w:lang w:bidi="ar"/>
              </w:rPr>
              <w:t>图像像素遮蔽</w:t>
            </w:r>
          </w:p>
        </w:tc>
        <w:tc>
          <w:tcPr>
            <w:tcW w:w="1901" w:type="pct"/>
            <w:tcMar>
              <w:top w:w="80" w:type="dxa"/>
              <w:left w:w="80" w:type="dxa"/>
              <w:bottom w:w="80" w:type="dxa"/>
              <w:right w:w="80" w:type="dxa"/>
            </w:tcMar>
            <w:vAlign w:val="center"/>
          </w:tcPr>
          <w:p>
            <w:pPr>
              <w:spacing w:line="300" w:lineRule="exact"/>
              <w:ind w:firstLine="0" w:firstLineChars="0"/>
              <w:jc w:val="left"/>
              <w:rPr>
                <w:rFonts w:hint="eastAsia" w:ascii="方正仿宋_GBK" w:hAnsi="方正仿宋_GBK" w:cs="方正仿宋_GBK"/>
                <w:kern w:val="0"/>
                <w:sz w:val="21"/>
                <w:szCs w:val="21"/>
                <w:lang w:bidi="ar"/>
              </w:rPr>
            </w:pPr>
            <w:r>
              <w:rPr>
                <w:rFonts w:hint="eastAsia" w:ascii="方正仿宋_GBK" w:hAnsi="方正仿宋_GBK" w:cs="方正仿宋_GBK"/>
                <w:kern w:val="0"/>
                <w:sz w:val="21"/>
                <w:szCs w:val="21"/>
                <w:lang w:bidi="ar"/>
              </w:rPr>
              <w:t>质检图、设备图纸</w:t>
            </w:r>
            <w:r>
              <w:rPr>
                <w:rFonts w:cs="Times New Roman"/>
                <w:kern w:val="0"/>
                <w:sz w:val="21"/>
                <w:szCs w:val="21"/>
                <w:lang w:bidi="ar"/>
              </w:rPr>
              <w:t>Token</w:t>
            </w:r>
            <w:r>
              <w:rPr>
                <w:rFonts w:hint="eastAsia" w:ascii="方正仿宋_GBK" w:hAnsi="方正仿宋_GBK" w:cs="方正仿宋_GBK"/>
                <w:kern w:val="0"/>
                <w:sz w:val="21"/>
                <w:szCs w:val="21"/>
                <w:lang w:bidi="ar"/>
              </w:rPr>
              <w:t>编码前对铭牌、涉密工装、厂区标识模糊处理</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5" w:type="dxa"/>
            <w:left w:w="15" w:type="dxa"/>
            <w:bottom w:w="15" w:type="dxa"/>
            <w:right w:w="15" w:type="dxa"/>
          </w:tblCellMar>
        </w:tblPrEx>
        <w:trPr>
          <w:jc w:val="center"/>
        </w:trPr>
        <w:tc>
          <w:tcPr>
            <w:tcW w:w="445" w:type="pct"/>
            <w:vMerge w:val="continue"/>
            <w:tcMar>
              <w:top w:w="80" w:type="dxa"/>
              <w:left w:w="80" w:type="dxa"/>
              <w:bottom w:w="80" w:type="dxa"/>
              <w:right w:w="80" w:type="dxa"/>
            </w:tcMar>
            <w:vAlign w:val="center"/>
          </w:tcPr>
          <w:p>
            <w:pPr>
              <w:spacing w:line="300" w:lineRule="exact"/>
              <w:ind w:firstLine="420"/>
              <w:jc w:val="center"/>
              <w:rPr>
                <w:rFonts w:cs="Times New Roman"/>
                <w:kern w:val="0"/>
                <w:sz w:val="21"/>
                <w:szCs w:val="21"/>
                <w:lang w:bidi="ar"/>
              </w:rPr>
            </w:pPr>
          </w:p>
        </w:tc>
        <w:tc>
          <w:tcPr>
            <w:tcW w:w="764" w:type="pct"/>
            <w:vMerge w:val="continue"/>
            <w:tcMar>
              <w:top w:w="80" w:type="dxa"/>
              <w:left w:w="80" w:type="dxa"/>
              <w:bottom w:w="80" w:type="dxa"/>
              <w:right w:w="80" w:type="dxa"/>
            </w:tcMar>
            <w:vAlign w:val="center"/>
          </w:tcPr>
          <w:p>
            <w:pPr>
              <w:spacing w:line="300" w:lineRule="exact"/>
              <w:ind w:firstLine="420"/>
              <w:jc w:val="center"/>
              <w:rPr>
                <w:rFonts w:cs="Times New Roman"/>
                <w:kern w:val="0"/>
                <w:sz w:val="21"/>
                <w:szCs w:val="21"/>
                <w:lang w:bidi="ar"/>
              </w:rPr>
            </w:pPr>
          </w:p>
        </w:tc>
        <w:tc>
          <w:tcPr>
            <w:tcW w:w="976" w:type="pct"/>
            <w:vMerge w:val="continue"/>
            <w:tcMar>
              <w:top w:w="80" w:type="dxa"/>
              <w:left w:w="80" w:type="dxa"/>
              <w:bottom w:w="80" w:type="dxa"/>
              <w:right w:w="80" w:type="dxa"/>
            </w:tcMar>
            <w:vAlign w:val="center"/>
          </w:tcPr>
          <w:p>
            <w:pPr>
              <w:spacing w:line="300" w:lineRule="exact"/>
              <w:ind w:firstLine="420"/>
              <w:jc w:val="left"/>
              <w:rPr>
                <w:rFonts w:hint="eastAsia" w:ascii="方正仿宋_GBK" w:hAnsi="方正仿宋_GBK" w:cs="方正仿宋_GBK"/>
                <w:kern w:val="0"/>
                <w:sz w:val="21"/>
                <w:szCs w:val="21"/>
                <w:lang w:bidi="ar"/>
              </w:rPr>
            </w:pPr>
          </w:p>
        </w:tc>
        <w:tc>
          <w:tcPr>
            <w:tcW w:w="911" w:type="pct"/>
            <w:tcMar>
              <w:top w:w="80" w:type="dxa"/>
              <w:left w:w="80" w:type="dxa"/>
              <w:bottom w:w="80" w:type="dxa"/>
              <w:right w:w="80" w:type="dxa"/>
            </w:tcMar>
            <w:vAlign w:val="center"/>
          </w:tcPr>
          <w:p>
            <w:pPr>
              <w:spacing w:line="300" w:lineRule="exact"/>
              <w:ind w:firstLine="0" w:firstLineChars="0"/>
              <w:jc w:val="left"/>
              <w:rPr>
                <w:rFonts w:hint="eastAsia" w:ascii="方正仿宋_GBK" w:hAnsi="方正仿宋_GBK" w:cs="方正仿宋_GBK"/>
                <w:kern w:val="0"/>
                <w:sz w:val="21"/>
                <w:szCs w:val="21"/>
                <w:lang w:bidi="ar"/>
              </w:rPr>
            </w:pPr>
            <w:r>
              <w:rPr>
                <w:rFonts w:hint="eastAsia" w:ascii="方正仿宋_GBK" w:hAnsi="方正仿宋_GBK" w:cs="方正仿宋_GBK"/>
                <w:kern w:val="0"/>
                <w:sz w:val="21"/>
                <w:szCs w:val="21"/>
                <w:lang w:bidi="ar"/>
              </w:rPr>
              <w:t>分级</w:t>
            </w:r>
            <w:r>
              <w:rPr>
                <w:rFonts w:cs="Times New Roman"/>
                <w:kern w:val="0"/>
                <w:sz w:val="21"/>
                <w:szCs w:val="21"/>
                <w:lang w:bidi="ar"/>
              </w:rPr>
              <w:t>Token</w:t>
            </w:r>
            <w:r>
              <w:rPr>
                <w:rFonts w:hint="eastAsia" w:ascii="方正仿宋_GBK" w:hAnsi="方正仿宋_GBK" w:cs="方正仿宋_GBK"/>
                <w:kern w:val="0"/>
                <w:sz w:val="21"/>
                <w:szCs w:val="21"/>
                <w:lang w:bidi="ar"/>
              </w:rPr>
              <w:t>加密</w:t>
            </w:r>
          </w:p>
        </w:tc>
        <w:tc>
          <w:tcPr>
            <w:tcW w:w="1901" w:type="pct"/>
            <w:tcMar>
              <w:top w:w="80" w:type="dxa"/>
              <w:left w:w="80" w:type="dxa"/>
              <w:bottom w:w="80" w:type="dxa"/>
              <w:right w:w="80" w:type="dxa"/>
            </w:tcMar>
            <w:vAlign w:val="center"/>
          </w:tcPr>
          <w:p>
            <w:pPr>
              <w:spacing w:line="300" w:lineRule="exact"/>
              <w:ind w:firstLine="0" w:firstLineChars="0"/>
              <w:jc w:val="left"/>
              <w:rPr>
                <w:rFonts w:hint="eastAsia" w:ascii="方正仿宋_GBK" w:hAnsi="方正仿宋_GBK" w:cs="方正仿宋_GBK"/>
                <w:kern w:val="0"/>
                <w:sz w:val="21"/>
                <w:szCs w:val="21"/>
                <w:lang w:bidi="ar"/>
              </w:rPr>
            </w:pPr>
            <w:r>
              <w:rPr>
                <w:rFonts w:hint="eastAsia" w:ascii="方正仿宋_GBK" w:hAnsi="方正仿宋_GBK" w:cs="方正仿宋_GBK"/>
                <w:kern w:val="0"/>
                <w:sz w:val="21"/>
                <w:szCs w:val="21"/>
                <w:lang w:bidi="ar"/>
              </w:rPr>
              <w:t>高敏感工艺、财务数据生成加密型</w:t>
            </w:r>
            <w:r>
              <w:rPr>
                <w:rFonts w:cs="Times New Roman"/>
                <w:kern w:val="0"/>
                <w:sz w:val="21"/>
                <w:szCs w:val="21"/>
                <w:lang w:bidi="ar"/>
              </w:rPr>
              <w:t>Token</w:t>
            </w:r>
            <w:r>
              <w:rPr>
                <w:rFonts w:hint="eastAsia" w:ascii="方正仿宋_GBK" w:hAnsi="方正仿宋_GBK" w:cs="方正仿宋_GBK"/>
                <w:kern w:val="0"/>
                <w:sz w:val="21"/>
                <w:szCs w:val="21"/>
                <w:lang w:bidi="ar"/>
              </w:rPr>
              <w:t>，普通经营业务生成标准明文</w:t>
            </w:r>
            <w:r>
              <w:rPr>
                <w:rFonts w:cs="Times New Roman"/>
                <w:kern w:val="0"/>
                <w:sz w:val="21"/>
                <w:szCs w:val="21"/>
                <w:lang w:bidi="ar"/>
              </w:rPr>
              <w:t>Token</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5" w:type="dxa"/>
            <w:left w:w="15" w:type="dxa"/>
            <w:bottom w:w="15" w:type="dxa"/>
            <w:right w:w="15" w:type="dxa"/>
          </w:tblCellMar>
        </w:tblPrEx>
        <w:trPr>
          <w:jc w:val="center"/>
        </w:trPr>
        <w:tc>
          <w:tcPr>
            <w:tcW w:w="445" w:type="pct"/>
            <w:vMerge w:val="continue"/>
            <w:tcMar>
              <w:top w:w="80" w:type="dxa"/>
              <w:left w:w="80" w:type="dxa"/>
              <w:bottom w:w="80" w:type="dxa"/>
              <w:right w:w="80" w:type="dxa"/>
            </w:tcMar>
            <w:vAlign w:val="center"/>
          </w:tcPr>
          <w:p>
            <w:pPr>
              <w:spacing w:line="300" w:lineRule="exact"/>
              <w:ind w:firstLine="420"/>
              <w:jc w:val="center"/>
              <w:rPr>
                <w:rFonts w:cs="Times New Roman"/>
                <w:kern w:val="0"/>
                <w:sz w:val="21"/>
                <w:szCs w:val="21"/>
                <w:lang w:bidi="ar"/>
              </w:rPr>
            </w:pPr>
          </w:p>
        </w:tc>
        <w:tc>
          <w:tcPr>
            <w:tcW w:w="764" w:type="pct"/>
            <w:vMerge w:val="continue"/>
            <w:tcMar>
              <w:top w:w="80" w:type="dxa"/>
              <w:left w:w="80" w:type="dxa"/>
              <w:bottom w:w="80" w:type="dxa"/>
              <w:right w:w="80" w:type="dxa"/>
            </w:tcMar>
            <w:vAlign w:val="center"/>
          </w:tcPr>
          <w:p>
            <w:pPr>
              <w:spacing w:line="300" w:lineRule="exact"/>
              <w:ind w:firstLine="420"/>
              <w:jc w:val="center"/>
              <w:rPr>
                <w:rFonts w:cs="Times New Roman"/>
                <w:kern w:val="0"/>
                <w:sz w:val="21"/>
                <w:szCs w:val="21"/>
                <w:lang w:bidi="ar"/>
              </w:rPr>
            </w:pPr>
          </w:p>
        </w:tc>
        <w:tc>
          <w:tcPr>
            <w:tcW w:w="976" w:type="pct"/>
            <w:vMerge w:val="continue"/>
            <w:tcMar>
              <w:top w:w="80" w:type="dxa"/>
              <w:left w:w="80" w:type="dxa"/>
              <w:bottom w:w="80" w:type="dxa"/>
              <w:right w:w="80" w:type="dxa"/>
            </w:tcMar>
            <w:vAlign w:val="center"/>
          </w:tcPr>
          <w:p>
            <w:pPr>
              <w:spacing w:line="300" w:lineRule="exact"/>
              <w:ind w:firstLine="420"/>
              <w:jc w:val="left"/>
              <w:rPr>
                <w:rFonts w:hint="eastAsia" w:ascii="方正仿宋_GBK" w:hAnsi="方正仿宋_GBK" w:cs="方正仿宋_GBK"/>
                <w:kern w:val="0"/>
                <w:sz w:val="21"/>
                <w:szCs w:val="21"/>
                <w:lang w:bidi="ar"/>
              </w:rPr>
            </w:pPr>
          </w:p>
        </w:tc>
        <w:tc>
          <w:tcPr>
            <w:tcW w:w="911" w:type="pct"/>
            <w:tcMar>
              <w:top w:w="80" w:type="dxa"/>
              <w:left w:w="80" w:type="dxa"/>
              <w:bottom w:w="80" w:type="dxa"/>
              <w:right w:w="80" w:type="dxa"/>
            </w:tcMar>
            <w:vAlign w:val="center"/>
          </w:tcPr>
          <w:p>
            <w:pPr>
              <w:spacing w:line="300" w:lineRule="exact"/>
              <w:ind w:firstLine="0" w:firstLineChars="0"/>
              <w:jc w:val="left"/>
              <w:rPr>
                <w:rFonts w:hint="eastAsia" w:ascii="方正仿宋_GBK" w:hAnsi="方正仿宋_GBK" w:cs="方正仿宋_GBK"/>
                <w:kern w:val="0"/>
                <w:sz w:val="21"/>
                <w:szCs w:val="21"/>
                <w:lang w:bidi="ar"/>
              </w:rPr>
            </w:pPr>
            <w:r>
              <w:rPr>
                <w:rFonts w:hint="eastAsia" w:ascii="方正仿宋_GBK" w:hAnsi="方正仿宋_GBK" w:cs="方正仿宋_GBK"/>
                <w:kern w:val="0"/>
                <w:sz w:val="21"/>
                <w:szCs w:val="21"/>
                <w:lang w:bidi="ar"/>
              </w:rPr>
              <w:t>溯源标识嵌入</w:t>
            </w:r>
          </w:p>
        </w:tc>
        <w:tc>
          <w:tcPr>
            <w:tcW w:w="1901" w:type="pct"/>
            <w:tcMar>
              <w:top w:w="80" w:type="dxa"/>
              <w:left w:w="80" w:type="dxa"/>
              <w:bottom w:w="80" w:type="dxa"/>
              <w:right w:w="80" w:type="dxa"/>
            </w:tcMar>
            <w:vAlign w:val="center"/>
          </w:tcPr>
          <w:p>
            <w:pPr>
              <w:spacing w:line="300" w:lineRule="exact"/>
              <w:ind w:firstLine="0" w:firstLineChars="0"/>
              <w:jc w:val="left"/>
              <w:rPr>
                <w:rFonts w:hint="eastAsia" w:ascii="方正仿宋_GBK" w:hAnsi="方正仿宋_GBK" w:cs="方正仿宋_GBK"/>
                <w:kern w:val="0"/>
                <w:sz w:val="21"/>
                <w:szCs w:val="21"/>
                <w:lang w:bidi="ar"/>
              </w:rPr>
            </w:pPr>
            <w:r>
              <w:rPr>
                <w:rFonts w:hint="eastAsia" w:ascii="方正仿宋_GBK" w:hAnsi="方正仿宋_GBK" w:cs="方正仿宋_GBK"/>
                <w:kern w:val="0"/>
                <w:sz w:val="21"/>
                <w:szCs w:val="21"/>
                <w:lang w:bidi="ar"/>
              </w:rPr>
              <w:t>每批生成</w:t>
            </w:r>
            <w:r>
              <w:rPr>
                <w:rFonts w:cs="Times New Roman"/>
                <w:kern w:val="0"/>
                <w:sz w:val="21"/>
                <w:szCs w:val="21"/>
                <w:lang w:bidi="ar"/>
              </w:rPr>
              <w:t>Token</w:t>
            </w:r>
            <w:r>
              <w:rPr>
                <w:rFonts w:hint="eastAsia" w:ascii="方正仿宋_GBK" w:hAnsi="方正仿宋_GBK" w:cs="方正仿宋_GBK"/>
                <w:kern w:val="0"/>
                <w:sz w:val="21"/>
                <w:szCs w:val="21"/>
                <w:lang w:bidi="ar"/>
              </w:rPr>
              <w:t>内置唯一溯源</w:t>
            </w:r>
            <w:r>
              <w:rPr>
                <w:rFonts w:cs="Times New Roman"/>
                <w:kern w:val="0"/>
                <w:sz w:val="21"/>
                <w:szCs w:val="21"/>
                <w:lang w:bidi="ar"/>
              </w:rPr>
              <w:t>ID</w:t>
            </w:r>
            <w:r>
              <w:rPr>
                <w:rFonts w:hint="eastAsia" w:ascii="方正仿宋_GBK" w:hAnsi="方正仿宋_GBK" w:cs="方正仿宋_GBK"/>
                <w:kern w:val="0"/>
                <w:sz w:val="21"/>
                <w:szCs w:val="21"/>
                <w:lang w:bidi="ar"/>
              </w:rPr>
              <w:t>，关联来源工业系统、集成接口编号、数据批次</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5" w:type="dxa"/>
            <w:left w:w="15" w:type="dxa"/>
            <w:bottom w:w="15" w:type="dxa"/>
            <w:right w:w="15" w:type="dxa"/>
          </w:tblCellMar>
        </w:tblPrEx>
        <w:trPr>
          <w:jc w:val="center"/>
        </w:trPr>
        <w:tc>
          <w:tcPr>
            <w:tcW w:w="445" w:type="pct"/>
            <w:vMerge w:val="restart"/>
            <w:tcMar>
              <w:top w:w="80" w:type="dxa"/>
              <w:left w:w="80" w:type="dxa"/>
              <w:bottom w:w="80" w:type="dxa"/>
              <w:right w:w="80" w:type="dxa"/>
            </w:tcMar>
            <w:vAlign w:val="center"/>
          </w:tcPr>
          <w:p>
            <w:pPr>
              <w:spacing w:line="300" w:lineRule="exact"/>
              <w:ind w:firstLine="0" w:firstLineChars="0"/>
              <w:jc w:val="center"/>
              <w:rPr>
                <w:rFonts w:cs="Times New Roman"/>
                <w:kern w:val="0"/>
                <w:sz w:val="21"/>
                <w:szCs w:val="21"/>
                <w:lang w:bidi="ar"/>
              </w:rPr>
            </w:pPr>
            <w:r>
              <w:rPr>
                <w:rFonts w:cs="Times New Roman"/>
                <w:kern w:val="0"/>
                <w:sz w:val="21"/>
                <w:szCs w:val="21"/>
                <w:lang w:bidi="ar"/>
              </w:rPr>
              <w:t>3</w:t>
            </w:r>
          </w:p>
        </w:tc>
        <w:tc>
          <w:tcPr>
            <w:tcW w:w="764" w:type="pct"/>
            <w:vMerge w:val="restart"/>
            <w:tcMar>
              <w:top w:w="80" w:type="dxa"/>
              <w:left w:w="80" w:type="dxa"/>
              <w:bottom w:w="80" w:type="dxa"/>
              <w:right w:w="80" w:type="dxa"/>
            </w:tcMar>
            <w:vAlign w:val="center"/>
          </w:tcPr>
          <w:p>
            <w:pPr>
              <w:spacing w:line="300" w:lineRule="exact"/>
              <w:ind w:firstLine="0" w:firstLineChars="0"/>
              <w:jc w:val="center"/>
              <w:rPr>
                <w:rFonts w:cs="Times New Roman"/>
                <w:kern w:val="0"/>
                <w:sz w:val="21"/>
                <w:szCs w:val="21"/>
                <w:lang w:bidi="ar"/>
              </w:rPr>
            </w:pPr>
            <w:r>
              <w:rPr>
                <w:rFonts w:cs="Times New Roman"/>
                <w:kern w:val="0"/>
                <w:sz w:val="21"/>
                <w:szCs w:val="21"/>
                <w:lang w:bidi="ar"/>
              </w:rPr>
              <w:t>Token缓存存储环节</w:t>
            </w:r>
          </w:p>
        </w:tc>
        <w:tc>
          <w:tcPr>
            <w:tcW w:w="976" w:type="pct"/>
            <w:vMerge w:val="restart"/>
            <w:tcMar>
              <w:top w:w="80" w:type="dxa"/>
              <w:left w:w="80" w:type="dxa"/>
              <w:bottom w:w="80" w:type="dxa"/>
              <w:right w:w="80" w:type="dxa"/>
            </w:tcMar>
            <w:vAlign w:val="center"/>
          </w:tcPr>
          <w:p>
            <w:pPr>
              <w:spacing w:line="300" w:lineRule="exact"/>
              <w:ind w:firstLine="0" w:firstLineChars="0"/>
              <w:jc w:val="left"/>
              <w:rPr>
                <w:rFonts w:hint="eastAsia" w:ascii="方正仿宋_GBK" w:hAnsi="方正仿宋_GBK" w:cs="方正仿宋_GBK"/>
                <w:kern w:val="0"/>
                <w:sz w:val="21"/>
                <w:szCs w:val="21"/>
                <w:lang w:bidi="ar"/>
              </w:rPr>
            </w:pPr>
            <w:r>
              <w:rPr>
                <w:rFonts w:hint="eastAsia" w:ascii="方正仿宋_GBK" w:hAnsi="方正仿宋_GBK" w:cs="方正仿宋_GBK"/>
                <w:kern w:val="0"/>
                <w:sz w:val="21"/>
                <w:szCs w:val="21"/>
                <w:lang w:bidi="ar"/>
              </w:rPr>
              <w:t>工业系统实时交互临时</w:t>
            </w:r>
            <w:r>
              <w:rPr>
                <w:rFonts w:cs="Times New Roman"/>
                <w:kern w:val="0"/>
                <w:sz w:val="21"/>
                <w:szCs w:val="21"/>
                <w:lang w:bidi="ar"/>
              </w:rPr>
              <w:t>Token</w:t>
            </w:r>
            <w:r>
              <w:rPr>
                <w:rFonts w:hint="eastAsia" w:ascii="方正仿宋_GBK" w:hAnsi="方正仿宋_GBK" w:cs="方正仿宋_GBK"/>
                <w:kern w:val="0"/>
                <w:sz w:val="21"/>
                <w:szCs w:val="21"/>
                <w:lang w:bidi="ar"/>
              </w:rPr>
              <w:t>、集成批量任务中间</w:t>
            </w:r>
            <w:r>
              <w:rPr>
                <w:rFonts w:cs="Times New Roman"/>
                <w:kern w:val="0"/>
                <w:sz w:val="21"/>
                <w:szCs w:val="21"/>
                <w:lang w:bidi="ar"/>
              </w:rPr>
              <w:t>Token</w:t>
            </w:r>
            <w:r>
              <w:rPr>
                <w:rFonts w:hint="eastAsia" w:ascii="方正仿宋_GBK" w:hAnsi="方正仿宋_GBK" w:cs="方正仿宋_GBK"/>
                <w:kern w:val="0"/>
                <w:sz w:val="21"/>
                <w:szCs w:val="21"/>
                <w:lang w:bidi="ar"/>
              </w:rPr>
              <w:t>、跨传输缓冲</w:t>
            </w:r>
            <w:r>
              <w:rPr>
                <w:rFonts w:cs="Times New Roman"/>
                <w:kern w:val="0"/>
                <w:sz w:val="21"/>
                <w:szCs w:val="21"/>
                <w:lang w:bidi="ar"/>
              </w:rPr>
              <w:t>Token</w:t>
            </w:r>
          </w:p>
        </w:tc>
        <w:tc>
          <w:tcPr>
            <w:tcW w:w="911" w:type="pct"/>
            <w:tcMar>
              <w:top w:w="80" w:type="dxa"/>
              <w:left w:w="80" w:type="dxa"/>
              <w:bottom w:w="80" w:type="dxa"/>
              <w:right w:w="80" w:type="dxa"/>
            </w:tcMar>
            <w:vAlign w:val="center"/>
          </w:tcPr>
          <w:p>
            <w:pPr>
              <w:spacing w:line="300" w:lineRule="exact"/>
              <w:ind w:firstLine="0" w:firstLineChars="0"/>
              <w:jc w:val="left"/>
              <w:rPr>
                <w:rFonts w:hint="eastAsia" w:ascii="方正仿宋_GBK" w:hAnsi="方正仿宋_GBK" w:cs="方正仿宋_GBK"/>
                <w:kern w:val="0"/>
                <w:sz w:val="21"/>
                <w:szCs w:val="21"/>
                <w:lang w:bidi="ar"/>
              </w:rPr>
            </w:pPr>
            <w:r>
              <w:rPr>
                <w:rFonts w:hint="eastAsia" w:ascii="方正仿宋_GBK" w:hAnsi="方正仿宋_GBK" w:cs="方正仿宋_GBK"/>
                <w:kern w:val="0"/>
                <w:sz w:val="21"/>
                <w:szCs w:val="21"/>
                <w:lang w:bidi="ar"/>
              </w:rPr>
              <w:t>缓存分层隔离</w:t>
            </w:r>
          </w:p>
        </w:tc>
        <w:tc>
          <w:tcPr>
            <w:tcW w:w="1901" w:type="pct"/>
            <w:tcMar>
              <w:top w:w="80" w:type="dxa"/>
              <w:left w:w="80" w:type="dxa"/>
              <w:bottom w:w="80" w:type="dxa"/>
              <w:right w:w="80" w:type="dxa"/>
            </w:tcMar>
            <w:vAlign w:val="center"/>
          </w:tcPr>
          <w:p>
            <w:pPr>
              <w:spacing w:line="300" w:lineRule="exact"/>
              <w:ind w:firstLine="0" w:firstLineChars="0"/>
              <w:jc w:val="left"/>
              <w:rPr>
                <w:rFonts w:hint="eastAsia" w:ascii="方正仿宋_GBK" w:hAnsi="方正仿宋_GBK" w:cs="方正仿宋_GBK"/>
                <w:kern w:val="0"/>
                <w:sz w:val="21"/>
                <w:szCs w:val="21"/>
                <w:lang w:bidi="ar"/>
              </w:rPr>
            </w:pPr>
            <w:r>
              <w:rPr>
                <w:rFonts w:cs="Times New Roman"/>
                <w:kern w:val="0"/>
                <w:sz w:val="21"/>
                <w:szCs w:val="21"/>
                <w:lang w:bidi="ar"/>
              </w:rPr>
              <w:t>MES</w:t>
            </w:r>
            <w:r>
              <w:rPr>
                <w:rFonts w:hint="eastAsia" w:ascii="方正仿宋_GBK" w:hAnsi="方正仿宋_GBK" w:cs="方正仿宋_GBK"/>
                <w:kern w:val="0"/>
                <w:sz w:val="21"/>
                <w:szCs w:val="21"/>
                <w:lang w:bidi="ar"/>
              </w:rPr>
              <w:t>生产类</w:t>
            </w:r>
            <w:r>
              <w:rPr>
                <w:rFonts w:cs="Times New Roman"/>
                <w:kern w:val="0"/>
                <w:sz w:val="21"/>
                <w:szCs w:val="21"/>
                <w:lang w:bidi="ar"/>
              </w:rPr>
              <w:t>Token</w:t>
            </w:r>
            <w:r>
              <w:rPr>
                <w:rFonts w:hint="eastAsia" w:ascii="方正仿宋_GBK" w:hAnsi="方正仿宋_GBK" w:cs="方正仿宋_GBK"/>
                <w:kern w:val="0"/>
                <w:sz w:val="21"/>
                <w:szCs w:val="21"/>
                <w:lang w:bidi="ar"/>
              </w:rPr>
              <w:t>、</w:t>
            </w:r>
            <w:r>
              <w:rPr>
                <w:rFonts w:cs="Times New Roman"/>
                <w:kern w:val="0"/>
                <w:sz w:val="21"/>
                <w:szCs w:val="21"/>
                <w:lang w:bidi="ar"/>
              </w:rPr>
              <w:t>SAP</w:t>
            </w:r>
            <w:r>
              <w:rPr>
                <w:rFonts w:hint="eastAsia" w:ascii="方正仿宋_GBK" w:hAnsi="方正仿宋_GBK" w:cs="方正仿宋_GBK"/>
                <w:kern w:val="0"/>
                <w:sz w:val="21"/>
                <w:szCs w:val="21"/>
                <w:lang w:bidi="ar"/>
              </w:rPr>
              <w:t>财务</w:t>
            </w:r>
            <w:r>
              <w:rPr>
                <w:rFonts w:cs="Times New Roman"/>
                <w:kern w:val="0"/>
                <w:sz w:val="21"/>
                <w:szCs w:val="21"/>
                <w:lang w:bidi="ar"/>
              </w:rPr>
              <w:t>Token</w:t>
            </w:r>
            <w:r>
              <w:rPr>
                <w:rFonts w:hint="eastAsia" w:ascii="方正仿宋_GBK" w:hAnsi="方正仿宋_GBK" w:cs="方正仿宋_GBK"/>
                <w:kern w:val="0"/>
                <w:sz w:val="21"/>
                <w:szCs w:val="21"/>
                <w:lang w:bidi="ar"/>
              </w:rPr>
              <w:t>、</w:t>
            </w:r>
            <w:r>
              <w:rPr>
                <w:rFonts w:cs="Times New Roman"/>
                <w:kern w:val="0"/>
                <w:sz w:val="21"/>
                <w:szCs w:val="21"/>
                <w:lang w:bidi="ar"/>
              </w:rPr>
              <w:t>PLM</w:t>
            </w:r>
            <w:r>
              <w:rPr>
                <w:rFonts w:hint="eastAsia" w:ascii="方正仿宋_GBK" w:hAnsi="方正仿宋_GBK" w:cs="方正仿宋_GBK"/>
                <w:kern w:val="0"/>
                <w:sz w:val="21"/>
                <w:szCs w:val="21"/>
                <w:lang w:bidi="ar"/>
              </w:rPr>
              <w:t>研发</w:t>
            </w:r>
            <w:r>
              <w:rPr>
                <w:rFonts w:cs="Times New Roman"/>
                <w:kern w:val="0"/>
                <w:sz w:val="21"/>
                <w:szCs w:val="21"/>
                <w:lang w:bidi="ar"/>
              </w:rPr>
              <w:t>Token</w:t>
            </w:r>
            <w:r>
              <w:rPr>
                <w:rFonts w:hint="eastAsia" w:ascii="方正仿宋_GBK" w:hAnsi="方正仿宋_GBK" w:cs="方正仿宋_GBK"/>
                <w:kern w:val="0"/>
                <w:sz w:val="21"/>
                <w:szCs w:val="21"/>
                <w:lang w:bidi="ar"/>
              </w:rPr>
              <w:t>分独立缓存分区，集成接口跨域读取需二次校验</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5" w:type="dxa"/>
            <w:left w:w="15" w:type="dxa"/>
            <w:bottom w:w="15" w:type="dxa"/>
            <w:right w:w="15" w:type="dxa"/>
          </w:tblCellMar>
        </w:tblPrEx>
        <w:trPr>
          <w:jc w:val="center"/>
        </w:trPr>
        <w:tc>
          <w:tcPr>
            <w:tcW w:w="445" w:type="pct"/>
            <w:vMerge w:val="continue"/>
            <w:tcMar>
              <w:top w:w="80" w:type="dxa"/>
              <w:left w:w="80" w:type="dxa"/>
              <w:bottom w:w="80" w:type="dxa"/>
              <w:right w:w="80" w:type="dxa"/>
            </w:tcMar>
            <w:vAlign w:val="center"/>
          </w:tcPr>
          <w:p>
            <w:pPr>
              <w:spacing w:line="300" w:lineRule="exact"/>
              <w:ind w:firstLine="420"/>
              <w:jc w:val="center"/>
              <w:rPr>
                <w:rFonts w:cs="Times New Roman"/>
                <w:kern w:val="0"/>
                <w:sz w:val="21"/>
                <w:szCs w:val="21"/>
                <w:lang w:bidi="ar"/>
              </w:rPr>
            </w:pPr>
          </w:p>
        </w:tc>
        <w:tc>
          <w:tcPr>
            <w:tcW w:w="764" w:type="pct"/>
            <w:vMerge w:val="continue"/>
            <w:tcMar>
              <w:top w:w="80" w:type="dxa"/>
              <w:left w:w="80" w:type="dxa"/>
              <w:bottom w:w="80" w:type="dxa"/>
              <w:right w:w="80" w:type="dxa"/>
            </w:tcMar>
            <w:vAlign w:val="center"/>
          </w:tcPr>
          <w:p>
            <w:pPr>
              <w:spacing w:line="300" w:lineRule="exact"/>
              <w:ind w:firstLine="420"/>
              <w:jc w:val="center"/>
              <w:rPr>
                <w:rFonts w:cs="Times New Roman"/>
                <w:kern w:val="0"/>
                <w:sz w:val="21"/>
                <w:szCs w:val="21"/>
                <w:lang w:bidi="ar"/>
              </w:rPr>
            </w:pPr>
          </w:p>
        </w:tc>
        <w:tc>
          <w:tcPr>
            <w:tcW w:w="976" w:type="pct"/>
            <w:vMerge w:val="continue"/>
            <w:tcMar>
              <w:top w:w="80" w:type="dxa"/>
              <w:left w:w="80" w:type="dxa"/>
              <w:bottom w:w="80" w:type="dxa"/>
              <w:right w:w="80" w:type="dxa"/>
            </w:tcMar>
            <w:vAlign w:val="center"/>
          </w:tcPr>
          <w:p>
            <w:pPr>
              <w:spacing w:line="300" w:lineRule="exact"/>
              <w:ind w:firstLine="420"/>
              <w:jc w:val="left"/>
              <w:rPr>
                <w:rFonts w:hint="eastAsia" w:ascii="方正仿宋_GBK" w:hAnsi="方正仿宋_GBK" w:cs="方正仿宋_GBK"/>
                <w:kern w:val="0"/>
                <w:sz w:val="21"/>
                <w:szCs w:val="21"/>
                <w:lang w:bidi="ar"/>
              </w:rPr>
            </w:pPr>
          </w:p>
        </w:tc>
        <w:tc>
          <w:tcPr>
            <w:tcW w:w="911" w:type="pct"/>
            <w:tcMar>
              <w:top w:w="80" w:type="dxa"/>
              <w:left w:w="80" w:type="dxa"/>
              <w:bottom w:w="80" w:type="dxa"/>
              <w:right w:w="80" w:type="dxa"/>
            </w:tcMar>
            <w:vAlign w:val="center"/>
          </w:tcPr>
          <w:p>
            <w:pPr>
              <w:spacing w:line="300" w:lineRule="exact"/>
              <w:ind w:firstLine="0" w:firstLineChars="0"/>
              <w:jc w:val="left"/>
              <w:rPr>
                <w:rFonts w:hint="eastAsia" w:ascii="方正仿宋_GBK" w:hAnsi="方正仿宋_GBK" w:cs="方正仿宋_GBK"/>
                <w:kern w:val="0"/>
                <w:sz w:val="21"/>
                <w:szCs w:val="21"/>
                <w:lang w:bidi="ar"/>
              </w:rPr>
            </w:pPr>
            <w:r>
              <w:rPr>
                <w:rFonts w:hint="eastAsia" w:ascii="方正仿宋_GBK" w:hAnsi="方正仿宋_GBK" w:cs="方正仿宋_GBK"/>
                <w:kern w:val="0"/>
                <w:sz w:val="21"/>
                <w:szCs w:val="21"/>
                <w:lang w:bidi="ar"/>
              </w:rPr>
              <w:t>短时时效管控</w:t>
            </w:r>
          </w:p>
        </w:tc>
        <w:tc>
          <w:tcPr>
            <w:tcW w:w="1901" w:type="pct"/>
            <w:tcMar>
              <w:top w:w="80" w:type="dxa"/>
              <w:left w:w="80" w:type="dxa"/>
              <w:bottom w:w="80" w:type="dxa"/>
              <w:right w:w="80" w:type="dxa"/>
            </w:tcMar>
            <w:vAlign w:val="center"/>
          </w:tcPr>
          <w:p>
            <w:pPr>
              <w:spacing w:line="300" w:lineRule="exact"/>
              <w:ind w:firstLine="0" w:firstLineChars="0"/>
              <w:jc w:val="left"/>
              <w:rPr>
                <w:rFonts w:hint="eastAsia" w:ascii="方正仿宋_GBK" w:hAnsi="方正仿宋_GBK" w:cs="方正仿宋_GBK"/>
                <w:kern w:val="0"/>
                <w:sz w:val="21"/>
                <w:szCs w:val="21"/>
                <w:lang w:bidi="ar"/>
              </w:rPr>
            </w:pPr>
            <w:r>
              <w:rPr>
                <w:rFonts w:hint="eastAsia" w:ascii="方正仿宋_GBK" w:hAnsi="方正仿宋_GBK" w:cs="方正仿宋_GBK"/>
                <w:kern w:val="0"/>
                <w:sz w:val="21"/>
                <w:szCs w:val="21"/>
                <w:lang w:bidi="ar"/>
              </w:rPr>
              <w:t>高敏感工艺</w:t>
            </w:r>
            <w:r>
              <w:rPr>
                <w:rFonts w:cs="Times New Roman"/>
                <w:kern w:val="0"/>
                <w:sz w:val="21"/>
                <w:szCs w:val="21"/>
                <w:lang w:bidi="ar"/>
              </w:rPr>
              <w:t>Token</w:t>
            </w:r>
            <w:r>
              <w:rPr>
                <w:rFonts w:hint="eastAsia" w:ascii="方正仿宋_GBK" w:hAnsi="方正仿宋_GBK" w:cs="方正仿宋_GBK"/>
                <w:kern w:val="0"/>
                <w:sz w:val="21"/>
                <w:szCs w:val="21"/>
                <w:lang w:bidi="ar"/>
              </w:rPr>
              <w:t>内存临时缓存，禁止持久落地磁盘，传输结束自动清空</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5" w:type="dxa"/>
            <w:left w:w="15" w:type="dxa"/>
            <w:bottom w:w="15" w:type="dxa"/>
            <w:right w:w="15" w:type="dxa"/>
          </w:tblCellMar>
        </w:tblPrEx>
        <w:trPr>
          <w:jc w:val="center"/>
        </w:trPr>
        <w:tc>
          <w:tcPr>
            <w:tcW w:w="445" w:type="pct"/>
            <w:vMerge w:val="continue"/>
            <w:tcMar>
              <w:top w:w="80" w:type="dxa"/>
              <w:left w:w="80" w:type="dxa"/>
              <w:bottom w:w="80" w:type="dxa"/>
              <w:right w:w="80" w:type="dxa"/>
            </w:tcMar>
            <w:vAlign w:val="center"/>
          </w:tcPr>
          <w:p>
            <w:pPr>
              <w:spacing w:line="300" w:lineRule="exact"/>
              <w:ind w:firstLine="420"/>
              <w:jc w:val="center"/>
              <w:rPr>
                <w:rFonts w:cs="Times New Roman"/>
                <w:kern w:val="0"/>
                <w:sz w:val="21"/>
                <w:szCs w:val="21"/>
                <w:lang w:bidi="ar"/>
              </w:rPr>
            </w:pPr>
          </w:p>
        </w:tc>
        <w:tc>
          <w:tcPr>
            <w:tcW w:w="764" w:type="pct"/>
            <w:vMerge w:val="continue"/>
            <w:tcMar>
              <w:top w:w="80" w:type="dxa"/>
              <w:left w:w="80" w:type="dxa"/>
              <w:bottom w:w="80" w:type="dxa"/>
              <w:right w:w="80" w:type="dxa"/>
            </w:tcMar>
            <w:vAlign w:val="center"/>
          </w:tcPr>
          <w:p>
            <w:pPr>
              <w:spacing w:line="300" w:lineRule="exact"/>
              <w:ind w:firstLine="420"/>
              <w:jc w:val="center"/>
              <w:rPr>
                <w:rFonts w:cs="Times New Roman"/>
                <w:kern w:val="0"/>
                <w:sz w:val="21"/>
                <w:szCs w:val="21"/>
                <w:lang w:bidi="ar"/>
              </w:rPr>
            </w:pPr>
          </w:p>
        </w:tc>
        <w:tc>
          <w:tcPr>
            <w:tcW w:w="976" w:type="pct"/>
            <w:vMerge w:val="continue"/>
            <w:tcMar>
              <w:top w:w="80" w:type="dxa"/>
              <w:left w:w="80" w:type="dxa"/>
              <w:bottom w:w="80" w:type="dxa"/>
              <w:right w:w="80" w:type="dxa"/>
            </w:tcMar>
            <w:vAlign w:val="center"/>
          </w:tcPr>
          <w:p>
            <w:pPr>
              <w:spacing w:line="300" w:lineRule="exact"/>
              <w:ind w:firstLine="420"/>
              <w:jc w:val="left"/>
              <w:rPr>
                <w:rFonts w:hint="eastAsia" w:ascii="方正仿宋_GBK" w:hAnsi="方正仿宋_GBK" w:cs="方正仿宋_GBK"/>
                <w:kern w:val="0"/>
                <w:sz w:val="21"/>
                <w:szCs w:val="21"/>
                <w:lang w:bidi="ar"/>
              </w:rPr>
            </w:pPr>
          </w:p>
        </w:tc>
        <w:tc>
          <w:tcPr>
            <w:tcW w:w="911" w:type="pct"/>
            <w:tcMar>
              <w:top w:w="80" w:type="dxa"/>
              <w:left w:w="80" w:type="dxa"/>
              <w:bottom w:w="80" w:type="dxa"/>
              <w:right w:w="80" w:type="dxa"/>
            </w:tcMar>
            <w:vAlign w:val="center"/>
          </w:tcPr>
          <w:p>
            <w:pPr>
              <w:spacing w:line="300" w:lineRule="exact"/>
              <w:ind w:firstLine="0" w:firstLineChars="0"/>
              <w:jc w:val="left"/>
              <w:rPr>
                <w:rFonts w:hint="eastAsia" w:ascii="方正仿宋_GBK" w:hAnsi="方正仿宋_GBK" w:cs="方正仿宋_GBK"/>
                <w:kern w:val="0"/>
                <w:sz w:val="21"/>
                <w:szCs w:val="21"/>
                <w:lang w:bidi="ar"/>
              </w:rPr>
            </w:pPr>
            <w:r>
              <w:rPr>
                <w:rFonts w:hint="eastAsia" w:ascii="方正仿宋_GBK" w:hAnsi="方正仿宋_GBK" w:cs="方正仿宋_GBK"/>
                <w:kern w:val="0"/>
                <w:sz w:val="21"/>
                <w:szCs w:val="21"/>
                <w:lang w:bidi="ar"/>
              </w:rPr>
              <w:t>缓存数据剥离</w:t>
            </w:r>
          </w:p>
        </w:tc>
        <w:tc>
          <w:tcPr>
            <w:tcW w:w="1901" w:type="pct"/>
            <w:tcMar>
              <w:top w:w="80" w:type="dxa"/>
              <w:left w:w="80" w:type="dxa"/>
              <w:bottom w:w="80" w:type="dxa"/>
              <w:right w:w="80" w:type="dxa"/>
            </w:tcMar>
            <w:vAlign w:val="center"/>
          </w:tcPr>
          <w:p>
            <w:pPr>
              <w:spacing w:line="300" w:lineRule="exact"/>
              <w:ind w:firstLine="0" w:firstLineChars="0"/>
              <w:jc w:val="left"/>
              <w:rPr>
                <w:rFonts w:hint="eastAsia" w:ascii="方正仿宋_GBK" w:hAnsi="方正仿宋_GBK" w:cs="方正仿宋_GBK"/>
                <w:kern w:val="0"/>
                <w:sz w:val="21"/>
                <w:szCs w:val="21"/>
                <w:lang w:bidi="ar"/>
              </w:rPr>
            </w:pPr>
            <w:r>
              <w:rPr>
                <w:rFonts w:hint="eastAsia" w:ascii="方正仿宋_GBK" w:hAnsi="方正仿宋_GBK" w:cs="方正仿宋_GBK"/>
                <w:kern w:val="0"/>
                <w:sz w:val="21"/>
                <w:szCs w:val="21"/>
                <w:lang w:bidi="ar"/>
              </w:rPr>
              <w:t>缓存仅留存脱敏</w:t>
            </w:r>
            <w:r>
              <w:rPr>
                <w:rFonts w:cs="Times New Roman"/>
                <w:kern w:val="0"/>
                <w:sz w:val="21"/>
                <w:szCs w:val="21"/>
                <w:lang w:bidi="ar"/>
              </w:rPr>
              <w:t>Token</w:t>
            </w:r>
            <w:r>
              <w:rPr>
                <w:rFonts w:hint="eastAsia" w:ascii="方正仿宋_GBK" w:hAnsi="方正仿宋_GBK" w:cs="方正仿宋_GBK"/>
                <w:kern w:val="0"/>
                <w:sz w:val="21"/>
                <w:szCs w:val="21"/>
                <w:lang w:bidi="ar"/>
              </w:rPr>
              <w:t>片段，原始业务明文、系统原始字段不落地缓存</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5" w:type="dxa"/>
            <w:left w:w="15" w:type="dxa"/>
            <w:bottom w:w="15" w:type="dxa"/>
            <w:right w:w="15" w:type="dxa"/>
          </w:tblCellMar>
        </w:tblPrEx>
        <w:trPr>
          <w:jc w:val="center"/>
        </w:trPr>
        <w:tc>
          <w:tcPr>
            <w:tcW w:w="445" w:type="pct"/>
            <w:vMerge w:val="continue"/>
            <w:tcMar>
              <w:top w:w="80" w:type="dxa"/>
              <w:left w:w="80" w:type="dxa"/>
              <w:bottom w:w="80" w:type="dxa"/>
              <w:right w:w="80" w:type="dxa"/>
            </w:tcMar>
            <w:vAlign w:val="center"/>
          </w:tcPr>
          <w:p>
            <w:pPr>
              <w:spacing w:line="300" w:lineRule="exact"/>
              <w:ind w:firstLine="420"/>
              <w:jc w:val="center"/>
              <w:rPr>
                <w:rFonts w:cs="Times New Roman"/>
                <w:kern w:val="0"/>
                <w:sz w:val="21"/>
                <w:szCs w:val="21"/>
                <w:lang w:bidi="ar"/>
              </w:rPr>
            </w:pPr>
          </w:p>
        </w:tc>
        <w:tc>
          <w:tcPr>
            <w:tcW w:w="764" w:type="pct"/>
            <w:vMerge w:val="continue"/>
            <w:tcMar>
              <w:top w:w="80" w:type="dxa"/>
              <w:left w:w="80" w:type="dxa"/>
              <w:bottom w:w="80" w:type="dxa"/>
              <w:right w:w="80" w:type="dxa"/>
            </w:tcMar>
            <w:vAlign w:val="center"/>
          </w:tcPr>
          <w:p>
            <w:pPr>
              <w:spacing w:line="300" w:lineRule="exact"/>
              <w:ind w:firstLine="420"/>
              <w:jc w:val="center"/>
              <w:rPr>
                <w:rFonts w:cs="Times New Roman"/>
                <w:kern w:val="0"/>
                <w:sz w:val="21"/>
                <w:szCs w:val="21"/>
                <w:lang w:bidi="ar"/>
              </w:rPr>
            </w:pPr>
          </w:p>
        </w:tc>
        <w:tc>
          <w:tcPr>
            <w:tcW w:w="976" w:type="pct"/>
            <w:vMerge w:val="continue"/>
            <w:tcMar>
              <w:top w:w="80" w:type="dxa"/>
              <w:left w:w="80" w:type="dxa"/>
              <w:bottom w:w="80" w:type="dxa"/>
              <w:right w:w="80" w:type="dxa"/>
            </w:tcMar>
            <w:vAlign w:val="center"/>
          </w:tcPr>
          <w:p>
            <w:pPr>
              <w:spacing w:line="300" w:lineRule="exact"/>
              <w:ind w:firstLine="420"/>
              <w:jc w:val="left"/>
              <w:rPr>
                <w:rFonts w:hint="eastAsia" w:ascii="方正仿宋_GBK" w:hAnsi="方正仿宋_GBK" w:cs="方正仿宋_GBK"/>
                <w:kern w:val="0"/>
                <w:sz w:val="21"/>
                <w:szCs w:val="21"/>
                <w:lang w:bidi="ar"/>
              </w:rPr>
            </w:pPr>
          </w:p>
        </w:tc>
        <w:tc>
          <w:tcPr>
            <w:tcW w:w="911" w:type="pct"/>
            <w:tcMar>
              <w:top w:w="80" w:type="dxa"/>
              <w:left w:w="80" w:type="dxa"/>
              <w:bottom w:w="80" w:type="dxa"/>
              <w:right w:w="80" w:type="dxa"/>
            </w:tcMar>
            <w:vAlign w:val="center"/>
          </w:tcPr>
          <w:p>
            <w:pPr>
              <w:spacing w:line="300" w:lineRule="exact"/>
              <w:ind w:firstLine="0" w:firstLineChars="0"/>
              <w:jc w:val="left"/>
              <w:rPr>
                <w:rFonts w:hint="eastAsia" w:ascii="方正仿宋_GBK" w:hAnsi="方正仿宋_GBK" w:cs="方正仿宋_GBK"/>
                <w:kern w:val="0"/>
                <w:sz w:val="21"/>
                <w:szCs w:val="21"/>
                <w:lang w:bidi="ar"/>
              </w:rPr>
            </w:pPr>
            <w:r>
              <w:rPr>
                <w:rFonts w:hint="eastAsia" w:ascii="方正仿宋_GBK" w:hAnsi="方正仿宋_GBK" w:cs="方正仿宋_GBK"/>
                <w:kern w:val="0"/>
                <w:sz w:val="21"/>
                <w:szCs w:val="21"/>
                <w:lang w:bidi="ar"/>
              </w:rPr>
              <w:t>访问鉴权隔离</w:t>
            </w:r>
          </w:p>
        </w:tc>
        <w:tc>
          <w:tcPr>
            <w:tcW w:w="1901" w:type="pct"/>
            <w:tcMar>
              <w:top w:w="80" w:type="dxa"/>
              <w:left w:w="80" w:type="dxa"/>
              <w:bottom w:w="80" w:type="dxa"/>
              <w:right w:w="80" w:type="dxa"/>
            </w:tcMar>
            <w:vAlign w:val="center"/>
          </w:tcPr>
          <w:p>
            <w:pPr>
              <w:spacing w:line="300" w:lineRule="exact"/>
              <w:ind w:firstLine="0" w:firstLineChars="0"/>
              <w:jc w:val="left"/>
              <w:rPr>
                <w:rFonts w:hint="eastAsia" w:ascii="方正仿宋_GBK" w:hAnsi="方正仿宋_GBK" w:cs="方正仿宋_GBK"/>
                <w:kern w:val="0"/>
                <w:sz w:val="21"/>
                <w:szCs w:val="21"/>
                <w:lang w:bidi="ar"/>
              </w:rPr>
            </w:pPr>
            <w:r>
              <w:rPr>
                <w:rFonts w:hint="eastAsia" w:ascii="方正仿宋_GBK" w:hAnsi="方正仿宋_GBK" w:cs="方正仿宋_GBK"/>
                <w:kern w:val="0"/>
                <w:sz w:val="21"/>
                <w:szCs w:val="21"/>
                <w:lang w:bidi="ar"/>
              </w:rPr>
              <w:t>各工业系统集成应用仅能读取自身业务对应缓存</w:t>
            </w:r>
            <w:r>
              <w:rPr>
                <w:rFonts w:cs="Times New Roman"/>
                <w:kern w:val="0"/>
                <w:sz w:val="21"/>
                <w:szCs w:val="21"/>
                <w:lang w:bidi="ar"/>
              </w:rPr>
              <w:t>Token</w:t>
            </w:r>
            <w:r>
              <w:rPr>
                <w:rFonts w:hint="eastAsia" w:ascii="方正仿宋_GBK" w:hAnsi="方正仿宋_GBK" w:cs="方正仿宋_GBK"/>
                <w:kern w:val="0"/>
                <w:sz w:val="21"/>
                <w:szCs w:val="21"/>
                <w:lang w:bidi="ar"/>
              </w:rPr>
              <w:t>，跨系统缓存访问强制二次脱敏</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5" w:type="dxa"/>
            <w:left w:w="15" w:type="dxa"/>
            <w:bottom w:w="15" w:type="dxa"/>
            <w:right w:w="15" w:type="dxa"/>
          </w:tblCellMar>
        </w:tblPrEx>
        <w:trPr>
          <w:jc w:val="center"/>
        </w:trPr>
        <w:tc>
          <w:tcPr>
            <w:tcW w:w="445" w:type="pct"/>
            <w:vMerge w:val="continue"/>
            <w:tcMar>
              <w:top w:w="80" w:type="dxa"/>
              <w:left w:w="80" w:type="dxa"/>
              <w:bottom w:w="80" w:type="dxa"/>
              <w:right w:w="80" w:type="dxa"/>
            </w:tcMar>
            <w:vAlign w:val="center"/>
          </w:tcPr>
          <w:p>
            <w:pPr>
              <w:spacing w:line="300" w:lineRule="exact"/>
              <w:ind w:firstLine="420"/>
              <w:jc w:val="center"/>
              <w:rPr>
                <w:rFonts w:cs="Times New Roman"/>
                <w:kern w:val="0"/>
                <w:sz w:val="21"/>
                <w:szCs w:val="21"/>
                <w:lang w:bidi="ar"/>
              </w:rPr>
            </w:pPr>
          </w:p>
        </w:tc>
        <w:tc>
          <w:tcPr>
            <w:tcW w:w="764" w:type="pct"/>
            <w:vMerge w:val="continue"/>
            <w:tcMar>
              <w:top w:w="80" w:type="dxa"/>
              <w:left w:w="80" w:type="dxa"/>
              <w:bottom w:w="80" w:type="dxa"/>
              <w:right w:w="80" w:type="dxa"/>
            </w:tcMar>
            <w:vAlign w:val="center"/>
          </w:tcPr>
          <w:p>
            <w:pPr>
              <w:spacing w:line="300" w:lineRule="exact"/>
              <w:ind w:firstLine="420"/>
              <w:jc w:val="center"/>
              <w:rPr>
                <w:rFonts w:cs="Times New Roman"/>
                <w:kern w:val="0"/>
                <w:sz w:val="21"/>
                <w:szCs w:val="21"/>
                <w:lang w:bidi="ar"/>
              </w:rPr>
            </w:pPr>
          </w:p>
        </w:tc>
        <w:tc>
          <w:tcPr>
            <w:tcW w:w="976" w:type="pct"/>
            <w:vMerge w:val="continue"/>
            <w:tcMar>
              <w:top w:w="80" w:type="dxa"/>
              <w:left w:w="80" w:type="dxa"/>
              <w:bottom w:w="80" w:type="dxa"/>
              <w:right w:w="80" w:type="dxa"/>
            </w:tcMar>
            <w:vAlign w:val="center"/>
          </w:tcPr>
          <w:p>
            <w:pPr>
              <w:spacing w:line="300" w:lineRule="exact"/>
              <w:ind w:firstLine="420"/>
              <w:jc w:val="left"/>
              <w:rPr>
                <w:rFonts w:hint="eastAsia" w:ascii="方正仿宋_GBK" w:hAnsi="方正仿宋_GBK" w:cs="方正仿宋_GBK"/>
                <w:kern w:val="0"/>
                <w:sz w:val="21"/>
                <w:szCs w:val="21"/>
                <w:lang w:bidi="ar"/>
              </w:rPr>
            </w:pPr>
          </w:p>
        </w:tc>
        <w:tc>
          <w:tcPr>
            <w:tcW w:w="911" w:type="pct"/>
            <w:tcMar>
              <w:top w:w="80" w:type="dxa"/>
              <w:left w:w="80" w:type="dxa"/>
              <w:bottom w:w="80" w:type="dxa"/>
              <w:right w:w="80" w:type="dxa"/>
            </w:tcMar>
            <w:vAlign w:val="center"/>
          </w:tcPr>
          <w:p>
            <w:pPr>
              <w:spacing w:line="300" w:lineRule="exact"/>
              <w:ind w:firstLine="0" w:firstLineChars="0"/>
              <w:jc w:val="left"/>
              <w:rPr>
                <w:rFonts w:hint="eastAsia" w:ascii="方正仿宋_GBK" w:hAnsi="方正仿宋_GBK" w:cs="方正仿宋_GBK"/>
                <w:kern w:val="0"/>
                <w:sz w:val="21"/>
                <w:szCs w:val="21"/>
                <w:lang w:bidi="ar"/>
              </w:rPr>
            </w:pPr>
            <w:r>
              <w:rPr>
                <w:rFonts w:hint="eastAsia" w:ascii="方正仿宋_GBK" w:hAnsi="方正仿宋_GBK" w:cs="方正仿宋_GBK"/>
                <w:kern w:val="0"/>
                <w:sz w:val="21"/>
                <w:szCs w:val="21"/>
                <w:lang w:bidi="ar"/>
              </w:rPr>
              <w:t>传输缓冲加密</w:t>
            </w:r>
          </w:p>
        </w:tc>
        <w:tc>
          <w:tcPr>
            <w:tcW w:w="1901" w:type="pct"/>
            <w:tcMar>
              <w:top w:w="80" w:type="dxa"/>
              <w:left w:w="80" w:type="dxa"/>
              <w:bottom w:w="80" w:type="dxa"/>
              <w:right w:w="80" w:type="dxa"/>
            </w:tcMar>
            <w:vAlign w:val="center"/>
          </w:tcPr>
          <w:p>
            <w:pPr>
              <w:spacing w:line="300" w:lineRule="exact"/>
              <w:ind w:firstLine="0" w:firstLineChars="0"/>
              <w:jc w:val="left"/>
              <w:rPr>
                <w:rFonts w:hint="eastAsia" w:ascii="方正仿宋_GBK" w:hAnsi="方正仿宋_GBK" w:cs="方正仿宋_GBK"/>
                <w:kern w:val="0"/>
                <w:sz w:val="21"/>
                <w:szCs w:val="21"/>
                <w:lang w:bidi="ar"/>
              </w:rPr>
            </w:pPr>
            <w:r>
              <w:rPr>
                <w:rFonts w:hint="eastAsia" w:ascii="方正仿宋_GBK" w:hAnsi="方正仿宋_GBK" w:cs="方正仿宋_GBK"/>
                <w:kern w:val="0"/>
                <w:sz w:val="21"/>
                <w:szCs w:val="21"/>
                <w:lang w:bidi="ar"/>
              </w:rPr>
              <w:t>内外网传输中间缓存</w:t>
            </w:r>
            <w:r>
              <w:rPr>
                <w:rFonts w:cs="Times New Roman"/>
                <w:kern w:val="0"/>
                <w:sz w:val="21"/>
                <w:szCs w:val="21"/>
                <w:lang w:bidi="ar"/>
              </w:rPr>
              <w:t>Token</w:t>
            </w:r>
            <w:r>
              <w:rPr>
                <w:rFonts w:hint="eastAsia" w:ascii="方正仿宋_GBK" w:hAnsi="方正仿宋_GBK" w:cs="方正仿宋_GBK"/>
                <w:kern w:val="0"/>
                <w:sz w:val="21"/>
                <w:szCs w:val="21"/>
                <w:lang w:bidi="ar"/>
              </w:rPr>
              <w:t>全程加密存储，杜绝传输缓存泄露敏感片段</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5" w:type="dxa"/>
            <w:left w:w="15" w:type="dxa"/>
            <w:bottom w:w="15" w:type="dxa"/>
            <w:right w:w="15" w:type="dxa"/>
          </w:tblCellMar>
        </w:tblPrEx>
        <w:trPr>
          <w:jc w:val="center"/>
        </w:trPr>
        <w:tc>
          <w:tcPr>
            <w:tcW w:w="445" w:type="pct"/>
            <w:vMerge w:val="restart"/>
            <w:tcMar>
              <w:top w:w="80" w:type="dxa"/>
              <w:left w:w="80" w:type="dxa"/>
              <w:bottom w:w="80" w:type="dxa"/>
              <w:right w:w="80" w:type="dxa"/>
            </w:tcMar>
            <w:vAlign w:val="center"/>
          </w:tcPr>
          <w:p>
            <w:pPr>
              <w:spacing w:line="300" w:lineRule="exact"/>
              <w:ind w:firstLine="0" w:firstLineChars="0"/>
              <w:jc w:val="center"/>
              <w:rPr>
                <w:rFonts w:cs="Times New Roman"/>
                <w:kern w:val="0"/>
                <w:sz w:val="21"/>
                <w:szCs w:val="21"/>
                <w:lang w:bidi="ar"/>
              </w:rPr>
            </w:pPr>
            <w:r>
              <w:rPr>
                <w:rFonts w:cs="Times New Roman"/>
                <w:kern w:val="0"/>
                <w:sz w:val="21"/>
                <w:szCs w:val="21"/>
                <w:lang w:bidi="ar"/>
              </w:rPr>
              <w:t>4</w:t>
            </w:r>
          </w:p>
        </w:tc>
        <w:tc>
          <w:tcPr>
            <w:tcW w:w="764" w:type="pct"/>
            <w:vMerge w:val="restart"/>
            <w:tcMar>
              <w:top w:w="80" w:type="dxa"/>
              <w:left w:w="80" w:type="dxa"/>
              <w:bottom w:w="80" w:type="dxa"/>
              <w:right w:w="80" w:type="dxa"/>
            </w:tcMar>
            <w:vAlign w:val="center"/>
          </w:tcPr>
          <w:p>
            <w:pPr>
              <w:spacing w:line="300" w:lineRule="exact"/>
              <w:ind w:firstLine="0" w:firstLineChars="0"/>
              <w:jc w:val="center"/>
              <w:rPr>
                <w:rFonts w:cs="Times New Roman"/>
                <w:kern w:val="0"/>
                <w:sz w:val="21"/>
                <w:szCs w:val="21"/>
                <w:lang w:bidi="ar"/>
              </w:rPr>
            </w:pPr>
            <w:r>
              <w:rPr>
                <w:rFonts w:cs="Times New Roman"/>
                <w:kern w:val="0"/>
                <w:sz w:val="21"/>
                <w:szCs w:val="21"/>
                <w:lang w:bidi="ar"/>
              </w:rPr>
              <w:t>模型推理上下文Token管控</w:t>
            </w:r>
          </w:p>
        </w:tc>
        <w:tc>
          <w:tcPr>
            <w:tcW w:w="976" w:type="pct"/>
            <w:vMerge w:val="restart"/>
            <w:tcMar>
              <w:top w:w="80" w:type="dxa"/>
              <w:left w:w="80" w:type="dxa"/>
              <w:bottom w:w="80" w:type="dxa"/>
              <w:right w:w="80" w:type="dxa"/>
            </w:tcMar>
            <w:vAlign w:val="center"/>
          </w:tcPr>
          <w:p>
            <w:pPr>
              <w:spacing w:line="300" w:lineRule="exact"/>
              <w:ind w:firstLine="0" w:firstLineChars="0"/>
              <w:jc w:val="left"/>
              <w:rPr>
                <w:rFonts w:hint="eastAsia" w:ascii="方正仿宋_GBK" w:hAnsi="方正仿宋_GBK" w:cs="方正仿宋_GBK"/>
                <w:kern w:val="0"/>
                <w:sz w:val="21"/>
                <w:szCs w:val="21"/>
                <w:lang w:bidi="ar"/>
              </w:rPr>
            </w:pPr>
            <w:r>
              <w:rPr>
                <w:rFonts w:cs="Times New Roman"/>
                <w:kern w:val="0"/>
                <w:sz w:val="21"/>
                <w:szCs w:val="21"/>
                <w:lang w:bidi="ar"/>
              </w:rPr>
              <w:t>MES</w:t>
            </w:r>
            <w:r>
              <w:rPr>
                <w:rFonts w:hint="eastAsia" w:ascii="方正仿宋_GBK" w:hAnsi="方正仿宋_GBK" w:cs="方正仿宋_GBK"/>
                <w:kern w:val="0"/>
                <w:sz w:val="21"/>
                <w:szCs w:val="21"/>
                <w:lang w:bidi="ar"/>
              </w:rPr>
              <w:t>实时设备监控、工艺优化迭代、</w:t>
            </w:r>
            <w:r>
              <w:rPr>
                <w:rFonts w:cs="Times New Roman"/>
                <w:kern w:val="0"/>
                <w:sz w:val="21"/>
                <w:szCs w:val="21"/>
                <w:lang w:bidi="ar"/>
              </w:rPr>
              <w:t>SAP</w:t>
            </w:r>
            <w:r>
              <w:rPr>
                <w:rFonts w:hint="eastAsia" w:ascii="方正仿宋_GBK" w:hAnsi="方正仿宋_GBK" w:cs="方正仿宋_GBK"/>
                <w:kern w:val="0"/>
                <w:sz w:val="21"/>
                <w:szCs w:val="21"/>
                <w:lang w:bidi="ar"/>
              </w:rPr>
              <w:t>多维度经营分析；集成接口持续推送上下文数据</w:t>
            </w:r>
          </w:p>
        </w:tc>
        <w:tc>
          <w:tcPr>
            <w:tcW w:w="911" w:type="pct"/>
            <w:tcMar>
              <w:top w:w="80" w:type="dxa"/>
              <w:left w:w="80" w:type="dxa"/>
              <w:bottom w:w="80" w:type="dxa"/>
              <w:right w:w="80" w:type="dxa"/>
            </w:tcMar>
            <w:vAlign w:val="center"/>
          </w:tcPr>
          <w:p>
            <w:pPr>
              <w:spacing w:line="300" w:lineRule="exact"/>
              <w:ind w:firstLine="0" w:firstLineChars="0"/>
              <w:jc w:val="left"/>
              <w:rPr>
                <w:rFonts w:hint="eastAsia" w:ascii="方正仿宋_GBK" w:hAnsi="方正仿宋_GBK" w:cs="方正仿宋_GBK"/>
                <w:kern w:val="0"/>
                <w:sz w:val="21"/>
                <w:szCs w:val="21"/>
                <w:lang w:bidi="ar"/>
              </w:rPr>
            </w:pPr>
            <w:r>
              <w:rPr>
                <w:rFonts w:hint="eastAsia" w:ascii="方正仿宋_GBK" w:hAnsi="方正仿宋_GBK" w:cs="方正仿宋_GBK"/>
                <w:kern w:val="0"/>
                <w:sz w:val="21"/>
                <w:szCs w:val="21"/>
                <w:lang w:bidi="ar"/>
              </w:rPr>
              <w:t>单轮独立重脱敏</w:t>
            </w:r>
          </w:p>
        </w:tc>
        <w:tc>
          <w:tcPr>
            <w:tcW w:w="1901" w:type="pct"/>
            <w:tcMar>
              <w:top w:w="80" w:type="dxa"/>
              <w:left w:w="80" w:type="dxa"/>
              <w:bottom w:w="80" w:type="dxa"/>
              <w:right w:w="80" w:type="dxa"/>
            </w:tcMar>
            <w:vAlign w:val="center"/>
          </w:tcPr>
          <w:p>
            <w:pPr>
              <w:spacing w:line="300" w:lineRule="exact"/>
              <w:ind w:firstLine="0" w:firstLineChars="0"/>
              <w:jc w:val="left"/>
              <w:rPr>
                <w:rFonts w:hint="eastAsia" w:ascii="方正仿宋_GBK" w:hAnsi="方正仿宋_GBK" w:cs="方正仿宋_GBK"/>
                <w:kern w:val="0"/>
                <w:sz w:val="21"/>
                <w:szCs w:val="21"/>
                <w:lang w:bidi="ar"/>
              </w:rPr>
            </w:pPr>
            <w:r>
              <w:rPr>
                <w:rFonts w:hint="eastAsia" w:ascii="方正仿宋_GBK" w:hAnsi="方正仿宋_GBK" w:cs="方正仿宋_GBK"/>
                <w:kern w:val="0"/>
                <w:sz w:val="21"/>
                <w:szCs w:val="21"/>
                <w:lang w:bidi="ar"/>
              </w:rPr>
              <w:t>每一轮从工业集成接口新增的数据生成</w:t>
            </w:r>
            <w:r>
              <w:rPr>
                <w:rFonts w:cs="Times New Roman"/>
                <w:kern w:val="0"/>
                <w:sz w:val="21"/>
                <w:szCs w:val="21"/>
                <w:lang w:bidi="ar"/>
              </w:rPr>
              <w:t>Token</w:t>
            </w:r>
            <w:r>
              <w:rPr>
                <w:rFonts w:hint="eastAsia" w:ascii="方正仿宋_GBK" w:hAnsi="方正仿宋_GBK" w:cs="方正仿宋_GBK"/>
                <w:kern w:val="0"/>
                <w:sz w:val="21"/>
                <w:szCs w:val="21"/>
                <w:lang w:bidi="ar"/>
              </w:rPr>
              <w:t>，重新执行敏感识别清洗，不复用历史未校验上下文</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5" w:type="dxa"/>
            <w:left w:w="15" w:type="dxa"/>
            <w:bottom w:w="15" w:type="dxa"/>
            <w:right w:w="15" w:type="dxa"/>
          </w:tblCellMar>
        </w:tblPrEx>
        <w:trPr>
          <w:jc w:val="center"/>
        </w:trPr>
        <w:tc>
          <w:tcPr>
            <w:tcW w:w="445" w:type="pct"/>
            <w:vMerge w:val="continue"/>
            <w:tcMar>
              <w:top w:w="80" w:type="dxa"/>
              <w:left w:w="80" w:type="dxa"/>
              <w:bottom w:w="80" w:type="dxa"/>
              <w:right w:w="80" w:type="dxa"/>
            </w:tcMar>
            <w:vAlign w:val="center"/>
          </w:tcPr>
          <w:p>
            <w:pPr>
              <w:spacing w:line="300" w:lineRule="exact"/>
              <w:ind w:firstLine="420"/>
              <w:jc w:val="center"/>
              <w:rPr>
                <w:rFonts w:cs="Times New Roman"/>
                <w:kern w:val="0"/>
                <w:sz w:val="21"/>
                <w:szCs w:val="21"/>
                <w:lang w:bidi="ar"/>
              </w:rPr>
            </w:pPr>
          </w:p>
        </w:tc>
        <w:tc>
          <w:tcPr>
            <w:tcW w:w="764" w:type="pct"/>
            <w:vMerge w:val="continue"/>
            <w:tcMar>
              <w:top w:w="80" w:type="dxa"/>
              <w:left w:w="80" w:type="dxa"/>
              <w:bottom w:w="80" w:type="dxa"/>
              <w:right w:w="80" w:type="dxa"/>
            </w:tcMar>
            <w:vAlign w:val="center"/>
          </w:tcPr>
          <w:p>
            <w:pPr>
              <w:spacing w:line="300" w:lineRule="exact"/>
              <w:ind w:firstLine="420"/>
              <w:jc w:val="center"/>
              <w:rPr>
                <w:rFonts w:cs="Times New Roman"/>
                <w:kern w:val="0"/>
                <w:sz w:val="21"/>
                <w:szCs w:val="21"/>
                <w:lang w:bidi="ar"/>
              </w:rPr>
            </w:pPr>
          </w:p>
        </w:tc>
        <w:tc>
          <w:tcPr>
            <w:tcW w:w="976" w:type="pct"/>
            <w:vMerge w:val="continue"/>
            <w:tcMar>
              <w:top w:w="80" w:type="dxa"/>
              <w:left w:w="80" w:type="dxa"/>
              <w:bottom w:w="80" w:type="dxa"/>
              <w:right w:w="80" w:type="dxa"/>
            </w:tcMar>
            <w:vAlign w:val="center"/>
          </w:tcPr>
          <w:p>
            <w:pPr>
              <w:spacing w:line="300" w:lineRule="exact"/>
              <w:ind w:firstLine="420"/>
              <w:jc w:val="left"/>
              <w:rPr>
                <w:rFonts w:hint="eastAsia" w:ascii="方正仿宋_GBK" w:hAnsi="方正仿宋_GBK" w:cs="方正仿宋_GBK"/>
                <w:kern w:val="0"/>
                <w:sz w:val="21"/>
                <w:szCs w:val="21"/>
                <w:lang w:bidi="ar"/>
              </w:rPr>
            </w:pPr>
          </w:p>
        </w:tc>
        <w:tc>
          <w:tcPr>
            <w:tcW w:w="911" w:type="pct"/>
            <w:tcMar>
              <w:top w:w="80" w:type="dxa"/>
              <w:left w:w="80" w:type="dxa"/>
              <w:bottom w:w="80" w:type="dxa"/>
              <w:right w:w="80" w:type="dxa"/>
            </w:tcMar>
            <w:vAlign w:val="center"/>
          </w:tcPr>
          <w:p>
            <w:pPr>
              <w:spacing w:line="300" w:lineRule="exact"/>
              <w:ind w:firstLine="0" w:firstLineChars="0"/>
              <w:jc w:val="left"/>
              <w:rPr>
                <w:rFonts w:hint="eastAsia" w:ascii="方正仿宋_GBK" w:hAnsi="方正仿宋_GBK" w:cs="方正仿宋_GBK"/>
                <w:kern w:val="0"/>
                <w:sz w:val="21"/>
                <w:szCs w:val="21"/>
                <w:lang w:bidi="ar"/>
              </w:rPr>
            </w:pPr>
            <w:r>
              <w:rPr>
                <w:rFonts w:hint="eastAsia" w:ascii="方正仿宋_GBK" w:hAnsi="方正仿宋_GBK" w:cs="方正仿宋_GBK"/>
                <w:kern w:val="0"/>
                <w:sz w:val="21"/>
                <w:szCs w:val="21"/>
                <w:lang w:bidi="ar"/>
              </w:rPr>
              <w:t>涉密片段自动截断</w:t>
            </w:r>
          </w:p>
        </w:tc>
        <w:tc>
          <w:tcPr>
            <w:tcW w:w="1901" w:type="pct"/>
            <w:tcMar>
              <w:top w:w="80" w:type="dxa"/>
              <w:left w:w="80" w:type="dxa"/>
              <w:bottom w:w="80" w:type="dxa"/>
              <w:right w:w="80" w:type="dxa"/>
            </w:tcMar>
            <w:vAlign w:val="center"/>
          </w:tcPr>
          <w:p>
            <w:pPr>
              <w:spacing w:line="300" w:lineRule="exact"/>
              <w:ind w:firstLine="0" w:firstLineChars="0"/>
              <w:jc w:val="left"/>
              <w:rPr>
                <w:rFonts w:hint="eastAsia" w:ascii="方正仿宋_GBK" w:hAnsi="方正仿宋_GBK" w:cs="方正仿宋_GBK"/>
                <w:kern w:val="0"/>
                <w:sz w:val="21"/>
                <w:szCs w:val="21"/>
                <w:lang w:bidi="ar"/>
              </w:rPr>
            </w:pPr>
            <w:r>
              <w:rPr>
                <w:rFonts w:hint="eastAsia" w:ascii="方正仿宋_GBK" w:hAnsi="方正仿宋_GBK" w:cs="方正仿宋_GBK"/>
                <w:kern w:val="0"/>
                <w:sz w:val="21"/>
                <w:szCs w:val="21"/>
                <w:lang w:bidi="ar"/>
              </w:rPr>
              <w:t>上下文累积</w:t>
            </w:r>
            <w:r>
              <w:rPr>
                <w:rFonts w:cs="Times New Roman"/>
                <w:kern w:val="0"/>
                <w:sz w:val="21"/>
                <w:szCs w:val="21"/>
                <w:lang w:bidi="ar"/>
              </w:rPr>
              <w:t>Token</w:t>
            </w:r>
            <w:r>
              <w:rPr>
                <w:rFonts w:hint="eastAsia" w:ascii="方正仿宋_GBK" w:hAnsi="方正仿宋_GBK" w:cs="方正仿宋_GBK"/>
                <w:kern w:val="0"/>
                <w:sz w:val="21"/>
                <w:szCs w:val="21"/>
                <w:lang w:bidi="ar"/>
              </w:rPr>
              <w:t>中识别配方、成本、涉密工序片段自动裁剪剔除</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5" w:type="dxa"/>
            <w:left w:w="15" w:type="dxa"/>
            <w:bottom w:w="15" w:type="dxa"/>
            <w:right w:w="15" w:type="dxa"/>
          </w:tblCellMar>
        </w:tblPrEx>
        <w:trPr>
          <w:jc w:val="center"/>
        </w:trPr>
        <w:tc>
          <w:tcPr>
            <w:tcW w:w="445" w:type="pct"/>
            <w:vMerge w:val="continue"/>
            <w:tcMar>
              <w:top w:w="80" w:type="dxa"/>
              <w:left w:w="80" w:type="dxa"/>
              <w:bottom w:w="80" w:type="dxa"/>
              <w:right w:w="80" w:type="dxa"/>
            </w:tcMar>
            <w:vAlign w:val="center"/>
          </w:tcPr>
          <w:p>
            <w:pPr>
              <w:spacing w:line="300" w:lineRule="exact"/>
              <w:ind w:firstLine="420"/>
              <w:jc w:val="center"/>
              <w:rPr>
                <w:rFonts w:cs="Times New Roman"/>
                <w:kern w:val="0"/>
                <w:sz w:val="21"/>
                <w:szCs w:val="21"/>
                <w:lang w:bidi="ar"/>
              </w:rPr>
            </w:pPr>
          </w:p>
        </w:tc>
        <w:tc>
          <w:tcPr>
            <w:tcW w:w="764" w:type="pct"/>
            <w:vMerge w:val="continue"/>
            <w:tcMar>
              <w:top w:w="80" w:type="dxa"/>
              <w:left w:w="80" w:type="dxa"/>
              <w:bottom w:w="80" w:type="dxa"/>
              <w:right w:w="80" w:type="dxa"/>
            </w:tcMar>
            <w:vAlign w:val="center"/>
          </w:tcPr>
          <w:p>
            <w:pPr>
              <w:spacing w:line="300" w:lineRule="exact"/>
              <w:ind w:firstLine="420"/>
              <w:jc w:val="center"/>
              <w:rPr>
                <w:rFonts w:cs="Times New Roman"/>
                <w:kern w:val="0"/>
                <w:sz w:val="21"/>
                <w:szCs w:val="21"/>
                <w:lang w:bidi="ar"/>
              </w:rPr>
            </w:pPr>
          </w:p>
        </w:tc>
        <w:tc>
          <w:tcPr>
            <w:tcW w:w="976" w:type="pct"/>
            <w:vMerge w:val="continue"/>
            <w:tcMar>
              <w:top w:w="80" w:type="dxa"/>
              <w:left w:w="80" w:type="dxa"/>
              <w:bottom w:w="80" w:type="dxa"/>
              <w:right w:w="80" w:type="dxa"/>
            </w:tcMar>
            <w:vAlign w:val="center"/>
          </w:tcPr>
          <w:p>
            <w:pPr>
              <w:spacing w:line="300" w:lineRule="exact"/>
              <w:ind w:firstLine="420"/>
              <w:jc w:val="left"/>
              <w:rPr>
                <w:rFonts w:hint="eastAsia" w:ascii="方正仿宋_GBK" w:hAnsi="方正仿宋_GBK" w:cs="方正仿宋_GBK"/>
                <w:kern w:val="0"/>
                <w:sz w:val="21"/>
                <w:szCs w:val="21"/>
                <w:lang w:bidi="ar"/>
              </w:rPr>
            </w:pPr>
          </w:p>
        </w:tc>
        <w:tc>
          <w:tcPr>
            <w:tcW w:w="911" w:type="pct"/>
            <w:tcMar>
              <w:top w:w="80" w:type="dxa"/>
              <w:left w:w="80" w:type="dxa"/>
              <w:bottom w:w="80" w:type="dxa"/>
              <w:right w:w="80" w:type="dxa"/>
            </w:tcMar>
            <w:vAlign w:val="center"/>
          </w:tcPr>
          <w:p>
            <w:pPr>
              <w:spacing w:line="300" w:lineRule="exact"/>
              <w:ind w:firstLine="0" w:firstLineChars="0"/>
              <w:jc w:val="left"/>
              <w:rPr>
                <w:rFonts w:hint="eastAsia" w:ascii="方正仿宋_GBK" w:hAnsi="方正仿宋_GBK" w:cs="方正仿宋_GBK"/>
                <w:kern w:val="0"/>
                <w:sz w:val="21"/>
                <w:szCs w:val="21"/>
                <w:lang w:bidi="ar"/>
              </w:rPr>
            </w:pPr>
            <w:r>
              <w:rPr>
                <w:rFonts w:hint="eastAsia" w:ascii="方正仿宋_GBK" w:hAnsi="方正仿宋_GBK" w:cs="方正仿宋_GBK"/>
                <w:kern w:val="0"/>
                <w:sz w:val="21"/>
                <w:szCs w:val="21"/>
                <w:lang w:bidi="ar"/>
              </w:rPr>
              <w:t>系统数据隔离拼接</w:t>
            </w:r>
          </w:p>
        </w:tc>
        <w:tc>
          <w:tcPr>
            <w:tcW w:w="1901" w:type="pct"/>
            <w:tcMar>
              <w:top w:w="80" w:type="dxa"/>
              <w:left w:w="80" w:type="dxa"/>
              <w:bottom w:w="80" w:type="dxa"/>
              <w:right w:w="80" w:type="dxa"/>
            </w:tcMar>
            <w:vAlign w:val="center"/>
          </w:tcPr>
          <w:p>
            <w:pPr>
              <w:spacing w:line="300" w:lineRule="exact"/>
              <w:ind w:firstLine="0" w:firstLineChars="0"/>
              <w:jc w:val="left"/>
              <w:rPr>
                <w:rFonts w:hint="eastAsia" w:ascii="方正仿宋_GBK" w:hAnsi="方正仿宋_GBK" w:cs="方正仿宋_GBK"/>
                <w:kern w:val="0"/>
                <w:sz w:val="21"/>
                <w:szCs w:val="21"/>
                <w:lang w:bidi="ar"/>
              </w:rPr>
            </w:pPr>
            <w:r>
              <w:rPr>
                <w:rFonts w:hint="eastAsia" w:ascii="方正仿宋_GBK" w:hAnsi="方正仿宋_GBK" w:cs="方正仿宋_GBK"/>
                <w:kern w:val="0"/>
                <w:sz w:val="21"/>
                <w:szCs w:val="21"/>
                <w:lang w:bidi="ar"/>
              </w:rPr>
              <w:t>来自</w:t>
            </w:r>
            <w:r>
              <w:rPr>
                <w:rFonts w:cs="Times New Roman"/>
                <w:kern w:val="0"/>
                <w:sz w:val="21"/>
                <w:szCs w:val="21"/>
                <w:lang w:bidi="ar"/>
              </w:rPr>
              <w:t>MES</w:t>
            </w:r>
            <w:r>
              <w:rPr>
                <w:rFonts w:hint="eastAsia" w:ascii="方正仿宋_GBK" w:hAnsi="方正仿宋_GBK" w:cs="方正仿宋_GBK"/>
                <w:kern w:val="0"/>
                <w:sz w:val="21"/>
                <w:szCs w:val="21"/>
                <w:lang w:bidi="ar"/>
              </w:rPr>
              <w:t>生产、</w:t>
            </w:r>
            <w:r>
              <w:rPr>
                <w:rFonts w:cs="Times New Roman"/>
                <w:kern w:val="0"/>
                <w:sz w:val="21"/>
                <w:szCs w:val="21"/>
                <w:lang w:bidi="ar"/>
              </w:rPr>
              <w:t>SAP</w:t>
            </w:r>
            <w:r>
              <w:rPr>
                <w:rFonts w:hint="eastAsia" w:ascii="方正仿宋_GBK" w:hAnsi="方正仿宋_GBK" w:cs="方正仿宋_GBK"/>
                <w:kern w:val="0"/>
                <w:sz w:val="21"/>
                <w:szCs w:val="21"/>
                <w:lang w:bidi="ar"/>
              </w:rPr>
              <w:t>财务两类系统的上下文</w:t>
            </w:r>
            <w:r>
              <w:rPr>
                <w:rFonts w:cs="Times New Roman"/>
                <w:kern w:val="0"/>
                <w:sz w:val="21"/>
                <w:szCs w:val="21"/>
                <w:lang w:bidi="ar"/>
              </w:rPr>
              <w:t>Token</w:t>
            </w:r>
            <w:r>
              <w:rPr>
                <w:rFonts w:hint="eastAsia" w:ascii="方正仿宋_GBK" w:hAnsi="方正仿宋_GBK" w:cs="方正仿宋_GBK"/>
                <w:kern w:val="0"/>
                <w:sz w:val="21"/>
                <w:szCs w:val="21"/>
                <w:lang w:bidi="ar"/>
              </w:rPr>
              <w:t>逻辑分区存储，不混合拼接推理</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5" w:type="dxa"/>
            <w:left w:w="15" w:type="dxa"/>
            <w:bottom w:w="15" w:type="dxa"/>
            <w:right w:w="15" w:type="dxa"/>
          </w:tblCellMar>
        </w:tblPrEx>
        <w:trPr>
          <w:jc w:val="center"/>
        </w:trPr>
        <w:tc>
          <w:tcPr>
            <w:tcW w:w="445" w:type="pct"/>
            <w:vMerge w:val="continue"/>
            <w:tcMar>
              <w:top w:w="80" w:type="dxa"/>
              <w:left w:w="80" w:type="dxa"/>
              <w:bottom w:w="80" w:type="dxa"/>
              <w:right w:w="80" w:type="dxa"/>
            </w:tcMar>
            <w:vAlign w:val="center"/>
          </w:tcPr>
          <w:p>
            <w:pPr>
              <w:spacing w:line="300" w:lineRule="exact"/>
              <w:ind w:firstLine="420"/>
              <w:jc w:val="center"/>
              <w:rPr>
                <w:rFonts w:cs="Times New Roman"/>
                <w:kern w:val="0"/>
                <w:sz w:val="21"/>
                <w:szCs w:val="21"/>
                <w:lang w:bidi="ar"/>
              </w:rPr>
            </w:pPr>
          </w:p>
        </w:tc>
        <w:tc>
          <w:tcPr>
            <w:tcW w:w="764" w:type="pct"/>
            <w:vMerge w:val="continue"/>
            <w:tcMar>
              <w:top w:w="80" w:type="dxa"/>
              <w:left w:w="80" w:type="dxa"/>
              <w:bottom w:w="80" w:type="dxa"/>
              <w:right w:w="80" w:type="dxa"/>
            </w:tcMar>
            <w:vAlign w:val="center"/>
          </w:tcPr>
          <w:p>
            <w:pPr>
              <w:spacing w:line="300" w:lineRule="exact"/>
              <w:ind w:firstLine="420"/>
              <w:jc w:val="center"/>
              <w:rPr>
                <w:rFonts w:cs="Times New Roman"/>
                <w:kern w:val="0"/>
                <w:sz w:val="21"/>
                <w:szCs w:val="21"/>
                <w:lang w:bidi="ar"/>
              </w:rPr>
            </w:pPr>
          </w:p>
        </w:tc>
        <w:tc>
          <w:tcPr>
            <w:tcW w:w="976" w:type="pct"/>
            <w:vMerge w:val="continue"/>
            <w:tcMar>
              <w:top w:w="80" w:type="dxa"/>
              <w:left w:w="80" w:type="dxa"/>
              <w:bottom w:w="80" w:type="dxa"/>
              <w:right w:w="80" w:type="dxa"/>
            </w:tcMar>
            <w:vAlign w:val="center"/>
          </w:tcPr>
          <w:p>
            <w:pPr>
              <w:spacing w:line="300" w:lineRule="exact"/>
              <w:ind w:firstLine="420"/>
              <w:jc w:val="left"/>
              <w:rPr>
                <w:rFonts w:hint="eastAsia" w:ascii="方正仿宋_GBK" w:hAnsi="方正仿宋_GBK" w:cs="方正仿宋_GBK"/>
                <w:kern w:val="0"/>
                <w:sz w:val="21"/>
                <w:szCs w:val="21"/>
                <w:lang w:bidi="ar"/>
              </w:rPr>
            </w:pPr>
          </w:p>
        </w:tc>
        <w:tc>
          <w:tcPr>
            <w:tcW w:w="911" w:type="pct"/>
            <w:tcMar>
              <w:top w:w="80" w:type="dxa"/>
              <w:left w:w="80" w:type="dxa"/>
              <w:bottom w:w="80" w:type="dxa"/>
              <w:right w:w="80" w:type="dxa"/>
            </w:tcMar>
            <w:vAlign w:val="center"/>
          </w:tcPr>
          <w:p>
            <w:pPr>
              <w:spacing w:line="300" w:lineRule="exact"/>
              <w:ind w:firstLine="0" w:firstLineChars="0"/>
              <w:jc w:val="left"/>
              <w:rPr>
                <w:rFonts w:hint="eastAsia" w:ascii="方正仿宋_GBK" w:hAnsi="方正仿宋_GBK" w:cs="方正仿宋_GBK"/>
                <w:kern w:val="0"/>
                <w:sz w:val="21"/>
                <w:szCs w:val="21"/>
                <w:lang w:bidi="ar"/>
              </w:rPr>
            </w:pPr>
            <w:r>
              <w:rPr>
                <w:rFonts w:hint="eastAsia" w:ascii="方正仿宋_GBK" w:hAnsi="方正仿宋_GBK" w:cs="方正仿宋_GBK"/>
                <w:kern w:val="0"/>
                <w:sz w:val="21"/>
                <w:szCs w:val="21"/>
                <w:lang w:bidi="ar"/>
              </w:rPr>
              <w:t>长上下文分片脱敏</w:t>
            </w:r>
          </w:p>
        </w:tc>
        <w:tc>
          <w:tcPr>
            <w:tcW w:w="1901" w:type="pct"/>
            <w:tcMar>
              <w:top w:w="80" w:type="dxa"/>
              <w:left w:w="80" w:type="dxa"/>
              <w:bottom w:w="80" w:type="dxa"/>
              <w:right w:w="80" w:type="dxa"/>
            </w:tcMar>
            <w:vAlign w:val="center"/>
          </w:tcPr>
          <w:p>
            <w:pPr>
              <w:spacing w:line="300" w:lineRule="exact"/>
              <w:ind w:firstLine="0" w:firstLineChars="0"/>
              <w:jc w:val="left"/>
              <w:rPr>
                <w:rFonts w:hint="eastAsia" w:ascii="方正仿宋_GBK" w:hAnsi="方正仿宋_GBK" w:cs="方正仿宋_GBK"/>
                <w:kern w:val="0"/>
                <w:sz w:val="21"/>
                <w:szCs w:val="21"/>
                <w:lang w:bidi="ar"/>
              </w:rPr>
            </w:pPr>
            <w:r>
              <w:rPr>
                <w:rFonts w:hint="eastAsia" w:ascii="方正仿宋_GBK" w:hAnsi="方正仿宋_GBK" w:cs="方正仿宋_GBK"/>
                <w:kern w:val="0"/>
                <w:sz w:val="21"/>
                <w:szCs w:val="21"/>
                <w:lang w:bidi="ar"/>
              </w:rPr>
              <w:t>大批量工业单据、时序集成数据拆分为分片</w:t>
            </w:r>
            <w:r>
              <w:rPr>
                <w:rFonts w:cs="Times New Roman"/>
                <w:kern w:val="0"/>
                <w:sz w:val="21"/>
                <w:szCs w:val="21"/>
                <w:lang w:bidi="ar"/>
              </w:rPr>
              <w:t>Token</w:t>
            </w:r>
            <w:r>
              <w:rPr>
                <w:rFonts w:hint="eastAsia" w:ascii="方正仿宋_GBK" w:hAnsi="方正仿宋_GBK" w:cs="方正仿宋_GBK"/>
                <w:kern w:val="0"/>
                <w:sz w:val="21"/>
                <w:szCs w:val="21"/>
                <w:lang w:bidi="ar"/>
              </w:rPr>
              <w:t>，分片单独校验脱敏再参与推理</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5" w:type="dxa"/>
            <w:left w:w="15" w:type="dxa"/>
            <w:bottom w:w="15" w:type="dxa"/>
            <w:right w:w="15" w:type="dxa"/>
          </w:tblCellMar>
        </w:tblPrEx>
        <w:trPr>
          <w:jc w:val="center"/>
        </w:trPr>
        <w:tc>
          <w:tcPr>
            <w:tcW w:w="445" w:type="pct"/>
            <w:vMerge w:val="restart"/>
            <w:tcMar>
              <w:top w:w="80" w:type="dxa"/>
              <w:left w:w="80" w:type="dxa"/>
              <w:bottom w:w="80" w:type="dxa"/>
              <w:right w:w="80" w:type="dxa"/>
            </w:tcMar>
            <w:vAlign w:val="center"/>
          </w:tcPr>
          <w:p>
            <w:pPr>
              <w:spacing w:line="300" w:lineRule="exact"/>
              <w:ind w:firstLine="0" w:firstLineChars="0"/>
              <w:jc w:val="center"/>
              <w:rPr>
                <w:rFonts w:cs="Times New Roman"/>
                <w:kern w:val="0"/>
                <w:sz w:val="21"/>
                <w:szCs w:val="21"/>
                <w:lang w:bidi="ar"/>
              </w:rPr>
            </w:pPr>
            <w:r>
              <w:rPr>
                <w:rFonts w:cs="Times New Roman"/>
                <w:kern w:val="0"/>
                <w:sz w:val="21"/>
                <w:szCs w:val="21"/>
                <w:lang w:bidi="ar"/>
              </w:rPr>
              <w:t>5</w:t>
            </w:r>
          </w:p>
        </w:tc>
        <w:tc>
          <w:tcPr>
            <w:tcW w:w="764" w:type="pct"/>
            <w:vMerge w:val="restart"/>
            <w:tcMar>
              <w:top w:w="80" w:type="dxa"/>
              <w:left w:w="80" w:type="dxa"/>
              <w:bottom w:w="80" w:type="dxa"/>
              <w:right w:w="80" w:type="dxa"/>
            </w:tcMar>
            <w:vAlign w:val="center"/>
          </w:tcPr>
          <w:p>
            <w:pPr>
              <w:spacing w:line="300" w:lineRule="exact"/>
              <w:ind w:firstLine="0" w:firstLineChars="0"/>
              <w:jc w:val="center"/>
              <w:rPr>
                <w:rFonts w:cs="Times New Roman"/>
                <w:kern w:val="0"/>
                <w:sz w:val="21"/>
                <w:szCs w:val="21"/>
                <w:lang w:bidi="ar"/>
              </w:rPr>
            </w:pPr>
            <w:r>
              <w:rPr>
                <w:rFonts w:cs="Times New Roman"/>
                <w:kern w:val="0"/>
                <w:sz w:val="21"/>
                <w:szCs w:val="21"/>
                <w:lang w:bidi="ar"/>
              </w:rPr>
              <w:t>模型输出Token管控</w:t>
            </w:r>
          </w:p>
        </w:tc>
        <w:tc>
          <w:tcPr>
            <w:tcW w:w="976" w:type="pct"/>
            <w:vMerge w:val="restart"/>
            <w:tcMar>
              <w:top w:w="80" w:type="dxa"/>
              <w:left w:w="80" w:type="dxa"/>
              <w:bottom w:w="80" w:type="dxa"/>
              <w:right w:w="80" w:type="dxa"/>
            </w:tcMar>
            <w:vAlign w:val="center"/>
          </w:tcPr>
          <w:p>
            <w:pPr>
              <w:spacing w:line="300" w:lineRule="exact"/>
              <w:ind w:firstLine="0" w:firstLineChars="0"/>
              <w:jc w:val="left"/>
              <w:rPr>
                <w:rFonts w:hint="eastAsia" w:ascii="方正仿宋_GBK" w:hAnsi="方正仿宋_GBK" w:cs="方正仿宋_GBK"/>
                <w:kern w:val="0"/>
                <w:sz w:val="21"/>
                <w:szCs w:val="21"/>
                <w:lang w:bidi="ar"/>
              </w:rPr>
            </w:pPr>
            <w:r>
              <w:rPr>
                <w:rFonts w:hint="eastAsia" w:ascii="方正仿宋_GBK" w:hAnsi="方正仿宋_GBK" w:cs="方正仿宋_GBK"/>
                <w:kern w:val="0"/>
                <w:sz w:val="21"/>
                <w:szCs w:val="21"/>
                <w:lang w:bidi="ar"/>
              </w:rPr>
              <w:t>模型生成工艺方案、经营报表、质检报告；通过集成接口回写</w:t>
            </w:r>
            <w:r>
              <w:rPr>
                <w:rFonts w:cs="Times New Roman"/>
                <w:kern w:val="0"/>
                <w:sz w:val="21"/>
                <w:szCs w:val="21"/>
                <w:lang w:bidi="ar"/>
              </w:rPr>
              <w:t>MES</w:t>
            </w:r>
            <w:r>
              <w:rPr>
                <w:rFonts w:hint="eastAsia" w:ascii="方正仿宋_GBK" w:hAnsi="方正仿宋_GBK" w:cs="方正仿宋_GBK"/>
                <w:kern w:val="0"/>
                <w:sz w:val="21"/>
                <w:szCs w:val="21"/>
                <w:lang w:bidi="ar"/>
              </w:rPr>
              <w:t>/</w:t>
            </w:r>
            <w:r>
              <w:rPr>
                <w:rFonts w:cs="Times New Roman"/>
                <w:kern w:val="0"/>
                <w:sz w:val="21"/>
                <w:szCs w:val="21"/>
                <w:lang w:bidi="ar"/>
              </w:rPr>
              <w:t>SAP</w:t>
            </w:r>
            <w:r>
              <w:rPr>
                <w:rFonts w:hint="eastAsia" w:ascii="方正仿宋_GBK" w:hAnsi="方正仿宋_GBK" w:cs="方正仿宋_GBK"/>
                <w:kern w:val="0"/>
                <w:sz w:val="21"/>
                <w:szCs w:val="21"/>
                <w:lang w:bidi="ar"/>
              </w:rPr>
              <w:t>/</w:t>
            </w:r>
            <w:r>
              <w:rPr>
                <w:rFonts w:cs="Times New Roman"/>
                <w:kern w:val="0"/>
                <w:sz w:val="21"/>
                <w:szCs w:val="21"/>
                <w:lang w:bidi="ar"/>
              </w:rPr>
              <w:t>PLM</w:t>
            </w:r>
            <w:r>
              <w:rPr>
                <w:rFonts w:hint="eastAsia" w:ascii="方正仿宋_GBK" w:hAnsi="方正仿宋_GBK" w:cs="方正仿宋_GBK"/>
                <w:kern w:val="0"/>
                <w:sz w:val="21"/>
                <w:szCs w:val="21"/>
                <w:lang w:bidi="ar"/>
              </w:rPr>
              <w:t>/</w:t>
            </w:r>
            <w:r>
              <w:rPr>
                <w:rFonts w:cs="Times New Roman"/>
                <w:kern w:val="0"/>
                <w:sz w:val="21"/>
                <w:szCs w:val="21"/>
                <w:lang w:bidi="ar"/>
              </w:rPr>
              <w:t>WMS</w:t>
            </w:r>
            <w:r>
              <w:rPr>
                <w:rFonts w:hint="eastAsia" w:ascii="方正仿宋_GBK" w:hAnsi="方正仿宋_GBK" w:cs="方正仿宋_GBK"/>
                <w:kern w:val="0"/>
                <w:sz w:val="21"/>
                <w:szCs w:val="21"/>
                <w:lang w:bidi="ar"/>
              </w:rPr>
              <w:t>，跨内外传输</w:t>
            </w:r>
          </w:p>
        </w:tc>
        <w:tc>
          <w:tcPr>
            <w:tcW w:w="911" w:type="pct"/>
            <w:tcMar>
              <w:top w:w="80" w:type="dxa"/>
              <w:left w:w="80" w:type="dxa"/>
              <w:bottom w:w="80" w:type="dxa"/>
              <w:right w:w="80" w:type="dxa"/>
            </w:tcMar>
            <w:vAlign w:val="center"/>
          </w:tcPr>
          <w:p>
            <w:pPr>
              <w:spacing w:line="300" w:lineRule="exact"/>
              <w:ind w:firstLine="0" w:firstLineChars="0"/>
              <w:jc w:val="left"/>
              <w:rPr>
                <w:rFonts w:hint="eastAsia" w:ascii="方正仿宋_GBK" w:hAnsi="方正仿宋_GBK" w:cs="方正仿宋_GBK"/>
                <w:kern w:val="0"/>
                <w:sz w:val="21"/>
                <w:szCs w:val="21"/>
                <w:lang w:bidi="ar"/>
              </w:rPr>
            </w:pPr>
            <w:r>
              <w:rPr>
                <w:rFonts w:hint="eastAsia" w:ascii="方正仿宋_GBK" w:hAnsi="方正仿宋_GBK" w:cs="方正仿宋_GBK"/>
                <w:kern w:val="0"/>
                <w:sz w:val="21"/>
                <w:szCs w:val="21"/>
                <w:lang w:bidi="ar"/>
              </w:rPr>
              <w:t>输出侧内容审核</w:t>
            </w:r>
          </w:p>
        </w:tc>
        <w:tc>
          <w:tcPr>
            <w:tcW w:w="1901" w:type="pct"/>
            <w:tcMar>
              <w:top w:w="80" w:type="dxa"/>
              <w:left w:w="80" w:type="dxa"/>
              <w:bottom w:w="80" w:type="dxa"/>
              <w:right w:w="80" w:type="dxa"/>
            </w:tcMar>
            <w:vAlign w:val="center"/>
          </w:tcPr>
          <w:p>
            <w:pPr>
              <w:spacing w:line="300" w:lineRule="exact"/>
              <w:ind w:firstLine="0" w:firstLineChars="0"/>
              <w:jc w:val="left"/>
              <w:rPr>
                <w:rFonts w:hint="eastAsia" w:ascii="方正仿宋_GBK" w:hAnsi="方正仿宋_GBK" w:cs="方正仿宋_GBK"/>
                <w:kern w:val="0"/>
                <w:sz w:val="21"/>
                <w:szCs w:val="21"/>
                <w:lang w:bidi="ar"/>
              </w:rPr>
            </w:pPr>
            <w:r>
              <w:rPr>
                <w:rFonts w:hint="eastAsia" w:ascii="方正仿宋_GBK" w:hAnsi="方正仿宋_GBK" w:cs="方正仿宋_GBK"/>
                <w:kern w:val="0"/>
                <w:sz w:val="21"/>
                <w:szCs w:val="21"/>
                <w:lang w:bidi="ar"/>
              </w:rPr>
              <w:t>扫描输出</w:t>
            </w:r>
            <w:r>
              <w:rPr>
                <w:rFonts w:cs="Times New Roman"/>
                <w:kern w:val="0"/>
                <w:sz w:val="21"/>
                <w:szCs w:val="21"/>
                <w:lang w:bidi="ar"/>
              </w:rPr>
              <w:t>Token</w:t>
            </w:r>
            <w:r>
              <w:rPr>
                <w:rFonts w:hint="eastAsia" w:ascii="方正仿宋_GBK" w:hAnsi="方正仿宋_GBK" w:cs="方正仿宋_GBK"/>
                <w:kern w:val="0"/>
                <w:sz w:val="21"/>
                <w:szCs w:val="21"/>
                <w:lang w:bidi="ar"/>
              </w:rPr>
              <w:t>内工艺参数、定价、客户信息、设备涉密编号，存在敏感内容直接拦截回传业务系统</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5" w:type="dxa"/>
            <w:left w:w="15" w:type="dxa"/>
            <w:bottom w:w="15" w:type="dxa"/>
            <w:right w:w="15" w:type="dxa"/>
          </w:tblCellMar>
        </w:tblPrEx>
        <w:trPr>
          <w:jc w:val="center"/>
        </w:trPr>
        <w:tc>
          <w:tcPr>
            <w:tcW w:w="445" w:type="pct"/>
            <w:vMerge w:val="continue"/>
            <w:tcMar>
              <w:top w:w="80" w:type="dxa"/>
              <w:left w:w="80" w:type="dxa"/>
              <w:bottom w:w="80" w:type="dxa"/>
              <w:right w:w="80" w:type="dxa"/>
            </w:tcMar>
            <w:vAlign w:val="center"/>
          </w:tcPr>
          <w:p>
            <w:pPr>
              <w:spacing w:line="300" w:lineRule="exact"/>
              <w:ind w:firstLine="420"/>
              <w:jc w:val="center"/>
              <w:rPr>
                <w:rFonts w:cs="Times New Roman"/>
                <w:kern w:val="0"/>
                <w:sz w:val="21"/>
                <w:szCs w:val="21"/>
                <w:lang w:bidi="ar"/>
              </w:rPr>
            </w:pPr>
          </w:p>
        </w:tc>
        <w:tc>
          <w:tcPr>
            <w:tcW w:w="764" w:type="pct"/>
            <w:vMerge w:val="continue"/>
            <w:tcMar>
              <w:top w:w="80" w:type="dxa"/>
              <w:left w:w="80" w:type="dxa"/>
              <w:bottom w:w="80" w:type="dxa"/>
              <w:right w:w="80" w:type="dxa"/>
            </w:tcMar>
            <w:vAlign w:val="center"/>
          </w:tcPr>
          <w:p>
            <w:pPr>
              <w:spacing w:line="300" w:lineRule="exact"/>
              <w:ind w:firstLine="420"/>
              <w:jc w:val="center"/>
              <w:rPr>
                <w:rFonts w:cs="Times New Roman"/>
                <w:kern w:val="0"/>
                <w:sz w:val="21"/>
                <w:szCs w:val="21"/>
                <w:lang w:bidi="ar"/>
              </w:rPr>
            </w:pPr>
          </w:p>
        </w:tc>
        <w:tc>
          <w:tcPr>
            <w:tcW w:w="976" w:type="pct"/>
            <w:vMerge w:val="continue"/>
            <w:tcMar>
              <w:top w:w="80" w:type="dxa"/>
              <w:left w:w="80" w:type="dxa"/>
              <w:bottom w:w="80" w:type="dxa"/>
              <w:right w:w="80" w:type="dxa"/>
            </w:tcMar>
            <w:vAlign w:val="center"/>
          </w:tcPr>
          <w:p>
            <w:pPr>
              <w:spacing w:line="300" w:lineRule="exact"/>
              <w:ind w:firstLine="420"/>
              <w:jc w:val="left"/>
              <w:rPr>
                <w:rFonts w:hint="eastAsia" w:ascii="方正仿宋_GBK" w:hAnsi="方正仿宋_GBK" w:cs="方正仿宋_GBK"/>
                <w:kern w:val="0"/>
                <w:sz w:val="21"/>
                <w:szCs w:val="21"/>
                <w:lang w:bidi="ar"/>
              </w:rPr>
            </w:pPr>
          </w:p>
        </w:tc>
        <w:tc>
          <w:tcPr>
            <w:tcW w:w="911" w:type="pct"/>
            <w:tcMar>
              <w:top w:w="80" w:type="dxa"/>
              <w:left w:w="80" w:type="dxa"/>
              <w:bottom w:w="80" w:type="dxa"/>
              <w:right w:w="80" w:type="dxa"/>
            </w:tcMar>
            <w:vAlign w:val="center"/>
          </w:tcPr>
          <w:p>
            <w:pPr>
              <w:spacing w:line="300" w:lineRule="exact"/>
              <w:ind w:firstLine="0" w:firstLineChars="0"/>
              <w:jc w:val="left"/>
              <w:rPr>
                <w:rFonts w:hint="eastAsia" w:ascii="方正仿宋_GBK" w:hAnsi="方正仿宋_GBK" w:cs="方正仿宋_GBK"/>
                <w:kern w:val="0"/>
                <w:sz w:val="21"/>
                <w:szCs w:val="21"/>
                <w:lang w:bidi="ar"/>
              </w:rPr>
            </w:pPr>
            <w:r>
              <w:rPr>
                <w:rFonts w:hint="eastAsia" w:ascii="方正仿宋_GBK" w:hAnsi="方正仿宋_GBK" w:cs="方正仿宋_GBK"/>
                <w:kern w:val="0"/>
                <w:sz w:val="21"/>
                <w:szCs w:val="21"/>
                <w:lang w:bidi="ar"/>
              </w:rPr>
              <w:t>生成图文同步遮蔽</w:t>
            </w:r>
          </w:p>
        </w:tc>
        <w:tc>
          <w:tcPr>
            <w:tcW w:w="1901" w:type="pct"/>
            <w:tcMar>
              <w:top w:w="80" w:type="dxa"/>
              <w:left w:w="80" w:type="dxa"/>
              <w:bottom w:w="80" w:type="dxa"/>
              <w:right w:w="80" w:type="dxa"/>
            </w:tcMar>
            <w:vAlign w:val="center"/>
          </w:tcPr>
          <w:p>
            <w:pPr>
              <w:spacing w:line="300" w:lineRule="exact"/>
              <w:ind w:firstLine="0" w:firstLineChars="0"/>
              <w:jc w:val="left"/>
              <w:rPr>
                <w:rFonts w:hint="eastAsia" w:ascii="方正仿宋_GBK" w:hAnsi="方正仿宋_GBK" w:cs="方正仿宋_GBK"/>
                <w:kern w:val="0"/>
                <w:sz w:val="21"/>
                <w:szCs w:val="21"/>
                <w:lang w:bidi="ar"/>
              </w:rPr>
            </w:pPr>
            <w:r>
              <w:rPr>
                <w:rFonts w:hint="eastAsia" w:ascii="方正仿宋_GBK" w:hAnsi="方正仿宋_GBK" w:cs="方正仿宋_GBK"/>
                <w:kern w:val="0"/>
                <w:sz w:val="21"/>
                <w:szCs w:val="21"/>
                <w:lang w:bidi="ar"/>
              </w:rPr>
              <w:t>图片/3</w:t>
            </w:r>
            <w:r>
              <w:rPr>
                <w:rFonts w:cs="Times New Roman"/>
                <w:kern w:val="0"/>
                <w:sz w:val="21"/>
                <w:szCs w:val="21"/>
                <w:lang w:bidi="ar"/>
              </w:rPr>
              <w:t>D</w:t>
            </w:r>
            <w:r>
              <w:rPr>
                <w:rFonts w:hint="eastAsia" w:ascii="方正仿宋_GBK" w:hAnsi="方正仿宋_GBK" w:cs="方正仿宋_GBK"/>
                <w:kern w:val="0"/>
                <w:sz w:val="21"/>
                <w:szCs w:val="21"/>
                <w:lang w:bidi="ar"/>
              </w:rPr>
              <w:t>配套文本</w:t>
            </w:r>
            <w:r>
              <w:rPr>
                <w:rFonts w:cs="Times New Roman"/>
                <w:kern w:val="0"/>
                <w:sz w:val="21"/>
                <w:szCs w:val="21"/>
                <w:lang w:bidi="ar"/>
              </w:rPr>
              <w:t>Token</w:t>
            </w:r>
            <w:r>
              <w:rPr>
                <w:rFonts w:hint="eastAsia" w:ascii="方正仿宋_GBK" w:hAnsi="方正仿宋_GBK" w:cs="方正仿宋_GBK"/>
                <w:kern w:val="0"/>
                <w:sz w:val="21"/>
                <w:szCs w:val="21"/>
                <w:lang w:bidi="ar"/>
              </w:rPr>
              <w:t>自动替换图纸涉密标注、配方描述</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5" w:type="dxa"/>
            <w:left w:w="15" w:type="dxa"/>
            <w:bottom w:w="15" w:type="dxa"/>
            <w:right w:w="15" w:type="dxa"/>
          </w:tblCellMar>
        </w:tblPrEx>
        <w:trPr>
          <w:jc w:val="center"/>
        </w:trPr>
        <w:tc>
          <w:tcPr>
            <w:tcW w:w="445" w:type="pct"/>
            <w:vMerge w:val="continue"/>
            <w:tcMar>
              <w:top w:w="80" w:type="dxa"/>
              <w:left w:w="80" w:type="dxa"/>
              <w:bottom w:w="80" w:type="dxa"/>
              <w:right w:w="80" w:type="dxa"/>
            </w:tcMar>
            <w:vAlign w:val="center"/>
          </w:tcPr>
          <w:p>
            <w:pPr>
              <w:spacing w:line="300" w:lineRule="exact"/>
              <w:ind w:firstLine="420"/>
              <w:jc w:val="center"/>
              <w:rPr>
                <w:rFonts w:cs="Times New Roman"/>
                <w:kern w:val="0"/>
                <w:sz w:val="21"/>
                <w:szCs w:val="21"/>
                <w:lang w:bidi="ar"/>
              </w:rPr>
            </w:pPr>
          </w:p>
        </w:tc>
        <w:tc>
          <w:tcPr>
            <w:tcW w:w="764" w:type="pct"/>
            <w:vMerge w:val="continue"/>
            <w:tcMar>
              <w:top w:w="80" w:type="dxa"/>
              <w:left w:w="80" w:type="dxa"/>
              <w:bottom w:w="80" w:type="dxa"/>
              <w:right w:w="80" w:type="dxa"/>
            </w:tcMar>
            <w:vAlign w:val="center"/>
          </w:tcPr>
          <w:p>
            <w:pPr>
              <w:spacing w:line="300" w:lineRule="exact"/>
              <w:ind w:firstLine="420"/>
              <w:jc w:val="center"/>
              <w:rPr>
                <w:rFonts w:cs="Times New Roman"/>
                <w:kern w:val="0"/>
                <w:sz w:val="21"/>
                <w:szCs w:val="21"/>
                <w:lang w:bidi="ar"/>
              </w:rPr>
            </w:pPr>
          </w:p>
        </w:tc>
        <w:tc>
          <w:tcPr>
            <w:tcW w:w="976" w:type="pct"/>
            <w:vMerge w:val="continue"/>
            <w:tcMar>
              <w:top w:w="80" w:type="dxa"/>
              <w:left w:w="80" w:type="dxa"/>
              <w:bottom w:w="80" w:type="dxa"/>
              <w:right w:w="80" w:type="dxa"/>
            </w:tcMar>
            <w:vAlign w:val="center"/>
          </w:tcPr>
          <w:p>
            <w:pPr>
              <w:spacing w:line="300" w:lineRule="exact"/>
              <w:ind w:firstLine="420"/>
              <w:jc w:val="left"/>
              <w:rPr>
                <w:rFonts w:hint="eastAsia" w:ascii="方正仿宋_GBK" w:hAnsi="方正仿宋_GBK" w:cs="方正仿宋_GBK"/>
                <w:kern w:val="0"/>
                <w:sz w:val="21"/>
                <w:szCs w:val="21"/>
                <w:lang w:bidi="ar"/>
              </w:rPr>
            </w:pPr>
          </w:p>
        </w:tc>
        <w:tc>
          <w:tcPr>
            <w:tcW w:w="911" w:type="pct"/>
            <w:tcMar>
              <w:top w:w="80" w:type="dxa"/>
              <w:left w:w="80" w:type="dxa"/>
              <w:bottom w:w="80" w:type="dxa"/>
              <w:right w:w="80" w:type="dxa"/>
            </w:tcMar>
            <w:vAlign w:val="center"/>
          </w:tcPr>
          <w:p>
            <w:pPr>
              <w:spacing w:line="300" w:lineRule="exact"/>
              <w:ind w:firstLine="0" w:firstLineChars="0"/>
              <w:jc w:val="left"/>
              <w:rPr>
                <w:rFonts w:hint="eastAsia" w:ascii="方正仿宋_GBK" w:hAnsi="方正仿宋_GBK" w:cs="方正仿宋_GBK"/>
                <w:kern w:val="0"/>
                <w:sz w:val="21"/>
                <w:szCs w:val="21"/>
                <w:lang w:bidi="ar"/>
              </w:rPr>
            </w:pPr>
            <w:r>
              <w:rPr>
                <w:rFonts w:hint="eastAsia" w:ascii="方正仿宋_GBK" w:hAnsi="方正仿宋_GBK" w:cs="方正仿宋_GBK"/>
                <w:kern w:val="0"/>
                <w:sz w:val="21"/>
                <w:szCs w:val="21"/>
                <w:lang w:bidi="ar"/>
              </w:rPr>
              <w:t>回传系统差异化脱敏</w:t>
            </w:r>
          </w:p>
        </w:tc>
        <w:tc>
          <w:tcPr>
            <w:tcW w:w="1901" w:type="pct"/>
            <w:tcMar>
              <w:top w:w="80" w:type="dxa"/>
              <w:left w:w="80" w:type="dxa"/>
              <w:bottom w:w="80" w:type="dxa"/>
              <w:right w:w="80" w:type="dxa"/>
            </w:tcMar>
            <w:vAlign w:val="center"/>
          </w:tcPr>
          <w:p>
            <w:pPr>
              <w:spacing w:line="300" w:lineRule="exact"/>
              <w:ind w:firstLine="0" w:firstLineChars="0"/>
              <w:jc w:val="left"/>
              <w:rPr>
                <w:rFonts w:hint="eastAsia" w:ascii="方正仿宋_GBK" w:hAnsi="方正仿宋_GBK" w:cs="方正仿宋_GBK"/>
                <w:kern w:val="0"/>
                <w:sz w:val="21"/>
                <w:szCs w:val="21"/>
                <w:lang w:bidi="ar"/>
              </w:rPr>
            </w:pPr>
            <w:r>
              <w:rPr>
                <w:rFonts w:hint="eastAsia" w:ascii="方正仿宋_GBK" w:hAnsi="方正仿宋_GBK" w:cs="方正仿宋_GBK"/>
                <w:kern w:val="0"/>
                <w:sz w:val="21"/>
                <w:szCs w:val="21"/>
                <w:lang w:bidi="ar"/>
              </w:rPr>
              <w:t>回写</w:t>
            </w:r>
            <w:r>
              <w:rPr>
                <w:rFonts w:cs="Times New Roman"/>
                <w:kern w:val="0"/>
                <w:sz w:val="21"/>
                <w:szCs w:val="21"/>
                <w:lang w:bidi="ar"/>
              </w:rPr>
              <w:t>MES</w:t>
            </w:r>
            <w:r>
              <w:rPr>
                <w:rFonts w:hint="eastAsia" w:ascii="方正仿宋_GBK" w:hAnsi="方正仿宋_GBK" w:cs="方正仿宋_GBK"/>
                <w:kern w:val="0"/>
                <w:sz w:val="21"/>
                <w:szCs w:val="21"/>
                <w:lang w:bidi="ar"/>
              </w:rPr>
              <w:t>产线的</w:t>
            </w:r>
            <w:r>
              <w:rPr>
                <w:rFonts w:cs="Times New Roman"/>
                <w:kern w:val="0"/>
                <w:sz w:val="21"/>
                <w:szCs w:val="21"/>
                <w:lang w:bidi="ar"/>
              </w:rPr>
              <w:t>Token</w:t>
            </w:r>
            <w:r>
              <w:rPr>
                <w:rFonts w:hint="eastAsia" w:ascii="方正仿宋_GBK" w:hAnsi="方正仿宋_GBK" w:cs="方正仿宋_GBK"/>
                <w:kern w:val="0"/>
                <w:sz w:val="21"/>
                <w:szCs w:val="21"/>
                <w:lang w:bidi="ar"/>
              </w:rPr>
              <w:t>保留通用工艺，回传</w:t>
            </w:r>
            <w:r>
              <w:rPr>
                <w:rFonts w:cs="Times New Roman"/>
                <w:kern w:val="0"/>
                <w:sz w:val="21"/>
                <w:szCs w:val="21"/>
                <w:lang w:bidi="ar"/>
              </w:rPr>
              <w:t>SAP</w:t>
            </w:r>
            <w:r>
              <w:rPr>
                <w:rFonts w:hint="eastAsia" w:ascii="方正仿宋_GBK" w:hAnsi="方正仿宋_GBK" w:cs="方正仿宋_GBK"/>
                <w:kern w:val="0"/>
                <w:sz w:val="21"/>
                <w:szCs w:val="21"/>
                <w:lang w:bidi="ar"/>
              </w:rPr>
              <w:t>办公端</w:t>
            </w:r>
            <w:r>
              <w:rPr>
                <w:rFonts w:cs="Times New Roman"/>
                <w:kern w:val="0"/>
                <w:sz w:val="21"/>
                <w:szCs w:val="21"/>
                <w:lang w:bidi="ar"/>
              </w:rPr>
              <w:t>Token</w:t>
            </w:r>
            <w:r>
              <w:rPr>
                <w:rFonts w:hint="eastAsia" w:ascii="方正仿宋_GBK" w:hAnsi="方正仿宋_GBK" w:cs="方正仿宋_GBK"/>
                <w:kern w:val="0"/>
                <w:sz w:val="21"/>
                <w:szCs w:val="21"/>
                <w:lang w:bidi="ar"/>
              </w:rPr>
              <w:t>屏蔽成本明细</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5" w:type="dxa"/>
            <w:left w:w="15" w:type="dxa"/>
            <w:bottom w:w="15" w:type="dxa"/>
            <w:right w:w="15" w:type="dxa"/>
          </w:tblCellMar>
        </w:tblPrEx>
        <w:trPr>
          <w:jc w:val="center"/>
        </w:trPr>
        <w:tc>
          <w:tcPr>
            <w:tcW w:w="445" w:type="pct"/>
            <w:vMerge w:val="continue"/>
            <w:tcMar>
              <w:top w:w="80" w:type="dxa"/>
              <w:left w:w="80" w:type="dxa"/>
              <w:bottom w:w="80" w:type="dxa"/>
              <w:right w:w="80" w:type="dxa"/>
            </w:tcMar>
            <w:vAlign w:val="center"/>
          </w:tcPr>
          <w:p>
            <w:pPr>
              <w:spacing w:line="300" w:lineRule="exact"/>
              <w:ind w:firstLine="420"/>
              <w:jc w:val="center"/>
              <w:rPr>
                <w:rFonts w:cs="Times New Roman"/>
                <w:kern w:val="0"/>
                <w:sz w:val="21"/>
                <w:szCs w:val="21"/>
                <w:lang w:bidi="ar"/>
              </w:rPr>
            </w:pPr>
          </w:p>
        </w:tc>
        <w:tc>
          <w:tcPr>
            <w:tcW w:w="764" w:type="pct"/>
            <w:vMerge w:val="continue"/>
            <w:tcMar>
              <w:top w:w="80" w:type="dxa"/>
              <w:left w:w="80" w:type="dxa"/>
              <w:bottom w:w="80" w:type="dxa"/>
              <w:right w:w="80" w:type="dxa"/>
            </w:tcMar>
            <w:vAlign w:val="center"/>
          </w:tcPr>
          <w:p>
            <w:pPr>
              <w:spacing w:line="300" w:lineRule="exact"/>
              <w:ind w:firstLine="420"/>
              <w:jc w:val="center"/>
              <w:rPr>
                <w:rFonts w:cs="Times New Roman"/>
                <w:kern w:val="0"/>
                <w:sz w:val="21"/>
                <w:szCs w:val="21"/>
                <w:lang w:bidi="ar"/>
              </w:rPr>
            </w:pPr>
          </w:p>
        </w:tc>
        <w:tc>
          <w:tcPr>
            <w:tcW w:w="976" w:type="pct"/>
            <w:vMerge w:val="continue"/>
            <w:tcMar>
              <w:top w:w="80" w:type="dxa"/>
              <w:left w:w="80" w:type="dxa"/>
              <w:bottom w:w="80" w:type="dxa"/>
              <w:right w:w="80" w:type="dxa"/>
            </w:tcMar>
            <w:vAlign w:val="center"/>
          </w:tcPr>
          <w:p>
            <w:pPr>
              <w:spacing w:line="300" w:lineRule="exact"/>
              <w:ind w:firstLine="420"/>
              <w:jc w:val="left"/>
              <w:rPr>
                <w:rFonts w:hint="eastAsia" w:ascii="方正仿宋_GBK" w:hAnsi="方正仿宋_GBK" w:cs="方正仿宋_GBK"/>
                <w:kern w:val="0"/>
                <w:sz w:val="21"/>
                <w:szCs w:val="21"/>
                <w:lang w:bidi="ar"/>
              </w:rPr>
            </w:pPr>
          </w:p>
        </w:tc>
        <w:tc>
          <w:tcPr>
            <w:tcW w:w="911" w:type="pct"/>
            <w:tcMar>
              <w:top w:w="80" w:type="dxa"/>
              <w:left w:w="80" w:type="dxa"/>
              <w:bottom w:w="80" w:type="dxa"/>
              <w:right w:w="80" w:type="dxa"/>
            </w:tcMar>
            <w:vAlign w:val="center"/>
          </w:tcPr>
          <w:p>
            <w:pPr>
              <w:spacing w:line="300" w:lineRule="exact"/>
              <w:ind w:firstLine="0" w:firstLineChars="0"/>
              <w:jc w:val="left"/>
              <w:rPr>
                <w:rFonts w:hint="eastAsia" w:ascii="方正仿宋_GBK" w:hAnsi="方正仿宋_GBK" w:cs="方正仿宋_GBK"/>
                <w:kern w:val="0"/>
                <w:sz w:val="21"/>
                <w:szCs w:val="21"/>
                <w:lang w:bidi="ar"/>
              </w:rPr>
            </w:pPr>
            <w:r>
              <w:rPr>
                <w:rFonts w:hint="eastAsia" w:ascii="方正仿宋_GBK" w:hAnsi="方正仿宋_GBK" w:cs="方正仿宋_GBK"/>
                <w:kern w:val="0"/>
                <w:sz w:val="21"/>
                <w:szCs w:val="21"/>
                <w:lang w:bidi="ar"/>
              </w:rPr>
              <w:t>传输加密校验</w:t>
            </w:r>
          </w:p>
        </w:tc>
        <w:tc>
          <w:tcPr>
            <w:tcW w:w="1901" w:type="pct"/>
            <w:tcMar>
              <w:top w:w="80" w:type="dxa"/>
              <w:left w:w="80" w:type="dxa"/>
              <w:bottom w:w="80" w:type="dxa"/>
              <w:right w:w="80" w:type="dxa"/>
            </w:tcMar>
            <w:vAlign w:val="center"/>
          </w:tcPr>
          <w:p>
            <w:pPr>
              <w:spacing w:line="300" w:lineRule="exact"/>
              <w:ind w:firstLine="0" w:firstLineChars="0"/>
              <w:jc w:val="left"/>
              <w:rPr>
                <w:rFonts w:hint="eastAsia" w:ascii="方正仿宋_GBK" w:hAnsi="方正仿宋_GBK" w:cs="方正仿宋_GBK"/>
                <w:kern w:val="0"/>
                <w:sz w:val="21"/>
                <w:szCs w:val="21"/>
                <w:lang w:bidi="ar"/>
              </w:rPr>
            </w:pPr>
            <w:r>
              <w:rPr>
                <w:rFonts w:hint="eastAsia" w:ascii="方正仿宋_GBK" w:hAnsi="方正仿宋_GBK" w:cs="方正仿宋_GBK"/>
                <w:kern w:val="0"/>
                <w:sz w:val="21"/>
                <w:szCs w:val="21"/>
                <w:lang w:bidi="ar"/>
              </w:rPr>
              <w:t>输出</w:t>
            </w:r>
            <w:r>
              <w:rPr>
                <w:rFonts w:cs="Times New Roman"/>
                <w:kern w:val="0"/>
                <w:sz w:val="21"/>
                <w:szCs w:val="21"/>
                <w:lang w:bidi="ar"/>
              </w:rPr>
              <w:t>Token</w:t>
            </w:r>
            <w:r>
              <w:rPr>
                <w:rFonts w:hint="eastAsia" w:ascii="方正仿宋_GBK" w:hAnsi="方正仿宋_GBK" w:cs="方正仿宋_GBK"/>
                <w:kern w:val="0"/>
                <w:sz w:val="21"/>
                <w:szCs w:val="21"/>
                <w:lang w:bidi="ar"/>
              </w:rPr>
              <w:t>经由集成网关加密传输至业务系统，同步复核脱敏标记完整性</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5" w:type="dxa"/>
            <w:left w:w="15" w:type="dxa"/>
            <w:bottom w:w="15" w:type="dxa"/>
            <w:right w:w="15" w:type="dxa"/>
          </w:tblCellMar>
        </w:tblPrEx>
        <w:trPr>
          <w:jc w:val="center"/>
        </w:trPr>
        <w:tc>
          <w:tcPr>
            <w:tcW w:w="445" w:type="pct"/>
            <w:vMerge w:val="restart"/>
            <w:tcMar>
              <w:top w:w="80" w:type="dxa"/>
              <w:left w:w="80" w:type="dxa"/>
              <w:bottom w:w="80" w:type="dxa"/>
              <w:right w:w="80" w:type="dxa"/>
            </w:tcMar>
            <w:vAlign w:val="center"/>
          </w:tcPr>
          <w:p>
            <w:pPr>
              <w:spacing w:line="300" w:lineRule="exact"/>
              <w:ind w:firstLine="0" w:firstLineChars="0"/>
              <w:jc w:val="center"/>
              <w:rPr>
                <w:rFonts w:cs="Times New Roman"/>
                <w:kern w:val="0"/>
                <w:sz w:val="21"/>
                <w:szCs w:val="21"/>
                <w:lang w:bidi="ar"/>
              </w:rPr>
            </w:pPr>
            <w:r>
              <w:rPr>
                <w:rFonts w:cs="Times New Roman"/>
                <w:kern w:val="0"/>
                <w:sz w:val="21"/>
                <w:szCs w:val="21"/>
                <w:lang w:bidi="ar"/>
              </w:rPr>
              <w:t>6</w:t>
            </w:r>
          </w:p>
        </w:tc>
        <w:tc>
          <w:tcPr>
            <w:tcW w:w="764" w:type="pct"/>
            <w:vMerge w:val="restart"/>
            <w:tcMar>
              <w:top w:w="80" w:type="dxa"/>
              <w:left w:w="80" w:type="dxa"/>
              <w:bottom w:w="80" w:type="dxa"/>
              <w:right w:w="80" w:type="dxa"/>
            </w:tcMar>
            <w:vAlign w:val="center"/>
          </w:tcPr>
          <w:p>
            <w:pPr>
              <w:spacing w:line="300" w:lineRule="exact"/>
              <w:ind w:firstLine="0" w:firstLineChars="0"/>
              <w:jc w:val="center"/>
              <w:rPr>
                <w:rFonts w:cs="Times New Roman"/>
                <w:kern w:val="0"/>
                <w:sz w:val="21"/>
                <w:szCs w:val="21"/>
                <w:lang w:bidi="ar"/>
              </w:rPr>
            </w:pPr>
            <w:r>
              <w:rPr>
                <w:rFonts w:cs="Times New Roman"/>
                <w:kern w:val="0"/>
                <w:sz w:val="21"/>
                <w:szCs w:val="21"/>
                <w:lang w:bidi="ar"/>
              </w:rPr>
              <w:t>向量知识库检索Token管控</w:t>
            </w:r>
          </w:p>
        </w:tc>
        <w:tc>
          <w:tcPr>
            <w:tcW w:w="976" w:type="pct"/>
            <w:vMerge w:val="restart"/>
            <w:tcMar>
              <w:top w:w="80" w:type="dxa"/>
              <w:left w:w="80" w:type="dxa"/>
              <w:bottom w:w="80" w:type="dxa"/>
              <w:right w:w="80" w:type="dxa"/>
            </w:tcMar>
            <w:vAlign w:val="center"/>
          </w:tcPr>
          <w:p>
            <w:pPr>
              <w:spacing w:line="300" w:lineRule="exact"/>
              <w:ind w:firstLine="0" w:firstLineChars="0"/>
              <w:jc w:val="left"/>
              <w:rPr>
                <w:rFonts w:hint="eastAsia" w:ascii="方正仿宋_GBK" w:hAnsi="方正仿宋_GBK" w:cs="方正仿宋_GBK"/>
                <w:kern w:val="0"/>
                <w:sz w:val="21"/>
                <w:szCs w:val="21"/>
                <w:lang w:bidi="ar"/>
              </w:rPr>
            </w:pPr>
            <w:r>
              <w:rPr>
                <w:rFonts w:cs="Times New Roman"/>
                <w:kern w:val="0"/>
                <w:sz w:val="21"/>
                <w:szCs w:val="21"/>
                <w:lang w:bidi="ar"/>
              </w:rPr>
              <w:t>MES</w:t>
            </w:r>
            <w:r>
              <w:rPr>
                <w:rFonts w:hint="eastAsia" w:ascii="方正仿宋_GBK" w:hAnsi="方正仿宋_GBK" w:cs="方正仿宋_GBK"/>
                <w:kern w:val="0"/>
                <w:sz w:val="21"/>
                <w:szCs w:val="21"/>
                <w:lang w:bidi="ar"/>
              </w:rPr>
              <w:t>工单、</w:t>
            </w:r>
            <w:r>
              <w:rPr>
                <w:rFonts w:cs="Times New Roman"/>
                <w:kern w:val="0"/>
                <w:sz w:val="21"/>
                <w:szCs w:val="21"/>
                <w:lang w:bidi="ar"/>
              </w:rPr>
              <w:t>SAP</w:t>
            </w:r>
            <w:r>
              <w:rPr>
                <w:rFonts w:hint="eastAsia" w:ascii="方正仿宋_GBK" w:hAnsi="方正仿宋_GBK" w:cs="方正仿宋_GBK"/>
                <w:kern w:val="0"/>
                <w:sz w:val="21"/>
                <w:szCs w:val="21"/>
                <w:lang w:bidi="ar"/>
              </w:rPr>
              <w:t>采购单、</w:t>
            </w:r>
            <w:r>
              <w:rPr>
                <w:rFonts w:cs="Times New Roman"/>
                <w:kern w:val="0"/>
                <w:sz w:val="21"/>
                <w:szCs w:val="21"/>
                <w:lang w:bidi="ar"/>
              </w:rPr>
              <w:t>PLM</w:t>
            </w:r>
            <w:r>
              <w:rPr>
                <w:rFonts w:hint="eastAsia" w:ascii="方正仿宋_GBK" w:hAnsi="方正仿宋_GBK" w:cs="方正仿宋_GBK"/>
                <w:kern w:val="0"/>
                <w:sz w:val="21"/>
                <w:szCs w:val="21"/>
                <w:lang w:bidi="ar"/>
              </w:rPr>
              <w:t>图纸经集成批量向量化；业务系统发起检索生成检索</w:t>
            </w:r>
            <w:r>
              <w:rPr>
                <w:rFonts w:cs="Times New Roman"/>
                <w:kern w:val="0"/>
                <w:sz w:val="21"/>
                <w:szCs w:val="21"/>
                <w:lang w:bidi="ar"/>
              </w:rPr>
              <w:t>Token</w:t>
            </w:r>
          </w:p>
        </w:tc>
        <w:tc>
          <w:tcPr>
            <w:tcW w:w="911" w:type="pct"/>
            <w:tcMar>
              <w:top w:w="80" w:type="dxa"/>
              <w:left w:w="80" w:type="dxa"/>
              <w:bottom w:w="80" w:type="dxa"/>
              <w:right w:w="80" w:type="dxa"/>
            </w:tcMar>
            <w:vAlign w:val="center"/>
          </w:tcPr>
          <w:p>
            <w:pPr>
              <w:spacing w:line="300" w:lineRule="exact"/>
              <w:ind w:firstLine="0" w:firstLineChars="0"/>
              <w:jc w:val="left"/>
              <w:rPr>
                <w:rFonts w:hint="eastAsia" w:ascii="方正仿宋_GBK" w:hAnsi="方正仿宋_GBK" w:cs="方正仿宋_GBK"/>
                <w:kern w:val="0"/>
                <w:sz w:val="21"/>
                <w:szCs w:val="21"/>
                <w:lang w:bidi="ar"/>
              </w:rPr>
            </w:pPr>
            <w:r>
              <w:rPr>
                <w:rFonts w:hint="eastAsia" w:ascii="方正仿宋_GBK" w:hAnsi="方正仿宋_GBK" w:cs="方正仿宋_GBK"/>
                <w:kern w:val="0"/>
                <w:sz w:val="21"/>
                <w:szCs w:val="21"/>
                <w:lang w:bidi="ar"/>
              </w:rPr>
              <w:t>检索输入脱敏</w:t>
            </w:r>
          </w:p>
        </w:tc>
        <w:tc>
          <w:tcPr>
            <w:tcW w:w="1901" w:type="pct"/>
            <w:tcMar>
              <w:top w:w="80" w:type="dxa"/>
              <w:left w:w="80" w:type="dxa"/>
              <w:bottom w:w="80" w:type="dxa"/>
              <w:right w:w="80" w:type="dxa"/>
            </w:tcMar>
            <w:vAlign w:val="center"/>
          </w:tcPr>
          <w:p>
            <w:pPr>
              <w:spacing w:line="300" w:lineRule="exact"/>
              <w:ind w:firstLine="0" w:firstLineChars="0"/>
              <w:jc w:val="left"/>
              <w:rPr>
                <w:rFonts w:hint="eastAsia" w:ascii="方正仿宋_GBK" w:hAnsi="方正仿宋_GBK" w:cs="方正仿宋_GBK"/>
                <w:kern w:val="0"/>
                <w:sz w:val="21"/>
                <w:szCs w:val="21"/>
                <w:lang w:bidi="ar"/>
              </w:rPr>
            </w:pPr>
            <w:r>
              <w:rPr>
                <w:rFonts w:cs="Times New Roman"/>
                <w:kern w:val="0"/>
                <w:sz w:val="21"/>
                <w:szCs w:val="21"/>
                <w:lang w:bidi="ar"/>
              </w:rPr>
              <w:t>SAP</w:t>
            </w:r>
            <w:r>
              <w:rPr>
                <w:rFonts w:hint="eastAsia" w:ascii="方正仿宋_GBK" w:hAnsi="方正仿宋_GBK" w:cs="方正仿宋_GBK"/>
                <w:kern w:val="0"/>
                <w:sz w:val="21"/>
                <w:szCs w:val="21"/>
                <w:lang w:bidi="ar"/>
              </w:rPr>
              <w:t>/</w:t>
            </w:r>
            <w:r>
              <w:rPr>
                <w:rFonts w:cs="Times New Roman"/>
                <w:kern w:val="0"/>
                <w:sz w:val="21"/>
                <w:szCs w:val="21"/>
                <w:lang w:bidi="ar"/>
              </w:rPr>
              <w:t>MES</w:t>
            </w:r>
            <w:r>
              <w:rPr>
                <w:rFonts w:hint="eastAsia" w:ascii="方正仿宋_GBK" w:hAnsi="方正仿宋_GBK" w:cs="方正仿宋_GBK"/>
                <w:kern w:val="0"/>
                <w:sz w:val="21"/>
                <w:szCs w:val="21"/>
                <w:lang w:bidi="ar"/>
              </w:rPr>
              <w:t>发起检索时，检索关键词仅使用脱敏摘要，禁止传入完整批次、成本主键</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5" w:type="dxa"/>
            <w:left w:w="15" w:type="dxa"/>
            <w:bottom w:w="15" w:type="dxa"/>
            <w:right w:w="15" w:type="dxa"/>
          </w:tblCellMar>
        </w:tblPrEx>
        <w:trPr>
          <w:jc w:val="center"/>
        </w:trPr>
        <w:tc>
          <w:tcPr>
            <w:tcW w:w="445" w:type="pct"/>
            <w:vMerge w:val="continue"/>
            <w:tcMar>
              <w:top w:w="80" w:type="dxa"/>
              <w:left w:w="80" w:type="dxa"/>
              <w:bottom w:w="80" w:type="dxa"/>
              <w:right w:w="80" w:type="dxa"/>
            </w:tcMar>
            <w:vAlign w:val="center"/>
          </w:tcPr>
          <w:p>
            <w:pPr>
              <w:spacing w:line="300" w:lineRule="exact"/>
              <w:ind w:firstLine="420"/>
              <w:jc w:val="center"/>
              <w:rPr>
                <w:rFonts w:cs="Times New Roman"/>
                <w:kern w:val="0"/>
                <w:sz w:val="21"/>
                <w:szCs w:val="21"/>
                <w:lang w:bidi="ar"/>
              </w:rPr>
            </w:pPr>
          </w:p>
        </w:tc>
        <w:tc>
          <w:tcPr>
            <w:tcW w:w="764" w:type="pct"/>
            <w:vMerge w:val="continue"/>
            <w:tcMar>
              <w:top w:w="80" w:type="dxa"/>
              <w:left w:w="80" w:type="dxa"/>
              <w:bottom w:w="80" w:type="dxa"/>
              <w:right w:w="80" w:type="dxa"/>
            </w:tcMar>
            <w:vAlign w:val="center"/>
          </w:tcPr>
          <w:p>
            <w:pPr>
              <w:spacing w:line="300" w:lineRule="exact"/>
              <w:ind w:firstLine="420"/>
              <w:jc w:val="center"/>
              <w:rPr>
                <w:rFonts w:cs="Times New Roman"/>
                <w:kern w:val="0"/>
                <w:sz w:val="21"/>
                <w:szCs w:val="21"/>
                <w:lang w:bidi="ar"/>
              </w:rPr>
            </w:pPr>
          </w:p>
        </w:tc>
        <w:tc>
          <w:tcPr>
            <w:tcW w:w="976" w:type="pct"/>
            <w:vMerge w:val="continue"/>
            <w:tcMar>
              <w:top w:w="80" w:type="dxa"/>
              <w:left w:w="80" w:type="dxa"/>
              <w:bottom w:w="80" w:type="dxa"/>
              <w:right w:w="80" w:type="dxa"/>
            </w:tcMar>
            <w:vAlign w:val="center"/>
          </w:tcPr>
          <w:p>
            <w:pPr>
              <w:spacing w:line="300" w:lineRule="exact"/>
              <w:ind w:firstLine="420"/>
              <w:jc w:val="left"/>
              <w:rPr>
                <w:rFonts w:hint="eastAsia" w:ascii="方正仿宋_GBK" w:hAnsi="方正仿宋_GBK" w:cs="方正仿宋_GBK"/>
                <w:kern w:val="0"/>
                <w:sz w:val="21"/>
                <w:szCs w:val="21"/>
                <w:lang w:bidi="ar"/>
              </w:rPr>
            </w:pPr>
          </w:p>
        </w:tc>
        <w:tc>
          <w:tcPr>
            <w:tcW w:w="911" w:type="pct"/>
            <w:tcMar>
              <w:top w:w="80" w:type="dxa"/>
              <w:left w:w="80" w:type="dxa"/>
              <w:bottom w:w="80" w:type="dxa"/>
              <w:right w:w="80" w:type="dxa"/>
            </w:tcMar>
            <w:vAlign w:val="center"/>
          </w:tcPr>
          <w:p>
            <w:pPr>
              <w:spacing w:line="300" w:lineRule="exact"/>
              <w:ind w:firstLine="0" w:firstLineChars="0"/>
              <w:jc w:val="left"/>
              <w:rPr>
                <w:rFonts w:hint="eastAsia" w:ascii="方正仿宋_GBK" w:hAnsi="方正仿宋_GBK" w:cs="方正仿宋_GBK"/>
                <w:kern w:val="0"/>
                <w:sz w:val="21"/>
                <w:szCs w:val="21"/>
                <w:lang w:bidi="ar"/>
              </w:rPr>
            </w:pPr>
            <w:r>
              <w:rPr>
                <w:rFonts w:hint="eastAsia" w:ascii="方正仿宋_GBK" w:hAnsi="方正仿宋_GBK" w:cs="方正仿宋_GBK"/>
                <w:kern w:val="0"/>
                <w:sz w:val="21"/>
                <w:szCs w:val="21"/>
                <w:lang w:bidi="ar"/>
              </w:rPr>
              <w:t>向量特征遮蔽</w:t>
            </w:r>
          </w:p>
        </w:tc>
        <w:tc>
          <w:tcPr>
            <w:tcW w:w="1901" w:type="pct"/>
            <w:tcMar>
              <w:top w:w="80" w:type="dxa"/>
              <w:left w:w="80" w:type="dxa"/>
              <w:bottom w:w="80" w:type="dxa"/>
              <w:right w:w="80" w:type="dxa"/>
            </w:tcMar>
            <w:vAlign w:val="center"/>
          </w:tcPr>
          <w:p>
            <w:pPr>
              <w:spacing w:line="300" w:lineRule="exact"/>
              <w:ind w:firstLine="0" w:firstLineChars="0"/>
              <w:jc w:val="left"/>
              <w:rPr>
                <w:rFonts w:hint="eastAsia" w:ascii="方正仿宋_GBK" w:hAnsi="方正仿宋_GBK" w:cs="方正仿宋_GBK"/>
                <w:kern w:val="0"/>
                <w:sz w:val="21"/>
                <w:szCs w:val="21"/>
                <w:lang w:bidi="ar"/>
              </w:rPr>
            </w:pPr>
            <w:r>
              <w:rPr>
                <w:rFonts w:hint="eastAsia" w:ascii="方正仿宋_GBK" w:hAnsi="方正仿宋_GBK" w:cs="方正仿宋_GBK"/>
                <w:kern w:val="0"/>
                <w:sz w:val="21"/>
                <w:szCs w:val="21"/>
                <w:lang w:bidi="ar"/>
              </w:rPr>
              <w:t>图纸、工艺文档向量化时对核心结构、配方特征做扰动遮蔽，避免逆向还原</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5" w:type="dxa"/>
            <w:left w:w="15" w:type="dxa"/>
            <w:bottom w:w="15" w:type="dxa"/>
            <w:right w:w="15" w:type="dxa"/>
          </w:tblCellMar>
        </w:tblPrEx>
        <w:trPr>
          <w:jc w:val="center"/>
        </w:trPr>
        <w:tc>
          <w:tcPr>
            <w:tcW w:w="445" w:type="pct"/>
            <w:vMerge w:val="continue"/>
            <w:tcMar>
              <w:top w:w="80" w:type="dxa"/>
              <w:left w:w="80" w:type="dxa"/>
              <w:bottom w:w="80" w:type="dxa"/>
              <w:right w:w="80" w:type="dxa"/>
            </w:tcMar>
            <w:vAlign w:val="center"/>
          </w:tcPr>
          <w:p>
            <w:pPr>
              <w:spacing w:line="300" w:lineRule="exact"/>
              <w:ind w:firstLine="420"/>
              <w:jc w:val="center"/>
              <w:rPr>
                <w:rFonts w:cs="Times New Roman"/>
                <w:kern w:val="0"/>
                <w:sz w:val="21"/>
                <w:szCs w:val="21"/>
                <w:lang w:bidi="ar"/>
              </w:rPr>
            </w:pPr>
          </w:p>
        </w:tc>
        <w:tc>
          <w:tcPr>
            <w:tcW w:w="764" w:type="pct"/>
            <w:vMerge w:val="continue"/>
            <w:tcMar>
              <w:top w:w="80" w:type="dxa"/>
              <w:left w:w="80" w:type="dxa"/>
              <w:bottom w:w="80" w:type="dxa"/>
              <w:right w:w="80" w:type="dxa"/>
            </w:tcMar>
            <w:vAlign w:val="center"/>
          </w:tcPr>
          <w:p>
            <w:pPr>
              <w:spacing w:line="300" w:lineRule="exact"/>
              <w:ind w:firstLine="420"/>
              <w:jc w:val="center"/>
              <w:rPr>
                <w:rFonts w:cs="Times New Roman"/>
                <w:kern w:val="0"/>
                <w:sz w:val="21"/>
                <w:szCs w:val="21"/>
                <w:lang w:bidi="ar"/>
              </w:rPr>
            </w:pPr>
          </w:p>
        </w:tc>
        <w:tc>
          <w:tcPr>
            <w:tcW w:w="976" w:type="pct"/>
            <w:vMerge w:val="continue"/>
            <w:tcMar>
              <w:top w:w="80" w:type="dxa"/>
              <w:left w:w="80" w:type="dxa"/>
              <w:bottom w:w="80" w:type="dxa"/>
              <w:right w:w="80" w:type="dxa"/>
            </w:tcMar>
            <w:vAlign w:val="center"/>
          </w:tcPr>
          <w:p>
            <w:pPr>
              <w:spacing w:line="300" w:lineRule="exact"/>
              <w:ind w:firstLine="420"/>
              <w:jc w:val="left"/>
              <w:rPr>
                <w:rFonts w:hint="eastAsia" w:ascii="方正仿宋_GBK" w:hAnsi="方正仿宋_GBK" w:cs="方正仿宋_GBK"/>
                <w:kern w:val="0"/>
                <w:sz w:val="21"/>
                <w:szCs w:val="21"/>
                <w:lang w:bidi="ar"/>
              </w:rPr>
            </w:pPr>
          </w:p>
        </w:tc>
        <w:tc>
          <w:tcPr>
            <w:tcW w:w="911" w:type="pct"/>
            <w:tcMar>
              <w:top w:w="80" w:type="dxa"/>
              <w:left w:w="80" w:type="dxa"/>
              <w:bottom w:w="80" w:type="dxa"/>
              <w:right w:w="80" w:type="dxa"/>
            </w:tcMar>
            <w:vAlign w:val="center"/>
          </w:tcPr>
          <w:p>
            <w:pPr>
              <w:spacing w:line="300" w:lineRule="exact"/>
              <w:ind w:firstLine="0" w:firstLineChars="0"/>
              <w:jc w:val="left"/>
              <w:rPr>
                <w:rFonts w:hint="eastAsia" w:ascii="方正仿宋_GBK" w:hAnsi="方正仿宋_GBK" w:cs="方正仿宋_GBK"/>
                <w:kern w:val="0"/>
                <w:sz w:val="21"/>
                <w:szCs w:val="21"/>
                <w:lang w:bidi="ar"/>
              </w:rPr>
            </w:pPr>
            <w:r>
              <w:rPr>
                <w:rFonts w:hint="eastAsia" w:ascii="方正仿宋_GBK" w:hAnsi="方正仿宋_GBK" w:cs="方正仿宋_GBK"/>
                <w:kern w:val="0"/>
                <w:sz w:val="21"/>
                <w:szCs w:val="21"/>
                <w:lang w:bidi="ar"/>
              </w:rPr>
              <w:t>召回结果裁剪</w:t>
            </w:r>
          </w:p>
        </w:tc>
        <w:tc>
          <w:tcPr>
            <w:tcW w:w="1901" w:type="pct"/>
            <w:tcMar>
              <w:top w:w="80" w:type="dxa"/>
              <w:left w:w="80" w:type="dxa"/>
              <w:bottom w:w="80" w:type="dxa"/>
              <w:right w:w="80" w:type="dxa"/>
            </w:tcMar>
            <w:vAlign w:val="center"/>
          </w:tcPr>
          <w:p>
            <w:pPr>
              <w:spacing w:line="300" w:lineRule="exact"/>
              <w:ind w:firstLine="0" w:firstLineChars="0"/>
              <w:jc w:val="left"/>
              <w:rPr>
                <w:rFonts w:hint="eastAsia" w:ascii="方正仿宋_GBK" w:hAnsi="方正仿宋_GBK" w:cs="方正仿宋_GBK"/>
                <w:kern w:val="0"/>
                <w:sz w:val="21"/>
                <w:szCs w:val="21"/>
                <w:lang w:bidi="ar"/>
              </w:rPr>
            </w:pPr>
            <w:r>
              <w:rPr>
                <w:rFonts w:hint="eastAsia" w:ascii="方正仿宋_GBK" w:hAnsi="方正仿宋_GBK" w:cs="方正仿宋_GBK"/>
                <w:kern w:val="0"/>
                <w:sz w:val="21"/>
                <w:szCs w:val="21"/>
                <w:lang w:bidi="ar"/>
              </w:rPr>
              <w:t>知识库匹配返回文本</w:t>
            </w:r>
            <w:r>
              <w:rPr>
                <w:rFonts w:cs="Times New Roman"/>
                <w:kern w:val="0"/>
                <w:sz w:val="21"/>
                <w:szCs w:val="21"/>
                <w:lang w:bidi="ar"/>
              </w:rPr>
              <w:t>Token</w:t>
            </w:r>
            <w:r>
              <w:rPr>
                <w:rFonts w:hint="eastAsia" w:ascii="方正仿宋_GBK" w:hAnsi="方正仿宋_GBK" w:cs="方正仿宋_GBK"/>
                <w:kern w:val="0"/>
                <w:sz w:val="21"/>
                <w:szCs w:val="21"/>
                <w:lang w:bidi="ar"/>
              </w:rPr>
              <w:t>自动剔除涉密段落，仅脱敏摘要下发集成接口</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5" w:type="dxa"/>
            <w:left w:w="15" w:type="dxa"/>
            <w:bottom w:w="15" w:type="dxa"/>
            <w:right w:w="15" w:type="dxa"/>
          </w:tblCellMar>
        </w:tblPrEx>
        <w:trPr>
          <w:jc w:val="center"/>
        </w:trPr>
        <w:tc>
          <w:tcPr>
            <w:tcW w:w="445" w:type="pct"/>
            <w:vMerge w:val="continue"/>
            <w:tcMar>
              <w:top w:w="80" w:type="dxa"/>
              <w:left w:w="80" w:type="dxa"/>
              <w:bottom w:w="80" w:type="dxa"/>
              <w:right w:w="80" w:type="dxa"/>
            </w:tcMar>
            <w:vAlign w:val="center"/>
          </w:tcPr>
          <w:p>
            <w:pPr>
              <w:spacing w:line="300" w:lineRule="exact"/>
              <w:ind w:firstLine="420"/>
              <w:jc w:val="center"/>
              <w:rPr>
                <w:rFonts w:cs="Times New Roman"/>
                <w:kern w:val="0"/>
                <w:sz w:val="21"/>
                <w:szCs w:val="21"/>
                <w:lang w:bidi="ar"/>
              </w:rPr>
            </w:pPr>
          </w:p>
        </w:tc>
        <w:tc>
          <w:tcPr>
            <w:tcW w:w="764" w:type="pct"/>
            <w:vMerge w:val="continue"/>
            <w:tcMar>
              <w:top w:w="80" w:type="dxa"/>
              <w:left w:w="80" w:type="dxa"/>
              <w:bottom w:w="80" w:type="dxa"/>
              <w:right w:w="80" w:type="dxa"/>
            </w:tcMar>
            <w:vAlign w:val="center"/>
          </w:tcPr>
          <w:p>
            <w:pPr>
              <w:spacing w:line="300" w:lineRule="exact"/>
              <w:ind w:firstLine="420"/>
              <w:jc w:val="center"/>
              <w:rPr>
                <w:rFonts w:cs="Times New Roman"/>
                <w:kern w:val="0"/>
                <w:sz w:val="21"/>
                <w:szCs w:val="21"/>
                <w:lang w:bidi="ar"/>
              </w:rPr>
            </w:pPr>
          </w:p>
        </w:tc>
        <w:tc>
          <w:tcPr>
            <w:tcW w:w="976" w:type="pct"/>
            <w:vMerge w:val="continue"/>
            <w:tcMar>
              <w:top w:w="80" w:type="dxa"/>
              <w:left w:w="80" w:type="dxa"/>
              <w:bottom w:w="80" w:type="dxa"/>
              <w:right w:w="80" w:type="dxa"/>
            </w:tcMar>
            <w:vAlign w:val="center"/>
          </w:tcPr>
          <w:p>
            <w:pPr>
              <w:spacing w:line="300" w:lineRule="exact"/>
              <w:ind w:firstLine="420"/>
              <w:jc w:val="left"/>
              <w:rPr>
                <w:rFonts w:hint="eastAsia" w:ascii="方正仿宋_GBK" w:hAnsi="方正仿宋_GBK" w:cs="方正仿宋_GBK"/>
                <w:kern w:val="0"/>
                <w:sz w:val="21"/>
                <w:szCs w:val="21"/>
                <w:lang w:bidi="ar"/>
              </w:rPr>
            </w:pPr>
          </w:p>
        </w:tc>
        <w:tc>
          <w:tcPr>
            <w:tcW w:w="911" w:type="pct"/>
            <w:tcMar>
              <w:top w:w="80" w:type="dxa"/>
              <w:left w:w="80" w:type="dxa"/>
              <w:bottom w:w="80" w:type="dxa"/>
              <w:right w:w="80" w:type="dxa"/>
            </w:tcMar>
            <w:vAlign w:val="center"/>
          </w:tcPr>
          <w:p>
            <w:pPr>
              <w:spacing w:line="300" w:lineRule="exact"/>
              <w:ind w:firstLine="0" w:firstLineChars="0"/>
              <w:jc w:val="left"/>
              <w:rPr>
                <w:rFonts w:hint="eastAsia" w:ascii="方正仿宋_GBK" w:hAnsi="方正仿宋_GBK" w:cs="方正仿宋_GBK"/>
                <w:kern w:val="0"/>
                <w:sz w:val="21"/>
                <w:szCs w:val="21"/>
                <w:lang w:bidi="ar"/>
              </w:rPr>
            </w:pPr>
            <w:r>
              <w:rPr>
                <w:rFonts w:hint="eastAsia" w:ascii="方正仿宋_GBK" w:hAnsi="方正仿宋_GBK" w:cs="方正仿宋_GBK"/>
                <w:kern w:val="0"/>
                <w:sz w:val="21"/>
                <w:szCs w:val="21"/>
                <w:lang w:bidi="ar"/>
              </w:rPr>
              <w:t>知识库分库隔离</w:t>
            </w:r>
          </w:p>
        </w:tc>
        <w:tc>
          <w:tcPr>
            <w:tcW w:w="1901" w:type="pct"/>
            <w:tcMar>
              <w:top w:w="80" w:type="dxa"/>
              <w:left w:w="80" w:type="dxa"/>
              <w:bottom w:w="80" w:type="dxa"/>
              <w:right w:w="80" w:type="dxa"/>
            </w:tcMar>
            <w:vAlign w:val="center"/>
          </w:tcPr>
          <w:p>
            <w:pPr>
              <w:spacing w:line="300" w:lineRule="exact"/>
              <w:ind w:firstLine="0" w:firstLineChars="0"/>
              <w:jc w:val="left"/>
              <w:rPr>
                <w:rFonts w:hint="eastAsia" w:ascii="方正仿宋_GBK" w:hAnsi="方正仿宋_GBK" w:cs="方正仿宋_GBK"/>
                <w:kern w:val="0"/>
                <w:sz w:val="21"/>
                <w:szCs w:val="21"/>
                <w:lang w:bidi="ar"/>
              </w:rPr>
            </w:pPr>
            <w:r>
              <w:rPr>
                <w:rFonts w:hint="eastAsia" w:ascii="方正仿宋_GBK" w:hAnsi="方正仿宋_GBK" w:cs="方正仿宋_GBK"/>
                <w:kern w:val="0"/>
                <w:sz w:val="21"/>
                <w:szCs w:val="21"/>
                <w:lang w:bidi="ar"/>
              </w:rPr>
              <w:t>生产工艺、财务经营向量库对接独立集成接口，跨库检索强制脱敏复核</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5" w:type="dxa"/>
            <w:left w:w="15" w:type="dxa"/>
            <w:bottom w:w="15" w:type="dxa"/>
            <w:right w:w="15" w:type="dxa"/>
          </w:tblCellMar>
        </w:tblPrEx>
        <w:trPr>
          <w:jc w:val="center"/>
        </w:trPr>
        <w:tc>
          <w:tcPr>
            <w:tcW w:w="445" w:type="pct"/>
            <w:vMerge w:val="restart"/>
            <w:tcMar>
              <w:top w:w="80" w:type="dxa"/>
              <w:left w:w="80" w:type="dxa"/>
              <w:bottom w:w="80" w:type="dxa"/>
              <w:right w:w="80" w:type="dxa"/>
            </w:tcMar>
            <w:vAlign w:val="center"/>
          </w:tcPr>
          <w:p>
            <w:pPr>
              <w:spacing w:line="300" w:lineRule="exact"/>
              <w:ind w:firstLine="0" w:firstLineChars="0"/>
              <w:jc w:val="center"/>
              <w:rPr>
                <w:rFonts w:cs="Times New Roman"/>
                <w:kern w:val="0"/>
                <w:sz w:val="21"/>
                <w:szCs w:val="21"/>
                <w:lang w:bidi="ar"/>
              </w:rPr>
            </w:pPr>
            <w:r>
              <w:rPr>
                <w:rFonts w:cs="Times New Roman"/>
                <w:kern w:val="0"/>
                <w:sz w:val="21"/>
                <w:szCs w:val="21"/>
                <w:lang w:bidi="ar"/>
              </w:rPr>
              <w:t>7</w:t>
            </w:r>
          </w:p>
        </w:tc>
        <w:tc>
          <w:tcPr>
            <w:tcW w:w="764" w:type="pct"/>
            <w:vMerge w:val="restart"/>
            <w:tcMar>
              <w:top w:w="80" w:type="dxa"/>
              <w:left w:w="80" w:type="dxa"/>
              <w:bottom w:w="80" w:type="dxa"/>
              <w:right w:w="80" w:type="dxa"/>
            </w:tcMar>
            <w:vAlign w:val="center"/>
          </w:tcPr>
          <w:p>
            <w:pPr>
              <w:spacing w:line="300" w:lineRule="exact"/>
              <w:ind w:firstLine="0" w:firstLineChars="0"/>
              <w:jc w:val="center"/>
              <w:rPr>
                <w:rFonts w:cs="Times New Roman"/>
                <w:kern w:val="0"/>
                <w:sz w:val="21"/>
                <w:szCs w:val="21"/>
                <w:lang w:bidi="ar"/>
              </w:rPr>
            </w:pPr>
            <w:r>
              <w:rPr>
                <w:rFonts w:cs="Times New Roman"/>
                <w:kern w:val="0"/>
                <w:sz w:val="21"/>
                <w:szCs w:val="21"/>
                <w:lang w:bidi="ar"/>
              </w:rPr>
              <w:t>智能体会话Token管控</w:t>
            </w:r>
          </w:p>
        </w:tc>
        <w:tc>
          <w:tcPr>
            <w:tcW w:w="976" w:type="pct"/>
            <w:vMerge w:val="restart"/>
            <w:tcMar>
              <w:top w:w="80" w:type="dxa"/>
              <w:left w:w="80" w:type="dxa"/>
              <w:bottom w:w="80" w:type="dxa"/>
              <w:right w:w="80" w:type="dxa"/>
            </w:tcMar>
            <w:vAlign w:val="center"/>
          </w:tcPr>
          <w:p>
            <w:pPr>
              <w:spacing w:line="300" w:lineRule="exact"/>
              <w:ind w:firstLine="0" w:firstLineChars="0"/>
              <w:jc w:val="left"/>
              <w:rPr>
                <w:rFonts w:hint="eastAsia" w:ascii="方正仿宋_GBK" w:hAnsi="方正仿宋_GBK" w:cs="方正仿宋_GBK"/>
                <w:kern w:val="0"/>
                <w:sz w:val="21"/>
                <w:szCs w:val="21"/>
                <w:lang w:bidi="ar"/>
              </w:rPr>
            </w:pPr>
            <w:r>
              <w:rPr>
                <w:rFonts w:hint="eastAsia" w:ascii="方正仿宋_GBK" w:hAnsi="方正仿宋_GBK" w:cs="方正仿宋_GBK"/>
                <w:kern w:val="0"/>
                <w:sz w:val="21"/>
                <w:szCs w:val="21"/>
                <w:lang w:bidi="ar"/>
              </w:rPr>
              <w:t>智能体串联多套工业系统集成，分步调用</w:t>
            </w:r>
            <w:r>
              <w:rPr>
                <w:rFonts w:cs="Times New Roman"/>
                <w:kern w:val="0"/>
                <w:sz w:val="21"/>
                <w:szCs w:val="21"/>
                <w:lang w:bidi="ar"/>
              </w:rPr>
              <w:t>SAP</w:t>
            </w:r>
            <w:r>
              <w:rPr>
                <w:rFonts w:hint="eastAsia" w:ascii="方正仿宋_GBK" w:hAnsi="方正仿宋_GBK" w:cs="方正仿宋_GBK"/>
                <w:kern w:val="0"/>
                <w:sz w:val="21"/>
                <w:szCs w:val="21"/>
                <w:lang w:bidi="ar"/>
              </w:rPr>
              <w:t>/</w:t>
            </w:r>
            <w:r>
              <w:rPr>
                <w:rFonts w:cs="Times New Roman"/>
                <w:kern w:val="0"/>
                <w:sz w:val="21"/>
                <w:szCs w:val="21"/>
                <w:lang w:bidi="ar"/>
              </w:rPr>
              <w:t>MES</w:t>
            </w:r>
            <w:r>
              <w:rPr>
                <w:rFonts w:hint="eastAsia" w:ascii="方正仿宋_GBK" w:hAnsi="方正仿宋_GBK" w:cs="方正仿宋_GBK"/>
                <w:kern w:val="0"/>
                <w:sz w:val="21"/>
                <w:szCs w:val="21"/>
                <w:lang w:bidi="ar"/>
              </w:rPr>
              <w:t>，会话缓存交互</w:t>
            </w:r>
            <w:r>
              <w:rPr>
                <w:rFonts w:cs="Times New Roman"/>
                <w:kern w:val="0"/>
                <w:sz w:val="21"/>
                <w:szCs w:val="21"/>
                <w:lang w:bidi="ar"/>
              </w:rPr>
              <w:t>Token</w:t>
            </w:r>
          </w:p>
        </w:tc>
        <w:tc>
          <w:tcPr>
            <w:tcW w:w="911" w:type="pct"/>
            <w:tcMar>
              <w:top w:w="80" w:type="dxa"/>
              <w:left w:w="80" w:type="dxa"/>
              <w:bottom w:w="80" w:type="dxa"/>
              <w:right w:w="80" w:type="dxa"/>
            </w:tcMar>
            <w:vAlign w:val="center"/>
          </w:tcPr>
          <w:p>
            <w:pPr>
              <w:spacing w:line="300" w:lineRule="exact"/>
              <w:ind w:firstLine="0" w:firstLineChars="0"/>
              <w:jc w:val="left"/>
              <w:rPr>
                <w:rFonts w:hint="eastAsia" w:ascii="方正仿宋_GBK" w:hAnsi="方正仿宋_GBK" w:cs="方正仿宋_GBK"/>
                <w:kern w:val="0"/>
                <w:sz w:val="21"/>
                <w:szCs w:val="21"/>
                <w:lang w:bidi="ar"/>
              </w:rPr>
            </w:pPr>
            <w:r>
              <w:rPr>
                <w:rFonts w:hint="eastAsia" w:ascii="方正仿宋_GBK" w:hAnsi="方正仿宋_GBK" w:cs="方正仿宋_GBK"/>
                <w:kern w:val="0"/>
                <w:sz w:val="21"/>
                <w:szCs w:val="21"/>
                <w:lang w:bidi="ar"/>
              </w:rPr>
              <w:t>多系统会话隔离</w:t>
            </w:r>
          </w:p>
        </w:tc>
        <w:tc>
          <w:tcPr>
            <w:tcW w:w="1901" w:type="pct"/>
            <w:tcMar>
              <w:top w:w="80" w:type="dxa"/>
              <w:left w:w="80" w:type="dxa"/>
              <w:bottom w:w="80" w:type="dxa"/>
              <w:right w:w="80" w:type="dxa"/>
            </w:tcMar>
            <w:vAlign w:val="center"/>
          </w:tcPr>
          <w:p>
            <w:pPr>
              <w:spacing w:line="300" w:lineRule="exact"/>
              <w:ind w:firstLine="0" w:firstLineChars="0"/>
              <w:jc w:val="left"/>
              <w:rPr>
                <w:rFonts w:hint="eastAsia" w:ascii="方正仿宋_GBK" w:hAnsi="方正仿宋_GBK" w:cs="方正仿宋_GBK"/>
                <w:kern w:val="0"/>
                <w:sz w:val="21"/>
                <w:szCs w:val="21"/>
                <w:lang w:bidi="ar"/>
              </w:rPr>
            </w:pPr>
            <w:r>
              <w:rPr>
                <w:rFonts w:hint="eastAsia" w:ascii="方正仿宋_GBK" w:hAnsi="方正仿宋_GBK" w:cs="方正仿宋_GBK"/>
                <w:kern w:val="0"/>
                <w:sz w:val="21"/>
                <w:szCs w:val="21"/>
                <w:lang w:bidi="ar"/>
              </w:rPr>
              <w:t>运维</w:t>
            </w:r>
            <w:r>
              <w:rPr>
                <w:rFonts w:hint="eastAsia" w:ascii="方正仿宋_GBK" w:hAnsi="方正仿宋_GBK" w:cs="方正仿宋_GBK"/>
                <w:kern w:val="0"/>
                <w:sz w:val="21"/>
                <w:szCs w:val="21"/>
                <w:lang w:eastAsia="zh-CN" w:bidi="ar"/>
              </w:rPr>
              <w:t>（</w:t>
            </w:r>
            <w:r>
              <w:rPr>
                <w:rFonts w:cs="Times New Roman"/>
                <w:kern w:val="0"/>
                <w:sz w:val="21"/>
                <w:szCs w:val="21"/>
                <w:lang w:bidi="ar"/>
              </w:rPr>
              <w:t>MES</w:t>
            </w:r>
            <w:r>
              <w:rPr>
                <w:rFonts w:hint="eastAsia" w:ascii="方正仿宋_GBK" w:hAnsi="方正仿宋_GBK" w:cs="方正仿宋_GBK"/>
                <w:kern w:val="0"/>
                <w:sz w:val="21"/>
                <w:szCs w:val="21"/>
                <w:lang w:eastAsia="zh-CN" w:bidi="ar"/>
              </w:rPr>
              <w:t>）</w:t>
            </w:r>
            <w:r>
              <w:rPr>
                <w:rFonts w:hint="eastAsia" w:ascii="方正仿宋_GBK" w:hAnsi="方正仿宋_GBK" w:cs="方正仿宋_GBK"/>
                <w:kern w:val="0"/>
                <w:sz w:val="21"/>
                <w:szCs w:val="21"/>
                <w:lang w:bidi="ar"/>
              </w:rPr>
              <w:t>、经营</w:t>
            </w:r>
            <w:r>
              <w:rPr>
                <w:rFonts w:hint="eastAsia" w:ascii="方正仿宋_GBK" w:hAnsi="方正仿宋_GBK" w:cs="方正仿宋_GBK"/>
                <w:kern w:val="0"/>
                <w:sz w:val="21"/>
                <w:szCs w:val="21"/>
                <w:lang w:eastAsia="zh-CN" w:bidi="ar"/>
              </w:rPr>
              <w:t>（</w:t>
            </w:r>
            <w:r>
              <w:rPr>
                <w:rFonts w:cs="Times New Roman"/>
                <w:kern w:val="0"/>
                <w:sz w:val="21"/>
                <w:szCs w:val="21"/>
                <w:lang w:bidi="ar"/>
              </w:rPr>
              <w:t>SAP</w:t>
            </w:r>
            <w:r>
              <w:rPr>
                <w:rFonts w:hint="eastAsia" w:ascii="方正仿宋_GBK" w:hAnsi="方正仿宋_GBK" w:cs="方正仿宋_GBK"/>
                <w:kern w:val="0"/>
                <w:sz w:val="21"/>
                <w:szCs w:val="21"/>
                <w:lang w:eastAsia="zh-CN" w:bidi="ar"/>
              </w:rPr>
              <w:t>）</w:t>
            </w:r>
            <w:r>
              <w:rPr>
                <w:rFonts w:hint="eastAsia" w:ascii="方正仿宋_GBK" w:hAnsi="方正仿宋_GBK" w:cs="方正仿宋_GBK"/>
                <w:kern w:val="0"/>
                <w:sz w:val="21"/>
                <w:szCs w:val="21"/>
                <w:lang w:bidi="ar"/>
              </w:rPr>
              <w:t>智能体会话</w:t>
            </w:r>
            <w:r>
              <w:rPr>
                <w:rFonts w:cs="Times New Roman"/>
                <w:kern w:val="0"/>
                <w:sz w:val="21"/>
                <w:szCs w:val="21"/>
                <w:lang w:bidi="ar"/>
              </w:rPr>
              <w:t>Token</w:t>
            </w:r>
            <w:r>
              <w:rPr>
                <w:rFonts w:hint="eastAsia" w:ascii="方正仿宋_GBK" w:hAnsi="方正仿宋_GBK" w:cs="方正仿宋_GBK"/>
                <w:kern w:val="0"/>
                <w:sz w:val="21"/>
                <w:szCs w:val="21"/>
                <w:lang w:bidi="ar"/>
              </w:rPr>
              <w:t>相互独立，不可互通复用</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5" w:type="dxa"/>
            <w:left w:w="15" w:type="dxa"/>
            <w:bottom w:w="15" w:type="dxa"/>
            <w:right w:w="15" w:type="dxa"/>
          </w:tblCellMar>
        </w:tblPrEx>
        <w:trPr>
          <w:jc w:val="center"/>
        </w:trPr>
        <w:tc>
          <w:tcPr>
            <w:tcW w:w="445" w:type="pct"/>
            <w:vMerge w:val="continue"/>
            <w:tcMar>
              <w:top w:w="80" w:type="dxa"/>
              <w:left w:w="80" w:type="dxa"/>
              <w:bottom w:w="80" w:type="dxa"/>
              <w:right w:w="80" w:type="dxa"/>
            </w:tcMar>
            <w:vAlign w:val="center"/>
          </w:tcPr>
          <w:p>
            <w:pPr>
              <w:spacing w:line="300" w:lineRule="exact"/>
              <w:ind w:firstLine="420"/>
              <w:jc w:val="center"/>
              <w:rPr>
                <w:rFonts w:cs="Times New Roman"/>
                <w:kern w:val="0"/>
                <w:sz w:val="21"/>
                <w:szCs w:val="21"/>
                <w:lang w:bidi="ar"/>
              </w:rPr>
            </w:pPr>
          </w:p>
        </w:tc>
        <w:tc>
          <w:tcPr>
            <w:tcW w:w="764" w:type="pct"/>
            <w:vMerge w:val="continue"/>
            <w:tcMar>
              <w:top w:w="80" w:type="dxa"/>
              <w:left w:w="80" w:type="dxa"/>
              <w:bottom w:w="80" w:type="dxa"/>
              <w:right w:w="80" w:type="dxa"/>
            </w:tcMar>
            <w:vAlign w:val="center"/>
          </w:tcPr>
          <w:p>
            <w:pPr>
              <w:spacing w:line="300" w:lineRule="exact"/>
              <w:ind w:firstLine="420"/>
              <w:jc w:val="center"/>
              <w:rPr>
                <w:rFonts w:cs="Times New Roman"/>
                <w:kern w:val="0"/>
                <w:sz w:val="21"/>
                <w:szCs w:val="21"/>
                <w:lang w:bidi="ar"/>
              </w:rPr>
            </w:pPr>
          </w:p>
        </w:tc>
        <w:tc>
          <w:tcPr>
            <w:tcW w:w="976" w:type="pct"/>
            <w:vMerge w:val="continue"/>
            <w:tcMar>
              <w:top w:w="80" w:type="dxa"/>
              <w:left w:w="80" w:type="dxa"/>
              <w:bottom w:w="80" w:type="dxa"/>
              <w:right w:w="80" w:type="dxa"/>
            </w:tcMar>
            <w:vAlign w:val="center"/>
          </w:tcPr>
          <w:p>
            <w:pPr>
              <w:spacing w:line="300" w:lineRule="exact"/>
              <w:ind w:firstLine="420"/>
              <w:jc w:val="left"/>
              <w:rPr>
                <w:rFonts w:hint="eastAsia" w:ascii="方正仿宋_GBK" w:hAnsi="方正仿宋_GBK" w:cs="方正仿宋_GBK"/>
                <w:kern w:val="0"/>
                <w:sz w:val="21"/>
                <w:szCs w:val="21"/>
                <w:lang w:bidi="ar"/>
              </w:rPr>
            </w:pPr>
          </w:p>
        </w:tc>
        <w:tc>
          <w:tcPr>
            <w:tcW w:w="911" w:type="pct"/>
            <w:tcMar>
              <w:top w:w="80" w:type="dxa"/>
              <w:left w:w="80" w:type="dxa"/>
              <w:bottom w:w="80" w:type="dxa"/>
              <w:right w:w="80" w:type="dxa"/>
            </w:tcMar>
            <w:vAlign w:val="center"/>
          </w:tcPr>
          <w:p>
            <w:pPr>
              <w:spacing w:line="300" w:lineRule="exact"/>
              <w:ind w:firstLine="0" w:firstLineChars="0"/>
              <w:jc w:val="left"/>
              <w:rPr>
                <w:rFonts w:hint="eastAsia" w:ascii="方正仿宋_GBK" w:hAnsi="方正仿宋_GBK" w:cs="方正仿宋_GBK"/>
                <w:kern w:val="0"/>
                <w:sz w:val="21"/>
                <w:szCs w:val="21"/>
                <w:lang w:bidi="ar"/>
              </w:rPr>
            </w:pPr>
            <w:r>
              <w:rPr>
                <w:rFonts w:hint="eastAsia" w:ascii="方正仿宋_GBK" w:hAnsi="方正仿宋_GBK" w:cs="方正仿宋_GBK"/>
                <w:kern w:val="0"/>
                <w:sz w:val="21"/>
                <w:szCs w:val="21"/>
                <w:lang w:bidi="ar"/>
              </w:rPr>
              <w:t>多步骤中间脱敏</w:t>
            </w:r>
          </w:p>
        </w:tc>
        <w:tc>
          <w:tcPr>
            <w:tcW w:w="1901" w:type="pct"/>
            <w:tcMar>
              <w:top w:w="80" w:type="dxa"/>
              <w:left w:w="80" w:type="dxa"/>
              <w:bottom w:w="80" w:type="dxa"/>
              <w:right w:w="80" w:type="dxa"/>
            </w:tcMar>
            <w:vAlign w:val="center"/>
          </w:tcPr>
          <w:p>
            <w:pPr>
              <w:spacing w:line="300" w:lineRule="exact"/>
              <w:ind w:firstLine="0" w:firstLineChars="0"/>
              <w:jc w:val="left"/>
              <w:rPr>
                <w:rFonts w:hint="eastAsia" w:ascii="方正仿宋_GBK" w:hAnsi="方正仿宋_GBK" w:cs="方正仿宋_GBK"/>
                <w:kern w:val="0"/>
                <w:sz w:val="21"/>
                <w:szCs w:val="21"/>
                <w:lang w:bidi="ar"/>
              </w:rPr>
            </w:pPr>
            <w:r>
              <w:rPr>
                <w:rFonts w:hint="eastAsia" w:ascii="方正仿宋_GBK" w:hAnsi="方正仿宋_GBK" w:cs="方正仿宋_GBK"/>
                <w:kern w:val="0"/>
                <w:sz w:val="21"/>
                <w:szCs w:val="21"/>
                <w:lang w:bidi="ar"/>
              </w:rPr>
              <w:t>智能体每一步调取集成数据时，实时完成敏感信息清洗</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5" w:type="dxa"/>
            <w:left w:w="15" w:type="dxa"/>
            <w:bottom w:w="15" w:type="dxa"/>
            <w:right w:w="15" w:type="dxa"/>
          </w:tblCellMar>
        </w:tblPrEx>
        <w:trPr>
          <w:jc w:val="center"/>
        </w:trPr>
        <w:tc>
          <w:tcPr>
            <w:tcW w:w="445" w:type="pct"/>
            <w:vMerge w:val="continue"/>
            <w:tcMar>
              <w:top w:w="80" w:type="dxa"/>
              <w:left w:w="80" w:type="dxa"/>
              <w:bottom w:w="80" w:type="dxa"/>
              <w:right w:w="80" w:type="dxa"/>
            </w:tcMar>
            <w:vAlign w:val="center"/>
          </w:tcPr>
          <w:p>
            <w:pPr>
              <w:spacing w:line="300" w:lineRule="exact"/>
              <w:ind w:firstLine="420"/>
              <w:jc w:val="center"/>
              <w:rPr>
                <w:rFonts w:cs="Times New Roman"/>
                <w:kern w:val="0"/>
                <w:sz w:val="21"/>
                <w:szCs w:val="21"/>
                <w:lang w:bidi="ar"/>
              </w:rPr>
            </w:pPr>
          </w:p>
        </w:tc>
        <w:tc>
          <w:tcPr>
            <w:tcW w:w="764" w:type="pct"/>
            <w:vMerge w:val="continue"/>
            <w:tcMar>
              <w:top w:w="80" w:type="dxa"/>
              <w:left w:w="80" w:type="dxa"/>
              <w:bottom w:w="80" w:type="dxa"/>
              <w:right w:w="80" w:type="dxa"/>
            </w:tcMar>
            <w:vAlign w:val="center"/>
          </w:tcPr>
          <w:p>
            <w:pPr>
              <w:spacing w:line="300" w:lineRule="exact"/>
              <w:ind w:firstLine="420"/>
              <w:jc w:val="center"/>
              <w:rPr>
                <w:rFonts w:cs="Times New Roman"/>
                <w:kern w:val="0"/>
                <w:sz w:val="21"/>
                <w:szCs w:val="21"/>
                <w:lang w:bidi="ar"/>
              </w:rPr>
            </w:pPr>
          </w:p>
        </w:tc>
        <w:tc>
          <w:tcPr>
            <w:tcW w:w="976" w:type="pct"/>
            <w:vMerge w:val="continue"/>
            <w:tcMar>
              <w:top w:w="80" w:type="dxa"/>
              <w:left w:w="80" w:type="dxa"/>
              <w:bottom w:w="80" w:type="dxa"/>
              <w:right w:w="80" w:type="dxa"/>
            </w:tcMar>
            <w:vAlign w:val="center"/>
          </w:tcPr>
          <w:p>
            <w:pPr>
              <w:spacing w:line="300" w:lineRule="exact"/>
              <w:ind w:firstLine="420"/>
              <w:jc w:val="left"/>
              <w:rPr>
                <w:rFonts w:hint="eastAsia" w:ascii="方正仿宋_GBK" w:hAnsi="方正仿宋_GBK" w:cs="方正仿宋_GBK"/>
                <w:kern w:val="0"/>
                <w:sz w:val="21"/>
                <w:szCs w:val="21"/>
                <w:lang w:bidi="ar"/>
              </w:rPr>
            </w:pPr>
          </w:p>
        </w:tc>
        <w:tc>
          <w:tcPr>
            <w:tcW w:w="911" w:type="pct"/>
            <w:tcMar>
              <w:top w:w="80" w:type="dxa"/>
              <w:left w:w="80" w:type="dxa"/>
              <w:bottom w:w="80" w:type="dxa"/>
              <w:right w:w="80" w:type="dxa"/>
            </w:tcMar>
            <w:vAlign w:val="center"/>
          </w:tcPr>
          <w:p>
            <w:pPr>
              <w:spacing w:line="300" w:lineRule="exact"/>
              <w:ind w:firstLine="0" w:firstLineChars="0"/>
              <w:jc w:val="left"/>
              <w:rPr>
                <w:rFonts w:hint="eastAsia" w:ascii="方正仿宋_GBK" w:hAnsi="方正仿宋_GBK" w:cs="方正仿宋_GBK"/>
                <w:kern w:val="0"/>
                <w:sz w:val="21"/>
                <w:szCs w:val="21"/>
                <w:lang w:bidi="ar"/>
              </w:rPr>
            </w:pPr>
            <w:r>
              <w:rPr>
                <w:rFonts w:hint="eastAsia" w:ascii="方正仿宋_GBK" w:hAnsi="方正仿宋_GBK" w:cs="方正仿宋_GBK"/>
                <w:kern w:val="0"/>
                <w:sz w:val="21"/>
                <w:szCs w:val="21"/>
                <w:lang w:bidi="ar"/>
              </w:rPr>
              <w:t>会话超时销毁</w:t>
            </w:r>
          </w:p>
        </w:tc>
        <w:tc>
          <w:tcPr>
            <w:tcW w:w="1901" w:type="pct"/>
            <w:tcMar>
              <w:top w:w="80" w:type="dxa"/>
              <w:left w:w="80" w:type="dxa"/>
              <w:bottom w:w="80" w:type="dxa"/>
              <w:right w:w="80" w:type="dxa"/>
            </w:tcMar>
            <w:vAlign w:val="center"/>
          </w:tcPr>
          <w:p>
            <w:pPr>
              <w:spacing w:line="300" w:lineRule="exact"/>
              <w:ind w:firstLine="0" w:firstLineChars="0"/>
              <w:jc w:val="left"/>
              <w:rPr>
                <w:rFonts w:hint="eastAsia" w:ascii="方正仿宋_GBK" w:hAnsi="方正仿宋_GBK" w:cs="方正仿宋_GBK"/>
                <w:kern w:val="0"/>
                <w:sz w:val="21"/>
                <w:szCs w:val="21"/>
                <w:lang w:bidi="ar"/>
              </w:rPr>
            </w:pPr>
            <w:r>
              <w:rPr>
                <w:rFonts w:hint="eastAsia" w:ascii="方正仿宋_GBK" w:hAnsi="方正仿宋_GBK" w:cs="方正仿宋_GBK"/>
                <w:kern w:val="0"/>
                <w:sz w:val="21"/>
                <w:szCs w:val="21"/>
                <w:lang w:bidi="ar"/>
              </w:rPr>
              <w:t>对接</w:t>
            </w:r>
            <w:r>
              <w:rPr>
                <w:rFonts w:cs="Times New Roman"/>
                <w:kern w:val="0"/>
                <w:sz w:val="21"/>
                <w:szCs w:val="21"/>
                <w:lang w:bidi="ar"/>
              </w:rPr>
              <w:t>MES</w:t>
            </w:r>
            <w:r>
              <w:rPr>
                <w:rFonts w:hint="eastAsia" w:ascii="方正仿宋_GBK" w:hAnsi="方正仿宋_GBK" w:cs="方正仿宋_GBK"/>
                <w:kern w:val="0"/>
                <w:sz w:val="21"/>
                <w:szCs w:val="21"/>
                <w:lang w:bidi="ar"/>
              </w:rPr>
              <w:t>等高敏感业务智能体闲置超时，立即清空全部关联交互</w:t>
            </w:r>
            <w:r>
              <w:rPr>
                <w:rFonts w:cs="Times New Roman"/>
                <w:kern w:val="0"/>
                <w:sz w:val="21"/>
                <w:szCs w:val="21"/>
                <w:lang w:bidi="ar"/>
              </w:rPr>
              <w:t>Token</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5" w:type="dxa"/>
            <w:left w:w="15" w:type="dxa"/>
            <w:bottom w:w="15" w:type="dxa"/>
            <w:right w:w="15" w:type="dxa"/>
          </w:tblCellMar>
        </w:tblPrEx>
        <w:trPr>
          <w:jc w:val="center"/>
        </w:trPr>
        <w:tc>
          <w:tcPr>
            <w:tcW w:w="445" w:type="pct"/>
            <w:vMerge w:val="continue"/>
            <w:tcMar>
              <w:top w:w="80" w:type="dxa"/>
              <w:left w:w="80" w:type="dxa"/>
              <w:bottom w:w="80" w:type="dxa"/>
              <w:right w:w="80" w:type="dxa"/>
            </w:tcMar>
            <w:vAlign w:val="center"/>
          </w:tcPr>
          <w:p>
            <w:pPr>
              <w:spacing w:line="300" w:lineRule="exact"/>
              <w:ind w:firstLine="420"/>
              <w:jc w:val="center"/>
              <w:rPr>
                <w:rFonts w:cs="Times New Roman"/>
                <w:kern w:val="0"/>
                <w:sz w:val="21"/>
                <w:szCs w:val="21"/>
                <w:lang w:bidi="ar"/>
              </w:rPr>
            </w:pPr>
          </w:p>
        </w:tc>
        <w:tc>
          <w:tcPr>
            <w:tcW w:w="764" w:type="pct"/>
            <w:vMerge w:val="continue"/>
            <w:tcMar>
              <w:top w:w="80" w:type="dxa"/>
              <w:left w:w="80" w:type="dxa"/>
              <w:bottom w:w="80" w:type="dxa"/>
              <w:right w:w="80" w:type="dxa"/>
            </w:tcMar>
            <w:vAlign w:val="center"/>
          </w:tcPr>
          <w:p>
            <w:pPr>
              <w:spacing w:line="300" w:lineRule="exact"/>
              <w:ind w:firstLine="420"/>
              <w:jc w:val="center"/>
              <w:rPr>
                <w:rFonts w:cs="Times New Roman"/>
                <w:kern w:val="0"/>
                <w:sz w:val="21"/>
                <w:szCs w:val="21"/>
                <w:lang w:bidi="ar"/>
              </w:rPr>
            </w:pPr>
          </w:p>
        </w:tc>
        <w:tc>
          <w:tcPr>
            <w:tcW w:w="976" w:type="pct"/>
            <w:vMerge w:val="continue"/>
            <w:tcMar>
              <w:top w:w="80" w:type="dxa"/>
              <w:left w:w="80" w:type="dxa"/>
              <w:bottom w:w="80" w:type="dxa"/>
              <w:right w:w="80" w:type="dxa"/>
            </w:tcMar>
            <w:vAlign w:val="center"/>
          </w:tcPr>
          <w:p>
            <w:pPr>
              <w:spacing w:line="300" w:lineRule="exact"/>
              <w:ind w:firstLine="420"/>
              <w:jc w:val="left"/>
              <w:rPr>
                <w:rFonts w:hint="eastAsia" w:ascii="方正仿宋_GBK" w:hAnsi="方正仿宋_GBK" w:cs="方正仿宋_GBK"/>
                <w:kern w:val="0"/>
                <w:sz w:val="21"/>
                <w:szCs w:val="21"/>
                <w:lang w:bidi="ar"/>
              </w:rPr>
            </w:pPr>
          </w:p>
        </w:tc>
        <w:tc>
          <w:tcPr>
            <w:tcW w:w="911" w:type="pct"/>
            <w:tcMar>
              <w:top w:w="80" w:type="dxa"/>
              <w:left w:w="80" w:type="dxa"/>
              <w:bottom w:w="80" w:type="dxa"/>
              <w:right w:w="80" w:type="dxa"/>
            </w:tcMar>
            <w:vAlign w:val="center"/>
          </w:tcPr>
          <w:p>
            <w:pPr>
              <w:spacing w:line="300" w:lineRule="exact"/>
              <w:ind w:firstLine="0" w:firstLineChars="0"/>
              <w:jc w:val="left"/>
              <w:rPr>
                <w:rFonts w:hint="eastAsia" w:ascii="方正仿宋_GBK" w:hAnsi="方正仿宋_GBK" w:cs="方正仿宋_GBK"/>
                <w:kern w:val="0"/>
                <w:sz w:val="21"/>
                <w:szCs w:val="21"/>
                <w:lang w:bidi="ar"/>
              </w:rPr>
            </w:pPr>
            <w:r>
              <w:rPr>
                <w:rFonts w:hint="eastAsia" w:ascii="方正仿宋_GBK" w:hAnsi="方正仿宋_GBK" w:cs="方正仿宋_GBK"/>
                <w:kern w:val="0"/>
                <w:sz w:val="21"/>
                <w:szCs w:val="21"/>
                <w:lang w:bidi="ar"/>
              </w:rPr>
              <w:t>跨系统合成脱敏</w:t>
            </w:r>
          </w:p>
        </w:tc>
        <w:tc>
          <w:tcPr>
            <w:tcW w:w="1901" w:type="pct"/>
            <w:tcMar>
              <w:top w:w="80" w:type="dxa"/>
              <w:left w:w="80" w:type="dxa"/>
              <w:bottom w:w="80" w:type="dxa"/>
              <w:right w:w="80" w:type="dxa"/>
            </w:tcMar>
            <w:vAlign w:val="center"/>
          </w:tcPr>
          <w:p>
            <w:pPr>
              <w:spacing w:line="300" w:lineRule="exact"/>
              <w:ind w:firstLine="0" w:firstLineChars="0"/>
              <w:jc w:val="left"/>
              <w:rPr>
                <w:rFonts w:hint="eastAsia" w:ascii="方正仿宋_GBK" w:hAnsi="方正仿宋_GBK" w:cs="方正仿宋_GBK"/>
                <w:kern w:val="0"/>
                <w:sz w:val="21"/>
                <w:szCs w:val="21"/>
                <w:lang w:bidi="ar"/>
              </w:rPr>
            </w:pPr>
            <w:r>
              <w:rPr>
                <w:rFonts w:hint="eastAsia" w:ascii="方正仿宋_GBK" w:hAnsi="方正仿宋_GBK" w:cs="方正仿宋_GBK"/>
                <w:kern w:val="0"/>
                <w:sz w:val="21"/>
                <w:szCs w:val="21"/>
                <w:lang w:bidi="ar"/>
              </w:rPr>
              <w:t>融合</w:t>
            </w:r>
            <w:r>
              <w:rPr>
                <w:rFonts w:cs="Times New Roman"/>
                <w:kern w:val="0"/>
                <w:sz w:val="21"/>
                <w:szCs w:val="21"/>
                <w:lang w:bidi="ar"/>
              </w:rPr>
              <w:t>SAP</w:t>
            </w:r>
            <w:r>
              <w:rPr>
                <w:rFonts w:hint="eastAsia" w:ascii="方正仿宋_GBK" w:hAnsi="方正仿宋_GBK" w:cs="方正仿宋_GBK"/>
                <w:kern w:val="0"/>
                <w:sz w:val="21"/>
                <w:szCs w:val="21"/>
                <w:lang w:bidi="ar"/>
              </w:rPr>
              <w:t>财务、</w:t>
            </w:r>
            <w:r>
              <w:rPr>
                <w:rFonts w:cs="Times New Roman"/>
                <w:kern w:val="0"/>
                <w:sz w:val="21"/>
                <w:szCs w:val="21"/>
                <w:lang w:bidi="ar"/>
              </w:rPr>
              <w:t>MES</w:t>
            </w:r>
            <w:r>
              <w:rPr>
                <w:rFonts w:hint="eastAsia" w:ascii="方正仿宋_GBK" w:hAnsi="方正仿宋_GBK" w:cs="方正仿宋_GBK"/>
                <w:kern w:val="0"/>
                <w:sz w:val="21"/>
                <w:szCs w:val="21"/>
                <w:lang w:bidi="ar"/>
              </w:rPr>
              <w:t>生产数据生成综合</w:t>
            </w:r>
            <w:r>
              <w:rPr>
                <w:rFonts w:cs="Times New Roman"/>
                <w:kern w:val="0"/>
                <w:sz w:val="21"/>
                <w:szCs w:val="21"/>
                <w:lang w:bidi="ar"/>
              </w:rPr>
              <w:t>Token</w:t>
            </w:r>
            <w:r>
              <w:rPr>
                <w:rFonts w:hint="eastAsia" w:ascii="方正仿宋_GBK" w:hAnsi="方正仿宋_GBK" w:cs="方正仿宋_GBK"/>
                <w:kern w:val="0"/>
                <w:sz w:val="21"/>
                <w:szCs w:val="21"/>
                <w:lang w:bidi="ar"/>
              </w:rPr>
              <w:t>时，双重脱敏屏蔽交叉敏感信息</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5" w:type="dxa"/>
            <w:left w:w="15" w:type="dxa"/>
            <w:bottom w:w="15" w:type="dxa"/>
            <w:right w:w="15" w:type="dxa"/>
          </w:tblCellMar>
        </w:tblPrEx>
        <w:trPr>
          <w:jc w:val="center"/>
        </w:trPr>
        <w:tc>
          <w:tcPr>
            <w:tcW w:w="445" w:type="pct"/>
            <w:vMerge w:val="restart"/>
            <w:tcMar>
              <w:top w:w="80" w:type="dxa"/>
              <w:left w:w="80" w:type="dxa"/>
              <w:bottom w:w="80" w:type="dxa"/>
              <w:right w:w="80" w:type="dxa"/>
            </w:tcMar>
            <w:vAlign w:val="center"/>
          </w:tcPr>
          <w:p>
            <w:pPr>
              <w:spacing w:line="300" w:lineRule="exact"/>
              <w:ind w:firstLine="0" w:firstLineChars="0"/>
              <w:jc w:val="center"/>
              <w:rPr>
                <w:rFonts w:cs="Times New Roman"/>
                <w:kern w:val="0"/>
                <w:sz w:val="21"/>
                <w:szCs w:val="21"/>
                <w:lang w:bidi="ar"/>
              </w:rPr>
            </w:pPr>
            <w:r>
              <w:rPr>
                <w:rFonts w:cs="Times New Roman"/>
                <w:kern w:val="0"/>
                <w:sz w:val="21"/>
                <w:szCs w:val="21"/>
                <w:lang w:bidi="ar"/>
              </w:rPr>
              <w:t>8</w:t>
            </w:r>
          </w:p>
        </w:tc>
        <w:tc>
          <w:tcPr>
            <w:tcW w:w="764" w:type="pct"/>
            <w:vMerge w:val="restart"/>
            <w:tcMar>
              <w:top w:w="80" w:type="dxa"/>
              <w:left w:w="80" w:type="dxa"/>
              <w:bottom w:w="80" w:type="dxa"/>
              <w:right w:w="80" w:type="dxa"/>
            </w:tcMar>
            <w:vAlign w:val="center"/>
          </w:tcPr>
          <w:p>
            <w:pPr>
              <w:spacing w:line="300" w:lineRule="exact"/>
              <w:ind w:firstLine="0" w:firstLineChars="0"/>
              <w:jc w:val="center"/>
              <w:rPr>
                <w:rFonts w:cs="Times New Roman"/>
                <w:kern w:val="0"/>
                <w:sz w:val="21"/>
                <w:szCs w:val="21"/>
                <w:lang w:bidi="ar"/>
              </w:rPr>
            </w:pPr>
            <w:r>
              <w:rPr>
                <w:rFonts w:cs="Times New Roman"/>
                <w:kern w:val="0"/>
                <w:sz w:val="21"/>
                <w:szCs w:val="21"/>
                <w:lang w:bidi="ar"/>
              </w:rPr>
              <w:t>第三方工具/联网插件交互Token管控</w:t>
            </w:r>
          </w:p>
        </w:tc>
        <w:tc>
          <w:tcPr>
            <w:tcW w:w="976" w:type="pct"/>
            <w:vMerge w:val="restart"/>
            <w:tcMar>
              <w:top w:w="80" w:type="dxa"/>
              <w:left w:w="80" w:type="dxa"/>
              <w:bottom w:w="80" w:type="dxa"/>
              <w:right w:w="80" w:type="dxa"/>
            </w:tcMar>
            <w:vAlign w:val="center"/>
          </w:tcPr>
          <w:p>
            <w:pPr>
              <w:spacing w:line="300" w:lineRule="exact"/>
              <w:ind w:firstLine="0" w:firstLineChars="0"/>
              <w:jc w:val="left"/>
              <w:rPr>
                <w:rFonts w:hint="eastAsia" w:ascii="方正仿宋_GBK" w:hAnsi="方正仿宋_GBK" w:cs="方正仿宋_GBK"/>
                <w:kern w:val="0"/>
                <w:sz w:val="21"/>
                <w:szCs w:val="21"/>
                <w:lang w:bidi="ar"/>
              </w:rPr>
            </w:pPr>
            <w:r>
              <w:rPr>
                <w:rFonts w:hint="eastAsia" w:ascii="方正仿宋_GBK" w:hAnsi="方正仿宋_GBK" w:cs="方正仿宋_GBK"/>
                <w:kern w:val="0"/>
                <w:sz w:val="21"/>
                <w:szCs w:val="21"/>
                <w:lang w:bidi="ar"/>
              </w:rPr>
              <w:t>智能体通过对外集成网关传输</w:t>
            </w:r>
            <w:r>
              <w:rPr>
                <w:rFonts w:cs="Times New Roman"/>
                <w:kern w:val="0"/>
                <w:sz w:val="21"/>
                <w:szCs w:val="21"/>
                <w:lang w:bidi="ar"/>
              </w:rPr>
              <w:t>SAP</w:t>
            </w:r>
            <w:r>
              <w:rPr>
                <w:rFonts w:hint="eastAsia" w:ascii="方正仿宋_GBK" w:hAnsi="方正仿宋_GBK" w:cs="方正仿宋_GBK"/>
                <w:kern w:val="0"/>
                <w:sz w:val="21"/>
                <w:szCs w:val="21"/>
                <w:lang w:bidi="ar"/>
              </w:rPr>
              <w:t>/</w:t>
            </w:r>
            <w:r>
              <w:rPr>
                <w:rFonts w:cs="Times New Roman"/>
                <w:kern w:val="0"/>
                <w:sz w:val="21"/>
                <w:szCs w:val="21"/>
                <w:lang w:bidi="ar"/>
              </w:rPr>
              <w:t>MES</w:t>
            </w:r>
            <w:r>
              <w:rPr>
                <w:rFonts w:hint="eastAsia" w:ascii="方正仿宋_GBK" w:hAnsi="方正仿宋_GBK" w:cs="方正仿宋_GBK"/>
                <w:kern w:val="0"/>
                <w:sz w:val="21"/>
                <w:szCs w:val="21"/>
                <w:lang w:bidi="ar"/>
              </w:rPr>
              <w:t>业务</w:t>
            </w:r>
            <w:r>
              <w:rPr>
                <w:rFonts w:cs="Times New Roman"/>
                <w:kern w:val="0"/>
                <w:sz w:val="21"/>
                <w:szCs w:val="21"/>
                <w:lang w:bidi="ar"/>
              </w:rPr>
              <w:t>Token</w:t>
            </w:r>
            <w:r>
              <w:rPr>
                <w:rFonts w:hint="eastAsia" w:ascii="方正仿宋_GBK" w:hAnsi="方正仿宋_GBK" w:cs="方正仿宋_GBK"/>
                <w:kern w:val="0"/>
                <w:sz w:val="21"/>
                <w:szCs w:val="21"/>
                <w:lang w:bidi="ar"/>
              </w:rPr>
              <w:t>至外网工具、公网传输</w:t>
            </w:r>
          </w:p>
        </w:tc>
        <w:tc>
          <w:tcPr>
            <w:tcW w:w="911" w:type="pct"/>
            <w:tcMar>
              <w:top w:w="80" w:type="dxa"/>
              <w:left w:w="80" w:type="dxa"/>
              <w:bottom w:w="80" w:type="dxa"/>
              <w:right w:w="80" w:type="dxa"/>
            </w:tcMar>
            <w:vAlign w:val="center"/>
          </w:tcPr>
          <w:p>
            <w:pPr>
              <w:spacing w:line="300" w:lineRule="exact"/>
              <w:ind w:firstLine="0" w:firstLineChars="0"/>
              <w:jc w:val="left"/>
              <w:rPr>
                <w:rFonts w:hint="eastAsia" w:ascii="方正仿宋_GBK" w:hAnsi="方正仿宋_GBK" w:cs="方正仿宋_GBK"/>
                <w:kern w:val="0"/>
                <w:sz w:val="21"/>
                <w:szCs w:val="21"/>
                <w:lang w:bidi="ar"/>
              </w:rPr>
            </w:pPr>
            <w:r>
              <w:rPr>
                <w:rFonts w:hint="eastAsia" w:ascii="方正仿宋_GBK" w:hAnsi="方正仿宋_GBK" w:cs="方正仿宋_GBK"/>
                <w:kern w:val="0"/>
                <w:sz w:val="21"/>
                <w:szCs w:val="21"/>
                <w:lang w:bidi="ar"/>
              </w:rPr>
              <w:t>敏感</w:t>
            </w:r>
            <w:r>
              <w:rPr>
                <w:rFonts w:cs="Times New Roman"/>
                <w:kern w:val="0"/>
                <w:sz w:val="21"/>
                <w:szCs w:val="21"/>
                <w:lang w:bidi="ar"/>
              </w:rPr>
              <w:t>Token</w:t>
            </w:r>
            <w:r>
              <w:rPr>
                <w:rFonts w:hint="eastAsia" w:ascii="方正仿宋_GBK" w:hAnsi="方正仿宋_GBK" w:cs="方正仿宋_GBK"/>
                <w:kern w:val="0"/>
                <w:sz w:val="21"/>
                <w:szCs w:val="21"/>
                <w:lang w:bidi="ar"/>
              </w:rPr>
              <w:t>剥离</w:t>
            </w:r>
          </w:p>
        </w:tc>
        <w:tc>
          <w:tcPr>
            <w:tcW w:w="1901" w:type="pct"/>
            <w:tcMar>
              <w:top w:w="80" w:type="dxa"/>
              <w:left w:w="80" w:type="dxa"/>
              <w:bottom w:w="80" w:type="dxa"/>
              <w:right w:w="80" w:type="dxa"/>
            </w:tcMar>
            <w:vAlign w:val="center"/>
          </w:tcPr>
          <w:p>
            <w:pPr>
              <w:spacing w:line="300" w:lineRule="exact"/>
              <w:ind w:firstLine="0" w:firstLineChars="0"/>
              <w:jc w:val="left"/>
              <w:rPr>
                <w:rFonts w:hint="eastAsia" w:ascii="方正仿宋_GBK" w:hAnsi="方正仿宋_GBK" w:cs="方正仿宋_GBK"/>
                <w:kern w:val="0"/>
                <w:sz w:val="21"/>
                <w:szCs w:val="21"/>
                <w:lang w:bidi="ar"/>
              </w:rPr>
            </w:pPr>
            <w:r>
              <w:rPr>
                <w:rFonts w:hint="eastAsia" w:ascii="方正仿宋_GBK" w:hAnsi="方正仿宋_GBK" w:cs="方正仿宋_GBK"/>
                <w:kern w:val="0"/>
                <w:sz w:val="21"/>
                <w:szCs w:val="21"/>
                <w:lang w:bidi="ar"/>
              </w:rPr>
              <w:t>向外传输前自动清除</w:t>
            </w:r>
            <w:r>
              <w:rPr>
                <w:rFonts w:cs="Times New Roman"/>
                <w:kern w:val="0"/>
                <w:sz w:val="21"/>
                <w:szCs w:val="21"/>
                <w:lang w:bidi="ar"/>
              </w:rPr>
              <w:t>MES</w:t>
            </w:r>
            <w:r>
              <w:rPr>
                <w:rFonts w:hint="eastAsia" w:ascii="方正仿宋_GBK" w:hAnsi="方正仿宋_GBK" w:cs="方正仿宋_GBK"/>
                <w:kern w:val="0"/>
                <w:sz w:val="21"/>
                <w:szCs w:val="21"/>
                <w:lang w:bidi="ar"/>
              </w:rPr>
              <w:t>批次、</w:t>
            </w:r>
            <w:r>
              <w:rPr>
                <w:rFonts w:cs="Times New Roman"/>
                <w:kern w:val="0"/>
                <w:sz w:val="21"/>
                <w:szCs w:val="21"/>
                <w:lang w:bidi="ar"/>
              </w:rPr>
              <w:t>SAP</w:t>
            </w:r>
            <w:r>
              <w:rPr>
                <w:rFonts w:hint="eastAsia" w:ascii="方正仿宋_GBK" w:hAnsi="方正仿宋_GBK" w:cs="方正仿宋_GBK"/>
                <w:kern w:val="0"/>
                <w:sz w:val="21"/>
                <w:szCs w:val="21"/>
                <w:lang w:bidi="ar"/>
              </w:rPr>
              <w:t>成本、</w:t>
            </w:r>
            <w:r>
              <w:rPr>
                <w:rFonts w:cs="Times New Roman"/>
                <w:kern w:val="0"/>
                <w:sz w:val="21"/>
                <w:szCs w:val="21"/>
                <w:lang w:bidi="ar"/>
              </w:rPr>
              <w:t>PLM</w:t>
            </w:r>
            <w:r>
              <w:rPr>
                <w:rFonts w:hint="eastAsia" w:ascii="方正仿宋_GBK" w:hAnsi="方正仿宋_GBK" w:cs="方正仿宋_GBK"/>
                <w:kern w:val="0"/>
                <w:sz w:val="21"/>
                <w:szCs w:val="21"/>
                <w:lang w:bidi="ar"/>
              </w:rPr>
              <w:t>工艺类</w:t>
            </w:r>
            <w:r>
              <w:rPr>
                <w:rFonts w:cs="Times New Roman"/>
                <w:kern w:val="0"/>
                <w:sz w:val="21"/>
                <w:szCs w:val="21"/>
                <w:lang w:bidi="ar"/>
              </w:rPr>
              <w:t>Token</w:t>
            </w:r>
            <w:r>
              <w:rPr>
                <w:rFonts w:hint="eastAsia" w:ascii="方正仿宋_GBK" w:hAnsi="方正仿宋_GBK" w:cs="方正仿宋_GBK"/>
                <w:kern w:val="0"/>
                <w:sz w:val="21"/>
                <w:szCs w:val="21"/>
                <w:lang w:bidi="ar"/>
              </w:rPr>
              <w:t>，仅保留脱敏统计</w:t>
            </w:r>
            <w:r>
              <w:rPr>
                <w:rFonts w:cs="Times New Roman"/>
                <w:kern w:val="0"/>
                <w:sz w:val="21"/>
                <w:szCs w:val="21"/>
                <w:lang w:bidi="ar"/>
              </w:rPr>
              <w:t>Token</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5" w:type="dxa"/>
            <w:left w:w="15" w:type="dxa"/>
            <w:bottom w:w="15" w:type="dxa"/>
            <w:right w:w="15" w:type="dxa"/>
          </w:tblCellMar>
        </w:tblPrEx>
        <w:trPr>
          <w:jc w:val="center"/>
        </w:trPr>
        <w:tc>
          <w:tcPr>
            <w:tcW w:w="445" w:type="pct"/>
            <w:vMerge w:val="continue"/>
            <w:tcMar>
              <w:top w:w="80" w:type="dxa"/>
              <w:left w:w="80" w:type="dxa"/>
              <w:bottom w:w="80" w:type="dxa"/>
              <w:right w:w="80" w:type="dxa"/>
            </w:tcMar>
            <w:vAlign w:val="center"/>
          </w:tcPr>
          <w:p>
            <w:pPr>
              <w:spacing w:line="300" w:lineRule="exact"/>
              <w:ind w:firstLine="420"/>
              <w:jc w:val="center"/>
              <w:rPr>
                <w:rFonts w:cs="Times New Roman"/>
                <w:kern w:val="0"/>
                <w:sz w:val="21"/>
                <w:szCs w:val="21"/>
                <w:lang w:bidi="ar"/>
              </w:rPr>
            </w:pPr>
          </w:p>
        </w:tc>
        <w:tc>
          <w:tcPr>
            <w:tcW w:w="764" w:type="pct"/>
            <w:vMerge w:val="continue"/>
            <w:tcMar>
              <w:top w:w="80" w:type="dxa"/>
              <w:left w:w="80" w:type="dxa"/>
              <w:bottom w:w="80" w:type="dxa"/>
              <w:right w:w="80" w:type="dxa"/>
            </w:tcMar>
            <w:vAlign w:val="center"/>
          </w:tcPr>
          <w:p>
            <w:pPr>
              <w:spacing w:line="300" w:lineRule="exact"/>
              <w:ind w:firstLine="420"/>
              <w:jc w:val="center"/>
              <w:rPr>
                <w:rFonts w:cs="Times New Roman"/>
                <w:kern w:val="0"/>
                <w:sz w:val="21"/>
                <w:szCs w:val="21"/>
                <w:lang w:bidi="ar"/>
              </w:rPr>
            </w:pPr>
          </w:p>
        </w:tc>
        <w:tc>
          <w:tcPr>
            <w:tcW w:w="976" w:type="pct"/>
            <w:vMerge w:val="continue"/>
            <w:tcMar>
              <w:top w:w="80" w:type="dxa"/>
              <w:left w:w="80" w:type="dxa"/>
              <w:bottom w:w="80" w:type="dxa"/>
              <w:right w:w="80" w:type="dxa"/>
            </w:tcMar>
            <w:vAlign w:val="center"/>
          </w:tcPr>
          <w:p>
            <w:pPr>
              <w:spacing w:line="300" w:lineRule="exact"/>
              <w:ind w:firstLine="420"/>
              <w:jc w:val="left"/>
              <w:rPr>
                <w:rFonts w:hint="eastAsia" w:ascii="方正仿宋_GBK" w:hAnsi="方正仿宋_GBK" w:cs="方正仿宋_GBK"/>
                <w:kern w:val="0"/>
                <w:sz w:val="21"/>
                <w:szCs w:val="21"/>
                <w:lang w:bidi="ar"/>
              </w:rPr>
            </w:pPr>
          </w:p>
        </w:tc>
        <w:tc>
          <w:tcPr>
            <w:tcW w:w="911" w:type="pct"/>
            <w:tcMar>
              <w:top w:w="80" w:type="dxa"/>
              <w:left w:w="80" w:type="dxa"/>
              <w:bottom w:w="80" w:type="dxa"/>
              <w:right w:w="80" w:type="dxa"/>
            </w:tcMar>
            <w:vAlign w:val="center"/>
          </w:tcPr>
          <w:p>
            <w:pPr>
              <w:spacing w:line="300" w:lineRule="exact"/>
              <w:ind w:firstLine="0" w:firstLineChars="0"/>
              <w:jc w:val="left"/>
              <w:rPr>
                <w:rFonts w:hint="eastAsia" w:ascii="方正仿宋_GBK" w:hAnsi="方正仿宋_GBK" w:cs="方正仿宋_GBK"/>
                <w:kern w:val="0"/>
                <w:sz w:val="21"/>
                <w:szCs w:val="21"/>
                <w:lang w:bidi="ar"/>
              </w:rPr>
            </w:pPr>
            <w:r>
              <w:rPr>
                <w:rFonts w:hint="eastAsia" w:ascii="方正仿宋_GBK" w:hAnsi="方正仿宋_GBK" w:cs="方正仿宋_GBK"/>
                <w:kern w:val="0"/>
                <w:sz w:val="21"/>
                <w:szCs w:val="21"/>
                <w:lang w:bidi="ar"/>
              </w:rPr>
              <w:t>插件返回重校验</w:t>
            </w:r>
          </w:p>
        </w:tc>
        <w:tc>
          <w:tcPr>
            <w:tcW w:w="1901" w:type="pct"/>
            <w:tcMar>
              <w:top w:w="80" w:type="dxa"/>
              <w:left w:w="80" w:type="dxa"/>
              <w:bottom w:w="80" w:type="dxa"/>
              <w:right w:w="80" w:type="dxa"/>
            </w:tcMar>
            <w:vAlign w:val="center"/>
          </w:tcPr>
          <w:p>
            <w:pPr>
              <w:spacing w:line="300" w:lineRule="exact"/>
              <w:ind w:firstLine="0" w:firstLineChars="0"/>
              <w:jc w:val="left"/>
              <w:rPr>
                <w:rFonts w:hint="eastAsia" w:ascii="方正仿宋_GBK" w:hAnsi="方正仿宋_GBK" w:cs="方正仿宋_GBK"/>
                <w:kern w:val="0"/>
                <w:sz w:val="21"/>
                <w:szCs w:val="21"/>
                <w:lang w:bidi="ar"/>
              </w:rPr>
            </w:pPr>
            <w:r>
              <w:rPr>
                <w:rFonts w:hint="eastAsia" w:ascii="方正仿宋_GBK" w:hAnsi="方正仿宋_GBK" w:cs="方正仿宋_GBK"/>
                <w:kern w:val="0"/>
                <w:sz w:val="21"/>
                <w:szCs w:val="21"/>
                <w:lang w:bidi="ar"/>
              </w:rPr>
              <w:t>第三方返回内容生成新</w:t>
            </w:r>
            <w:r>
              <w:rPr>
                <w:rFonts w:cs="Times New Roman"/>
                <w:kern w:val="0"/>
                <w:sz w:val="21"/>
                <w:szCs w:val="21"/>
                <w:lang w:bidi="ar"/>
              </w:rPr>
              <w:t>Token</w:t>
            </w:r>
            <w:r>
              <w:rPr>
                <w:rFonts w:hint="eastAsia" w:ascii="方正仿宋_GBK" w:hAnsi="方正仿宋_GBK" w:cs="方正仿宋_GBK"/>
                <w:kern w:val="0"/>
                <w:sz w:val="21"/>
                <w:szCs w:val="21"/>
                <w:lang w:bidi="ar"/>
              </w:rPr>
              <w:t>，回传工业集成接口前重新开展脱敏审核</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5" w:type="dxa"/>
            <w:left w:w="15" w:type="dxa"/>
            <w:bottom w:w="15" w:type="dxa"/>
            <w:right w:w="15" w:type="dxa"/>
          </w:tblCellMar>
        </w:tblPrEx>
        <w:trPr>
          <w:jc w:val="center"/>
        </w:trPr>
        <w:tc>
          <w:tcPr>
            <w:tcW w:w="445" w:type="pct"/>
            <w:vMerge w:val="continue"/>
            <w:tcMar>
              <w:top w:w="80" w:type="dxa"/>
              <w:left w:w="80" w:type="dxa"/>
              <w:bottom w:w="80" w:type="dxa"/>
              <w:right w:w="80" w:type="dxa"/>
            </w:tcMar>
            <w:vAlign w:val="center"/>
          </w:tcPr>
          <w:p>
            <w:pPr>
              <w:spacing w:line="300" w:lineRule="exact"/>
              <w:ind w:firstLine="420"/>
              <w:jc w:val="center"/>
              <w:rPr>
                <w:rFonts w:cs="Times New Roman"/>
                <w:kern w:val="0"/>
                <w:sz w:val="21"/>
                <w:szCs w:val="21"/>
                <w:lang w:bidi="ar"/>
              </w:rPr>
            </w:pPr>
          </w:p>
        </w:tc>
        <w:tc>
          <w:tcPr>
            <w:tcW w:w="764" w:type="pct"/>
            <w:vMerge w:val="continue"/>
            <w:tcMar>
              <w:top w:w="80" w:type="dxa"/>
              <w:left w:w="80" w:type="dxa"/>
              <w:bottom w:w="80" w:type="dxa"/>
              <w:right w:w="80" w:type="dxa"/>
            </w:tcMar>
            <w:vAlign w:val="center"/>
          </w:tcPr>
          <w:p>
            <w:pPr>
              <w:spacing w:line="300" w:lineRule="exact"/>
              <w:ind w:firstLine="420"/>
              <w:jc w:val="center"/>
              <w:rPr>
                <w:rFonts w:cs="Times New Roman"/>
                <w:kern w:val="0"/>
                <w:sz w:val="21"/>
                <w:szCs w:val="21"/>
                <w:lang w:bidi="ar"/>
              </w:rPr>
            </w:pPr>
          </w:p>
        </w:tc>
        <w:tc>
          <w:tcPr>
            <w:tcW w:w="976" w:type="pct"/>
            <w:vMerge w:val="continue"/>
            <w:tcMar>
              <w:top w:w="80" w:type="dxa"/>
              <w:left w:w="80" w:type="dxa"/>
              <w:bottom w:w="80" w:type="dxa"/>
              <w:right w:w="80" w:type="dxa"/>
            </w:tcMar>
            <w:vAlign w:val="center"/>
          </w:tcPr>
          <w:p>
            <w:pPr>
              <w:spacing w:line="300" w:lineRule="exact"/>
              <w:ind w:firstLine="420"/>
              <w:jc w:val="left"/>
              <w:rPr>
                <w:rFonts w:hint="eastAsia" w:ascii="方正仿宋_GBK" w:hAnsi="方正仿宋_GBK" w:cs="方正仿宋_GBK"/>
                <w:kern w:val="0"/>
                <w:sz w:val="21"/>
                <w:szCs w:val="21"/>
                <w:lang w:bidi="ar"/>
              </w:rPr>
            </w:pPr>
          </w:p>
        </w:tc>
        <w:tc>
          <w:tcPr>
            <w:tcW w:w="911" w:type="pct"/>
            <w:tcMar>
              <w:top w:w="80" w:type="dxa"/>
              <w:left w:w="80" w:type="dxa"/>
              <w:bottom w:w="80" w:type="dxa"/>
              <w:right w:w="80" w:type="dxa"/>
            </w:tcMar>
            <w:vAlign w:val="center"/>
          </w:tcPr>
          <w:p>
            <w:pPr>
              <w:spacing w:line="300" w:lineRule="exact"/>
              <w:ind w:firstLine="0" w:firstLineChars="0"/>
              <w:jc w:val="left"/>
              <w:rPr>
                <w:rFonts w:hint="eastAsia" w:ascii="方正仿宋_GBK" w:hAnsi="方正仿宋_GBK" w:cs="方正仿宋_GBK"/>
                <w:kern w:val="0"/>
                <w:sz w:val="21"/>
                <w:szCs w:val="21"/>
                <w:lang w:bidi="ar"/>
              </w:rPr>
            </w:pPr>
            <w:r>
              <w:rPr>
                <w:rFonts w:hint="eastAsia" w:ascii="方正仿宋_GBK" w:hAnsi="方正仿宋_GBK" w:cs="方正仿宋_GBK"/>
                <w:kern w:val="0"/>
                <w:sz w:val="21"/>
                <w:szCs w:val="21"/>
                <w:lang w:bidi="ar"/>
              </w:rPr>
              <w:t>公网传输强加密</w:t>
            </w:r>
          </w:p>
        </w:tc>
        <w:tc>
          <w:tcPr>
            <w:tcW w:w="1901" w:type="pct"/>
            <w:tcMar>
              <w:top w:w="80" w:type="dxa"/>
              <w:left w:w="80" w:type="dxa"/>
              <w:bottom w:w="80" w:type="dxa"/>
              <w:right w:w="80" w:type="dxa"/>
            </w:tcMar>
            <w:vAlign w:val="center"/>
          </w:tcPr>
          <w:p>
            <w:pPr>
              <w:spacing w:line="300" w:lineRule="exact"/>
              <w:ind w:firstLine="0" w:firstLineChars="0"/>
              <w:jc w:val="left"/>
              <w:rPr>
                <w:rFonts w:hint="eastAsia" w:ascii="方正仿宋_GBK" w:hAnsi="方正仿宋_GBK" w:cs="方正仿宋_GBK"/>
                <w:kern w:val="0"/>
                <w:sz w:val="21"/>
                <w:szCs w:val="21"/>
                <w:lang w:bidi="ar"/>
              </w:rPr>
            </w:pPr>
            <w:r>
              <w:rPr>
                <w:rFonts w:hint="eastAsia" w:ascii="方正仿宋_GBK" w:hAnsi="方正仿宋_GBK" w:cs="方正仿宋_GBK"/>
                <w:kern w:val="0"/>
                <w:sz w:val="21"/>
                <w:szCs w:val="21"/>
                <w:lang w:bidi="ar"/>
              </w:rPr>
              <w:t>对外传输链路全程加密，禁止携带原始系统标识、业务主键出域</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5" w:type="dxa"/>
            <w:left w:w="15" w:type="dxa"/>
            <w:bottom w:w="15" w:type="dxa"/>
            <w:right w:w="15" w:type="dxa"/>
          </w:tblCellMar>
        </w:tblPrEx>
        <w:trPr>
          <w:jc w:val="center"/>
        </w:trPr>
        <w:tc>
          <w:tcPr>
            <w:tcW w:w="445" w:type="pct"/>
            <w:vMerge w:val="continue"/>
            <w:tcMar>
              <w:top w:w="80" w:type="dxa"/>
              <w:left w:w="80" w:type="dxa"/>
              <w:bottom w:w="80" w:type="dxa"/>
              <w:right w:w="80" w:type="dxa"/>
            </w:tcMar>
            <w:vAlign w:val="center"/>
          </w:tcPr>
          <w:p>
            <w:pPr>
              <w:spacing w:line="300" w:lineRule="exact"/>
              <w:ind w:firstLine="420"/>
              <w:jc w:val="center"/>
              <w:rPr>
                <w:rFonts w:cs="Times New Roman"/>
                <w:kern w:val="0"/>
                <w:sz w:val="21"/>
                <w:szCs w:val="21"/>
                <w:lang w:bidi="ar"/>
              </w:rPr>
            </w:pPr>
          </w:p>
        </w:tc>
        <w:tc>
          <w:tcPr>
            <w:tcW w:w="764" w:type="pct"/>
            <w:vMerge w:val="continue"/>
            <w:tcMar>
              <w:top w:w="80" w:type="dxa"/>
              <w:left w:w="80" w:type="dxa"/>
              <w:bottom w:w="80" w:type="dxa"/>
              <w:right w:w="80" w:type="dxa"/>
            </w:tcMar>
            <w:vAlign w:val="center"/>
          </w:tcPr>
          <w:p>
            <w:pPr>
              <w:spacing w:line="300" w:lineRule="exact"/>
              <w:ind w:firstLine="420"/>
              <w:jc w:val="center"/>
              <w:rPr>
                <w:rFonts w:cs="Times New Roman"/>
                <w:kern w:val="0"/>
                <w:sz w:val="21"/>
                <w:szCs w:val="21"/>
                <w:lang w:bidi="ar"/>
              </w:rPr>
            </w:pPr>
          </w:p>
        </w:tc>
        <w:tc>
          <w:tcPr>
            <w:tcW w:w="976" w:type="pct"/>
            <w:vMerge w:val="continue"/>
            <w:tcMar>
              <w:top w:w="80" w:type="dxa"/>
              <w:left w:w="80" w:type="dxa"/>
              <w:bottom w:w="80" w:type="dxa"/>
              <w:right w:w="80" w:type="dxa"/>
            </w:tcMar>
            <w:vAlign w:val="center"/>
          </w:tcPr>
          <w:p>
            <w:pPr>
              <w:spacing w:line="300" w:lineRule="exact"/>
              <w:ind w:firstLine="420"/>
              <w:jc w:val="left"/>
              <w:rPr>
                <w:rFonts w:hint="eastAsia" w:ascii="方正仿宋_GBK" w:hAnsi="方正仿宋_GBK" w:cs="方正仿宋_GBK"/>
                <w:kern w:val="0"/>
                <w:sz w:val="21"/>
                <w:szCs w:val="21"/>
                <w:lang w:bidi="ar"/>
              </w:rPr>
            </w:pPr>
          </w:p>
        </w:tc>
        <w:tc>
          <w:tcPr>
            <w:tcW w:w="911" w:type="pct"/>
            <w:tcMar>
              <w:top w:w="80" w:type="dxa"/>
              <w:left w:w="80" w:type="dxa"/>
              <w:bottom w:w="80" w:type="dxa"/>
              <w:right w:w="80" w:type="dxa"/>
            </w:tcMar>
            <w:vAlign w:val="center"/>
          </w:tcPr>
          <w:p>
            <w:pPr>
              <w:spacing w:line="300" w:lineRule="exact"/>
              <w:ind w:firstLine="0" w:firstLineChars="0"/>
              <w:jc w:val="left"/>
              <w:rPr>
                <w:rFonts w:hint="eastAsia" w:ascii="方正仿宋_GBK" w:hAnsi="方正仿宋_GBK" w:cs="方正仿宋_GBK"/>
                <w:kern w:val="0"/>
                <w:sz w:val="21"/>
                <w:szCs w:val="21"/>
                <w:lang w:bidi="ar"/>
              </w:rPr>
            </w:pPr>
            <w:r>
              <w:rPr>
                <w:rFonts w:hint="eastAsia" w:ascii="方正仿宋_GBK" w:hAnsi="方正仿宋_GBK" w:cs="方正仿宋_GBK"/>
                <w:kern w:val="0"/>
                <w:sz w:val="21"/>
                <w:szCs w:val="21"/>
                <w:lang w:bidi="ar"/>
              </w:rPr>
              <w:t>完整单据阻断</w:t>
            </w:r>
          </w:p>
        </w:tc>
        <w:tc>
          <w:tcPr>
            <w:tcW w:w="1901" w:type="pct"/>
            <w:tcMar>
              <w:top w:w="80" w:type="dxa"/>
              <w:left w:w="80" w:type="dxa"/>
              <w:bottom w:w="80" w:type="dxa"/>
              <w:right w:w="80" w:type="dxa"/>
            </w:tcMar>
            <w:vAlign w:val="center"/>
          </w:tcPr>
          <w:p>
            <w:pPr>
              <w:spacing w:line="300" w:lineRule="exact"/>
              <w:ind w:firstLine="0" w:firstLineChars="0"/>
              <w:jc w:val="left"/>
              <w:rPr>
                <w:rFonts w:hint="eastAsia" w:ascii="方正仿宋_GBK" w:hAnsi="方正仿宋_GBK" w:cs="方正仿宋_GBK"/>
                <w:kern w:val="0"/>
                <w:sz w:val="21"/>
                <w:szCs w:val="21"/>
                <w:lang w:bidi="ar"/>
              </w:rPr>
            </w:pPr>
            <w:r>
              <w:rPr>
                <w:rFonts w:hint="eastAsia" w:ascii="方正仿宋_GBK" w:hAnsi="方正仿宋_GBK" w:cs="方正仿宋_GBK"/>
                <w:kern w:val="0"/>
                <w:sz w:val="21"/>
                <w:szCs w:val="21"/>
                <w:lang w:bidi="ar"/>
              </w:rPr>
              <w:t>不允许完整工单、采购合同类</w:t>
            </w:r>
            <w:r>
              <w:rPr>
                <w:rFonts w:cs="Times New Roman"/>
                <w:kern w:val="0"/>
                <w:sz w:val="21"/>
                <w:szCs w:val="21"/>
                <w:lang w:bidi="ar"/>
              </w:rPr>
              <w:t>Token</w:t>
            </w:r>
            <w:r>
              <w:rPr>
                <w:rFonts w:hint="eastAsia" w:ascii="方正仿宋_GBK" w:hAnsi="方正仿宋_GBK" w:cs="方正仿宋_GBK"/>
                <w:kern w:val="0"/>
                <w:sz w:val="21"/>
                <w:szCs w:val="21"/>
                <w:lang w:bidi="ar"/>
              </w:rPr>
              <w:t>通过插件接口对外传输</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5" w:type="dxa"/>
            <w:left w:w="15" w:type="dxa"/>
            <w:bottom w:w="15" w:type="dxa"/>
            <w:right w:w="15" w:type="dxa"/>
          </w:tblCellMar>
        </w:tblPrEx>
        <w:trPr>
          <w:jc w:val="center"/>
        </w:trPr>
        <w:tc>
          <w:tcPr>
            <w:tcW w:w="445" w:type="pct"/>
            <w:vMerge w:val="restart"/>
            <w:tcMar>
              <w:top w:w="80" w:type="dxa"/>
              <w:left w:w="80" w:type="dxa"/>
              <w:bottom w:w="80" w:type="dxa"/>
              <w:right w:w="80" w:type="dxa"/>
            </w:tcMar>
            <w:vAlign w:val="center"/>
          </w:tcPr>
          <w:p>
            <w:pPr>
              <w:spacing w:line="300" w:lineRule="exact"/>
              <w:ind w:firstLine="0" w:firstLineChars="0"/>
              <w:jc w:val="center"/>
              <w:rPr>
                <w:rFonts w:cs="Times New Roman"/>
                <w:kern w:val="0"/>
                <w:sz w:val="21"/>
                <w:szCs w:val="21"/>
                <w:lang w:bidi="ar"/>
              </w:rPr>
            </w:pPr>
            <w:r>
              <w:rPr>
                <w:rFonts w:cs="Times New Roman"/>
                <w:kern w:val="0"/>
                <w:sz w:val="21"/>
                <w:szCs w:val="21"/>
                <w:lang w:bidi="ar"/>
              </w:rPr>
              <w:t>9</w:t>
            </w:r>
          </w:p>
        </w:tc>
        <w:tc>
          <w:tcPr>
            <w:tcW w:w="764" w:type="pct"/>
            <w:vMerge w:val="restart"/>
            <w:tcMar>
              <w:top w:w="80" w:type="dxa"/>
              <w:left w:w="80" w:type="dxa"/>
              <w:bottom w:w="80" w:type="dxa"/>
              <w:right w:w="80" w:type="dxa"/>
            </w:tcMar>
            <w:vAlign w:val="center"/>
          </w:tcPr>
          <w:p>
            <w:pPr>
              <w:spacing w:line="300" w:lineRule="exact"/>
              <w:ind w:firstLine="0" w:firstLineChars="0"/>
              <w:jc w:val="center"/>
              <w:rPr>
                <w:rFonts w:cs="Times New Roman"/>
                <w:kern w:val="0"/>
                <w:sz w:val="21"/>
                <w:szCs w:val="21"/>
                <w:lang w:bidi="ar"/>
              </w:rPr>
            </w:pPr>
            <w:r>
              <w:rPr>
                <w:rFonts w:cs="Times New Roman"/>
                <w:kern w:val="0"/>
                <w:sz w:val="21"/>
                <w:szCs w:val="21"/>
                <w:lang w:bidi="ar"/>
              </w:rPr>
              <w:t>跨场景/跨租户Token流转传输</w:t>
            </w:r>
          </w:p>
        </w:tc>
        <w:tc>
          <w:tcPr>
            <w:tcW w:w="976" w:type="pct"/>
            <w:vMerge w:val="restart"/>
            <w:tcMar>
              <w:top w:w="80" w:type="dxa"/>
              <w:left w:w="80" w:type="dxa"/>
              <w:bottom w:w="80" w:type="dxa"/>
              <w:right w:w="80" w:type="dxa"/>
            </w:tcMar>
            <w:vAlign w:val="center"/>
          </w:tcPr>
          <w:p>
            <w:pPr>
              <w:spacing w:line="300" w:lineRule="exact"/>
              <w:ind w:firstLine="0" w:firstLineChars="0"/>
              <w:jc w:val="left"/>
              <w:rPr>
                <w:rFonts w:hint="eastAsia" w:ascii="方正仿宋_GBK" w:hAnsi="方正仿宋_GBK" w:cs="方正仿宋_GBK"/>
                <w:kern w:val="0"/>
                <w:sz w:val="21"/>
                <w:szCs w:val="21"/>
                <w:lang w:bidi="ar"/>
              </w:rPr>
            </w:pPr>
            <w:r>
              <w:rPr>
                <w:rFonts w:hint="eastAsia" w:ascii="方正仿宋_GBK" w:hAnsi="方正仿宋_GBK" w:cs="方正仿宋_GBK"/>
                <w:kern w:val="0"/>
                <w:sz w:val="21"/>
                <w:szCs w:val="21"/>
                <w:lang w:bidi="ar"/>
              </w:rPr>
              <w:t>多厂区</w:t>
            </w:r>
            <w:r>
              <w:rPr>
                <w:rFonts w:cs="Times New Roman"/>
                <w:kern w:val="0"/>
                <w:sz w:val="21"/>
                <w:szCs w:val="21"/>
                <w:lang w:bidi="ar"/>
              </w:rPr>
              <w:t>MES</w:t>
            </w:r>
            <w:r>
              <w:rPr>
                <w:rFonts w:hint="eastAsia" w:ascii="方正仿宋_GBK" w:hAnsi="方正仿宋_GBK" w:cs="方正仿宋_GBK"/>
                <w:kern w:val="0"/>
                <w:sz w:val="21"/>
                <w:szCs w:val="21"/>
                <w:lang w:bidi="ar"/>
              </w:rPr>
              <w:t>、集团</w:t>
            </w:r>
            <w:r>
              <w:rPr>
                <w:rFonts w:cs="Times New Roman"/>
                <w:kern w:val="0"/>
                <w:sz w:val="21"/>
                <w:szCs w:val="21"/>
                <w:lang w:bidi="ar"/>
              </w:rPr>
              <w:t>SAP</w:t>
            </w:r>
            <w:r>
              <w:rPr>
                <w:rFonts w:hint="eastAsia" w:ascii="方正仿宋_GBK" w:hAnsi="方正仿宋_GBK" w:cs="方正仿宋_GBK"/>
                <w:kern w:val="0"/>
                <w:sz w:val="21"/>
                <w:szCs w:val="21"/>
                <w:lang w:bidi="ar"/>
              </w:rPr>
              <w:t>跨集成同步</w:t>
            </w:r>
            <w:r>
              <w:rPr>
                <w:rFonts w:cs="Times New Roman"/>
                <w:kern w:val="0"/>
                <w:sz w:val="21"/>
                <w:szCs w:val="21"/>
                <w:lang w:bidi="ar"/>
              </w:rPr>
              <w:t>Token</w:t>
            </w:r>
            <w:r>
              <w:rPr>
                <w:rFonts w:hint="eastAsia" w:ascii="方正仿宋_GBK" w:hAnsi="方正仿宋_GBK" w:cs="方正仿宋_GBK"/>
                <w:kern w:val="0"/>
                <w:sz w:val="21"/>
                <w:szCs w:val="21"/>
                <w:lang w:bidi="ar"/>
              </w:rPr>
              <w:t>；本地-公有云双向传输</w:t>
            </w:r>
          </w:p>
        </w:tc>
        <w:tc>
          <w:tcPr>
            <w:tcW w:w="911" w:type="pct"/>
            <w:tcMar>
              <w:top w:w="80" w:type="dxa"/>
              <w:left w:w="80" w:type="dxa"/>
              <w:bottom w:w="80" w:type="dxa"/>
              <w:right w:w="80" w:type="dxa"/>
            </w:tcMar>
            <w:vAlign w:val="center"/>
          </w:tcPr>
          <w:p>
            <w:pPr>
              <w:spacing w:line="300" w:lineRule="exact"/>
              <w:ind w:firstLine="0" w:firstLineChars="0"/>
              <w:jc w:val="left"/>
              <w:rPr>
                <w:rFonts w:hint="eastAsia" w:ascii="方正仿宋_GBK" w:hAnsi="方正仿宋_GBK" w:cs="方正仿宋_GBK"/>
                <w:kern w:val="0"/>
                <w:sz w:val="21"/>
                <w:szCs w:val="21"/>
                <w:lang w:bidi="ar"/>
              </w:rPr>
            </w:pPr>
            <w:r>
              <w:rPr>
                <w:rFonts w:hint="eastAsia" w:ascii="方正仿宋_GBK" w:hAnsi="方正仿宋_GBK" w:cs="方正仿宋_GBK"/>
                <w:kern w:val="0"/>
                <w:sz w:val="21"/>
                <w:szCs w:val="21"/>
                <w:lang w:bidi="ar"/>
              </w:rPr>
              <w:t>跨域传输前置重脱敏</w:t>
            </w:r>
          </w:p>
        </w:tc>
        <w:tc>
          <w:tcPr>
            <w:tcW w:w="1901" w:type="pct"/>
            <w:tcMar>
              <w:top w:w="80" w:type="dxa"/>
              <w:left w:w="80" w:type="dxa"/>
              <w:bottom w:w="80" w:type="dxa"/>
              <w:right w:w="80" w:type="dxa"/>
            </w:tcMar>
            <w:vAlign w:val="center"/>
          </w:tcPr>
          <w:p>
            <w:pPr>
              <w:spacing w:line="300" w:lineRule="exact"/>
              <w:ind w:firstLine="0" w:firstLineChars="0"/>
              <w:jc w:val="left"/>
              <w:rPr>
                <w:rFonts w:hint="eastAsia" w:ascii="方正仿宋_GBK" w:hAnsi="方正仿宋_GBK" w:cs="方正仿宋_GBK"/>
                <w:kern w:val="0"/>
                <w:sz w:val="21"/>
                <w:szCs w:val="21"/>
                <w:lang w:bidi="ar"/>
              </w:rPr>
            </w:pPr>
            <w:r>
              <w:rPr>
                <w:rFonts w:cs="Times New Roman"/>
                <w:kern w:val="0"/>
                <w:sz w:val="21"/>
                <w:szCs w:val="21"/>
                <w:lang w:bidi="ar"/>
              </w:rPr>
              <w:t>Token</w:t>
            </w:r>
            <w:r>
              <w:rPr>
                <w:rFonts w:hint="eastAsia" w:ascii="方正仿宋_GBK" w:hAnsi="方正仿宋_GBK" w:cs="方正仿宋_GBK"/>
                <w:kern w:val="0"/>
                <w:sz w:val="21"/>
                <w:szCs w:val="21"/>
                <w:lang w:bidi="ar"/>
              </w:rPr>
              <w:t>跨安全域、跨租户集成网关前，全量重新清洗敏感信息</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5" w:type="dxa"/>
            <w:left w:w="15" w:type="dxa"/>
            <w:bottom w:w="15" w:type="dxa"/>
            <w:right w:w="15" w:type="dxa"/>
          </w:tblCellMar>
        </w:tblPrEx>
        <w:trPr>
          <w:jc w:val="center"/>
        </w:trPr>
        <w:tc>
          <w:tcPr>
            <w:tcW w:w="445" w:type="pct"/>
            <w:vMerge w:val="continue"/>
            <w:tcMar>
              <w:top w:w="80" w:type="dxa"/>
              <w:left w:w="80" w:type="dxa"/>
              <w:bottom w:w="80" w:type="dxa"/>
              <w:right w:w="80" w:type="dxa"/>
            </w:tcMar>
            <w:vAlign w:val="center"/>
          </w:tcPr>
          <w:p>
            <w:pPr>
              <w:spacing w:line="300" w:lineRule="exact"/>
              <w:ind w:firstLine="420"/>
              <w:jc w:val="center"/>
              <w:rPr>
                <w:rFonts w:cs="Times New Roman"/>
                <w:kern w:val="0"/>
                <w:sz w:val="21"/>
                <w:szCs w:val="21"/>
                <w:lang w:bidi="ar"/>
              </w:rPr>
            </w:pPr>
          </w:p>
        </w:tc>
        <w:tc>
          <w:tcPr>
            <w:tcW w:w="764" w:type="pct"/>
            <w:vMerge w:val="continue"/>
            <w:tcMar>
              <w:top w:w="80" w:type="dxa"/>
              <w:left w:w="80" w:type="dxa"/>
              <w:bottom w:w="80" w:type="dxa"/>
              <w:right w:w="80" w:type="dxa"/>
            </w:tcMar>
            <w:vAlign w:val="center"/>
          </w:tcPr>
          <w:p>
            <w:pPr>
              <w:spacing w:line="300" w:lineRule="exact"/>
              <w:ind w:firstLine="420"/>
              <w:jc w:val="center"/>
              <w:rPr>
                <w:rFonts w:cs="Times New Roman"/>
                <w:kern w:val="0"/>
                <w:sz w:val="21"/>
                <w:szCs w:val="21"/>
                <w:lang w:bidi="ar"/>
              </w:rPr>
            </w:pPr>
          </w:p>
        </w:tc>
        <w:tc>
          <w:tcPr>
            <w:tcW w:w="976" w:type="pct"/>
            <w:vMerge w:val="continue"/>
            <w:tcMar>
              <w:top w:w="80" w:type="dxa"/>
              <w:left w:w="80" w:type="dxa"/>
              <w:bottom w:w="80" w:type="dxa"/>
              <w:right w:w="80" w:type="dxa"/>
            </w:tcMar>
            <w:vAlign w:val="center"/>
          </w:tcPr>
          <w:p>
            <w:pPr>
              <w:spacing w:line="300" w:lineRule="exact"/>
              <w:ind w:firstLine="420"/>
              <w:jc w:val="left"/>
              <w:rPr>
                <w:rFonts w:hint="eastAsia" w:ascii="方正仿宋_GBK" w:hAnsi="方正仿宋_GBK" w:cs="方正仿宋_GBK"/>
                <w:kern w:val="0"/>
                <w:sz w:val="21"/>
                <w:szCs w:val="21"/>
                <w:lang w:bidi="ar"/>
              </w:rPr>
            </w:pPr>
          </w:p>
        </w:tc>
        <w:tc>
          <w:tcPr>
            <w:tcW w:w="911" w:type="pct"/>
            <w:tcMar>
              <w:top w:w="80" w:type="dxa"/>
              <w:left w:w="80" w:type="dxa"/>
              <w:bottom w:w="80" w:type="dxa"/>
              <w:right w:w="80" w:type="dxa"/>
            </w:tcMar>
            <w:vAlign w:val="center"/>
          </w:tcPr>
          <w:p>
            <w:pPr>
              <w:spacing w:line="300" w:lineRule="exact"/>
              <w:ind w:firstLine="0" w:firstLineChars="0"/>
              <w:jc w:val="left"/>
              <w:rPr>
                <w:rFonts w:hint="eastAsia" w:ascii="方正仿宋_GBK" w:hAnsi="方正仿宋_GBK" w:cs="方正仿宋_GBK"/>
                <w:kern w:val="0"/>
                <w:sz w:val="21"/>
                <w:szCs w:val="21"/>
                <w:lang w:bidi="ar"/>
              </w:rPr>
            </w:pPr>
            <w:r>
              <w:rPr>
                <w:rFonts w:hint="eastAsia" w:ascii="方正仿宋_GBK" w:hAnsi="方正仿宋_GBK" w:cs="方正仿宋_GBK"/>
                <w:kern w:val="0"/>
                <w:sz w:val="21"/>
                <w:szCs w:val="21"/>
                <w:lang w:bidi="ar"/>
              </w:rPr>
              <w:t>传输通道隔离</w:t>
            </w:r>
          </w:p>
        </w:tc>
        <w:tc>
          <w:tcPr>
            <w:tcW w:w="1901" w:type="pct"/>
            <w:tcMar>
              <w:top w:w="80" w:type="dxa"/>
              <w:left w:w="80" w:type="dxa"/>
              <w:bottom w:w="80" w:type="dxa"/>
              <w:right w:w="80" w:type="dxa"/>
            </w:tcMar>
            <w:vAlign w:val="center"/>
          </w:tcPr>
          <w:p>
            <w:pPr>
              <w:spacing w:line="300" w:lineRule="exact"/>
              <w:ind w:firstLine="0" w:firstLineChars="0"/>
              <w:jc w:val="left"/>
              <w:rPr>
                <w:rFonts w:hint="eastAsia" w:ascii="方正仿宋_GBK" w:hAnsi="方正仿宋_GBK" w:cs="方正仿宋_GBK"/>
                <w:kern w:val="0"/>
                <w:sz w:val="21"/>
                <w:szCs w:val="21"/>
                <w:lang w:bidi="ar"/>
              </w:rPr>
            </w:pPr>
            <w:r>
              <w:rPr>
                <w:rFonts w:hint="eastAsia" w:ascii="方正仿宋_GBK" w:hAnsi="方正仿宋_GBK" w:cs="方正仿宋_GBK"/>
                <w:kern w:val="0"/>
                <w:sz w:val="21"/>
                <w:szCs w:val="21"/>
                <w:lang w:bidi="ar"/>
              </w:rPr>
              <w:t>高敏感工艺</w:t>
            </w:r>
            <w:r>
              <w:rPr>
                <w:rFonts w:cs="Times New Roman"/>
                <w:kern w:val="0"/>
                <w:sz w:val="21"/>
                <w:szCs w:val="21"/>
                <w:lang w:bidi="ar"/>
              </w:rPr>
              <w:t>Token</w:t>
            </w:r>
            <w:r>
              <w:rPr>
                <w:rFonts w:hint="eastAsia" w:ascii="方正仿宋_GBK" w:hAnsi="方正仿宋_GBK" w:cs="方正仿宋_GBK"/>
                <w:kern w:val="0"/>
                <w:sz w:val="21"/>
                <w:szCs w:val="21"/>
                <w:lang w:bidi="ar"/>
              </w:rPr>
              <w:t>仅内网集成链路流转，区分生产、办公外网独立传输通道</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5" w:type="dxa"/>
            <w:left w:w="15" w:type="dxa"/>
            <w:bottom w:w="15" w:type="dxa"/>
            <w:right w:w="15" w:type="dxa"/>
          </w:tblCellMar>
        </w:tblPrEx>
        <w:trPr>
          <w:jc w:val="center"/>
        </w:trPr>
        <w:tc>
          <w:tcPr>
            <w:tcW w:w="445" w:type="pct"/>
            <w:vMerge w:val="continue"/>
            <w:tcMar>
              <w:top w:w="80" w:type="dxa"/>
              <w:left w:w="80" w:type="dxa"/>
              <w:bottom w:w="80" w:type="dxa"/>
              <w:right w:w="80" w:type="dxa"/>
            </w:tcMar>
            <w:vAlign w:val="center"/>
          </w:tcPr>
          <w:p>
            <w:pPr>
              <w:spacing w:line="300" w:lineRule="exact"/>
              <w:ind w:firstLine="420"/>
              <w:jc w:val="center"/>
              <w:rPr>
                <w:rFonts w:cs="Times New Roman"/>
                <w:kern w:val="0"/>
                <w:sz w:val="21"/>
                <w:szCs w:val="21"/>
                <w:lang w:bidi="ar"/>
              </w:rPr>
            </w:pPr>
          </w:p>
        </w:tc>
        <w:tc>
          <w:tcPr>
            <w:tcW w:w="764" w:type="pct"/>
            <w:vMerge w:val="continue"/>
            <w:tcMar>
              <w:top w:w="80" w:type="dxa"/>
              <w:left w:w="80" w:type="dxa"/>
              <w:bottom w:w="80" w:type="dxa"/>
              <w:right w:w="80" w:type="dxa"/>
            </w:tcMar>
            <w:vAlign w:val="center"/>
          </w:tcPr>
          <w:p>
            <w:pPr>
              <w:spacing w:line="300" w:lineRule="exact"/>
              <w:ind w:firstLine="420"/>
              <w:jc w:val="center"/>
              <w:rPr>
                <w:rFonts w:cs="Times New Roman"/>
                <w:kern w:val="0"/>
                <w:sz w:val="21"/>
                <w:szCs w:val="21"/>
                <w:lang w:bidi="ar"/>
              </w:rPr>
            </w:pPr>
          </w:p>
        </w:tc>
        <w:tc>
          <w:tcPr>
            <w:tcW w:w="976" w:type="pct"/>
            <w:vMerge w:val="continue"/>
            <w:tcMar>
              <w:top w:w="80" w:type="dxa"/>
              <w:left w:w="80" w:type="dxa"/>
              <w:bottom w:w="80" w:type="dxa"/>
              <w:right w:w="80" w:type="dxa"/>
            </w:tcMar>
            <w:vAlign w:val="center"/>
          </w:tcPr>
          <w:p>
            <w:pPr>
              <w:spacing w:line="300" w:lineRule="exact"/>
              <w:ind w:firstLine="420"/>
              <w:jc w:val="left"/>
              <w:rPr>
                <w:rFonts w:hint="eastAsia" w:ascii="方正仿宋_GBK" w:hAnsi="方正仿宋_GBK" w:cs="方正仿宋_GBK"/>
                <w:kern w:val="0"/>
                <w:sz w:val="21"/>
                <w:szCs w:val="21"/>
                <w:lang w:bidi="ar"/>
              </w:rPr>
            </w:pPr>
          </w:p>
        </w:tc>
        <w:tc>
          <w:tcPr>
            <w:tcW w:w="911" w:type="pct"/>
            <w:tcMar>
              <w:top w:w="80" w:type="dxa"/>
              <w:left w:w="80" w:type="dxa"/>
              <w:bottom w:w="80" w:type="dxa"/>
              <w:right w:w="80" w:type="dxa"/>
            </w:tcMar>
            <w:vAlign w:val="center"/>
          </w:tcPr>
          <w:p>
            <w:pPr>
              <w:spacing w:line="300" w:lineRule="exact"/>
              <w:ind w:firstLine="0" w:firstLineChars="0"/>
              <w:jc w:val="left"/>
              <w:rPr>
                <w:rFonts w:hint="eastAsia" w:ascii="方正仿宋_GBK" w:hAnsi="方正仿宋_GBK" w:cs="方正仿宋_GBK"/>
                <w:kern w:val="0"/>
                <w:sz w:val="21"/>
                <w:szCs w:val="21"/>
                <w:lang w:bidi="ar"/>
              </w:rPr>
            </w:pPr>
            <w:r>
              <w:rPr>
                <w:rFonts w:hint="eastAsia" w:ascii="方正仿宋_GBK" w:hAnsi="方正仿宋_GBK" w:cs="方正仿宋_GBK"/>
                <w:kern w:val="0"/>
                <w:sz w:val="21"/>
                <w:szCs w:val="21"/>
                <w:lang w:bidi="ar"/>
              </w:rPr>
              <w:t>租户逻辑隔离</w:t>
            </w:r>
          </w:p>
        </w:tc>
        <w:tc>
          <w:tcPr>
            <w:tcW w:w="1901" w:type="pct"/>
            <w:tcMar>
              <w:top w:w="80" w:type="dxa"/>
              <w:left w:w="80" w:type="dxa"/>
              <w:bottom w:w="80" w:type="dxa"/>
              <w:right w:w="80" w:type="dxa"/>
            </w:tcMar>
            <w:vAlign w:val="center"/>
          </w:tcPr>
          <w:p>
            <w:pPr>
              <w:spacing w:line="300" w:lineRule="exact"/>
              <w:ind w:firstLine="0" w:firstLineChars="0"/>
              <w:jc w:val="left"/>
              <w:rPr>
                <w:rFonts w:hint="eastAsia" w:ascii="方正仿宋_GBK" w:hAnsi="方正仿宋_GBK" w:cs="方正仿宋_GBK"/>
                <w:kern w:val="0"/>
                <w:sz w:val="21"/>
                <w:szCs w:val="21"/>
                <w:lang w:bidi="ar"/>
              </w:rPr>
            </w:pPr>
            <w:r>
              <w:rPr>
                <w:rFonts w:hint="eastAsia" w:ascii="方正仿宋_GBK" w:hAnsi="方正仿宋_GBK" w:cs="方正仿宋_GBK"/>
                <w:kern w:val="0"/>
                <w:sz w:val="21"/>
                <w:szCs w:val="21"/>
                <w:lang w:bidi="ar"/>
              </w:rPr>
              <w:t>不同工厂业务</w:t>
            </w:r>
            <w:r>
              <w:rPr>
                <w:rFonts w:cs="Times New Roman"/>
                <w:kern w:val="0"/>
                <w:sz w:val="21"/>
                <w:szCs w:val="21"/>
                <w:lang w:bidi="ar"/>
              </w:rPr>
              <w:t>Token</w:t>
            </w:r>
            <w:r>
              <w:rPr>
                <w:rFonts w:hint="eastAsia" w:ascii="方正仿宋_GBK" w:hAnsi="方正仿宋_GBK" w:cs="方正仿宋_GBK"/>
                <w:kern w:val="0"/>
                <w:sz w:val="21"/>
                <w:szCs w:val="21"/>
                <w:lang w:bidi="ar"/>
              </w:rPr>
              <w:t>分区存储，跨租户调取数据需重新生成脱敏</w:t>
            </w:r>
            <w:r>
              <w:rPr>
                <w:rFonts w:cs="Times New Roman"/>
                <w:kern w:val="0"/>
                <w:sz w:val="21"/>
                <w:szCs w:val="21"/>
                <w:lang w:bidi="ar"/>
              </w:rPr>
              <w:t>Token</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5" w:type="dxa"/>
            <w:left w:w="15" w:type="dxa"/>
            <w:bottom w:w="15" w:type="dxa"/>
            <w:right w:w="15" w:type="dxa"/>
          </w:tblCellMar>
        </w:tblPrEx>
        <w:trPr>
          <w:jc w:val="center"/>
        </w:trPr>
        <w:tc>
          <w:tcPr>
            <w:tcW w:w="445" w:type="pct"/>
            <w:vMerge w:val="continue"/>
            <w:tcMar>
              <w:top w:w="80" w:type="dxa"/>
              <w:left w:w="80" w:type="dxa"/>
              <w:bottom w:w="80" w:type="dxa"/>
              <w:right w:w="80" w:type="dxa"/>
            </w:tcMar>
            <w:vAlign w:val="center"/>
          </w:tcPr>
          <w:p>
            <w:pPr>
              <w:spacing w:line="300" w:lineRule="exact"/>
              <w:ind w:firstLine="420"/>
              <w:jc w:val="center"/>
              <w:rPr>
                <w:rFonts w:cs="Times New Roman"/>
                <w:kern w:val="0"/>
                <w:sz w:val="21"/>
                <w:szCs w:val="21"/>
                <w:lang w:bidi="ar"/>
              </w:rPr>
            </w:pPr>
          </w:p>
        </w:tc>
        <w:tc>
          <w:tcPr>
            <w:tcW w:w="764" w:type="pct"/>
            <w:vMerge w:val="continue"/>
            <w:tcMar>
              <w:top w:w="80" w:type="dxa"/>
              <w:left w:w="80" w:type="dxa"/>
              <w:bottom w:w="80" w:type="dxa"/>
              <w:right w:w="80" w:type="dxa"/>
            </w:tcMar>
            <w:vAlign w:val="center"/>
          </w:tcPr>
          <w:p>
            <w:pPr>
              <w:spacing w:line="300" w:lineRule="exact"/>
              <w:ind w:firstLine="420"/>
              <w:jc w:val="center"/>
              <w:rPr>
                <w:rFonts w:cs="Times New Roman"/>
                <w:kern w:val="0"/>
                <w:sz w:val="21"/>
                <w:szCs w:val="21"/>
                <w:lang w:bidi="ar"/>
              </w:rPr>
            </w:pPr>
          </w:p>
        </w:tc>
        <w:tc>
          <w:tcPr>
            <w:tcW w:w="976" w:type="pct"/>
            <w:vMerge w:val="continue"/>
            <w:tcMar>
              <w:top w:w="80" w:type="dxa"/>
              <w:left w:w="80" w:type="dxa"/>
              <w:bottom w:w="80" w:type="dxa"/>
              <w:right w:w="80" w:type="dxa"/>
            </w:tcMar>
            <w:vAlign w:val="center"/>
          </w:tcPr>
          <w:p>
            <w:pPr>
              <w:spacing w:line="300" w:lineRule="exact"/>
              <w:ind w:firstLine="420"/>
              <w:jc w:val="left"/>
              <w:rPr>
                <w:rFonts w:hint="eastAsia" w:ascii="方正仿宋_GBK" w:hAnsi="方正仿宋_GBK" w:cs="方正仿宋_GBK"/>
                <w:kern w:val="0"/>
                <w:sz w:val="21"/>
                <w:szCs w:val="21"/>
                <w:lang w:bidi="ar"/>
              </w:rPr>
            </w:pPr>
          </w:p>
        </w:tc>
        <w:tc>
          <w:tcPr>
            <w:tcW w:w="911" w:type="pct"/>
            <w:tcMar>
              <w:top w:w="80" w:type="dxa"/>
              <w:left w:w="80" w:type="dxa"/>
              <w:bottom w:w="80" w:type="dxa"/>
              <w:right w:w="80" w:type="dxa"/>
            </w:tcMar>
            <w:vAlign w:val="center"/>
          </w:tcPr>
          <w:p>
            <w:pPr>
              <w:spacing w:line="300" w:lineRule="exact"/>
              <w:ind w:firstLine="0" w:firstLineChars="0"/>
              <w:jc w:val="left"/>
              <w:rPr>
                <w:rFonts w:hint="eastAsia" w:ascii="方正仿宋_GBK" w:hAnsi="方正仿宋_GBK" w:cs="方正仿宋_GBK"/>
                <w:kern w:val="0"/>
                <w:sz w:val="21"/>
                <w:szCs w:val="21"/>
                <w:lang w:bidi="ar"/>
              </w:rPr>
            </w:pPr>
            <w:r>
              <w:rPr>
                <w:rFonts w:hint="eastAsia" w:ascii="方正仿宋_GBK" w:hAnsi="方正仿宋_GBK" w:cs="方正仿宋_GBK"/>
                <w:kern w:val="0"/>
                <w:sz w:val="21"/>
                <w:szCs w:val="21"/>
                <w:lang w:bidi="ar"/>
              </w:rPr>
              <w:t>无脱敏标记阻断</w:t>
            </w:r>
          </w:p>
        </w:tc>
        <w:tc>
          <w:tcPr>
            <w:tcW w:w="1901" w:type="pct"/>
            <w:tcMar>
              <w:top w:w="80" w:type="dxa"/>
              <w:left w:w="80" w:type="dxa"/>
              <w:bottom w:w="80" w:type="dxa"/>
              <w:right w:w="80" w:type="dxa"/>
            </w:tcMar>
            <w:vAlign w:val="center"/>
          </w:tcPr>
          <w:p>
            <w:pPr>
              <w:spacing w:line="300" w:lineRule="exact"/>
              <w:ind w:firstLine="0" w:firstLineChars="0"/>
              <w:jc w:val="left"/>
              <w:rPr>
                <w:rFonts w:hint="eastAsia" w:ascii="方正仿宋_GBK" w:hAnsi="方正仿宋_GBK" w:cs="方正仿宋_GBK"/>
                <w:kern w:val="0"/>
                <w:sz w:val="21"/>
                <w:szCs w:val="21"/>
                <w:lang w:bidi="ar"/>
              </w:rPr>
            </w:pPr>
            <w:r>
              <w:rPr>
                <w:rFonts w:hint="eastAsia" w:ascii="方正仿宋_GBK" w:hAnsi="方正仿宋_GBK" w:cs="方正仿宋_GBK"/>
                <w:kern w:val="0"/>
                <w:sz w:val="21"/>
                <w:szCs w:val="21"/>
                <w:lang w:bidi="ar"/>
              </w:rPr>
              <w:t>网关校验</w:t>
            </w:r>
            <w:r>
              <w:rPr>
                <w:rFonts w:cs="Times New Roman"/>
                <w:kern w:val="0"/>
                <w:sz w:val="21"/>
                <w:szCs w:val="21"/>
                <w:lang w:bidi="ar"/>
              </w:rPr>
              <w:t>Token</w:t>
            </w:r>
            <w:r>
              <w:rPr>
                <w:rFonts w:hint="eastAsia" w:ascii="方正仿宋_GBK" w:hAnsi="方正仿宋_GBK" w:cs="方正仿宋_GBK"/>
                <w:kern w:val="0"/>
                <w:sz w:val="21"/>
                <w:szCs w:val="21"/>
                <w:lang w:bidi="ar"/>
              </w:rPr>
              <w:t>脱敏标签，标签失效直接阻断整套数据流转</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5" w:type="dxa"/>
            <w:left w:w="15" w:type="dxa"/>
            <w:bottom w:w="15" w:type="dxa"/>
            <w:right w:w="15" w:type="dxa"/>
          </w:tblCellMar>
        </w:tblPrEx>
        <w:trPr>
          <w:jc w:val="center"/>
        </w:trPr>
        <w:tc>
          <w:tcPr>
            <w:tcW w:w="445" w:type="pct"/>
            <w:vMerge w:val="restart"/>
            <w:tcMar>
              <w:top w:w="80" w:type="dxa"/>
              <w:left w:w="80" w:type="dxa"/>
              <w:bottom w:w="80" w:type="dxa"/>
              <w:right w:w="80" w:type="dxa"/>
            </w:tcMar>
            <w:vAlign w:val="center"/>
          </w:tcPr>
          <w:p>
            <w:pPr>
              <w:spacing w:line="300" w:lineRule="exact"/>
              <w:ind w:firstLine="0" w:firstLineChars="0"/>
              <w:jc w:val="center"/>
              <w:rPr>
                <w:rFonts w:cs="Times New Roman"/>
                <w:kern w:val="0"/>
                <w:sz w:val="21"/>
                <w:szCs w:val="21"/>
                <w:lang w:bidi="ar"/>
              </w:rPr>
            </w:pPr>
            <w:r>
              <w:rPr>
                <w:rFonts w:cs="Times New Roman"/>
                <w:kern w:val="0"/>
                <w:sz w:val="21"/>
                <w:szCs w:val="21"/>
                <w:lang w:bidi="ar"/>
              </w:rPr>
              <w:t>10</w:t>
            </w:r>
          </w:p>
        </w:tc>
        <w:tc>
          <w:tcPr>
            <w:tcW w:w="764" w:type="pct"/>
            <w:vMerge w:val="restart"/>
            <w:tcMar>
              <w:top w:w="80" w:type="dxa"/>
              <w:left w:w="80" w:type="dxa"/>
              <w:bottom w:w="80" w:type="dxa"/>
              <w:right w:w="80" w:type="dxa"/>
            </w:tcMar>
            <w:vAlign w:val="center"/>
          </w:tcPr>
          <w:p>
            <w:pPr>
              <w:spacing w:line="300" w:lineRule="exact"/>
              <w:ind w:firstLine="0" w:firstLineChars="0"/>
              <w:jc w:val="center"/>
              <w:rPr>
                <w:rFonts w:cs="Times New Roman"/>
                <w:kern w:val="0"/>
                <w:sz w:val="21"/>
                <w:szCs w:val="21"/>
                <w:lang w:bidi="ar"/>
              </w:rPr>
            </w:pPr>
            <w:r>
              <w:rPr>
                <w:rFonts w:cs="Times New Roman"/>
                <w:kern w:val="0"/>
                <w:sz w:val="21"/>
                <w:szCs w:val="21"/>
                <w:lang w:bidi="ar"/>
              </w:rPr>
              <w:t>Token过期与销毁管控</w:t>
            </w:r>
          </w:p>
        </w:tc>
        <w:tc>
          <w:tcPr>
            <w:tcW w:w="976" w:type="pct"/>
            <w:vMerge w:val="restart"/>
            <w:tcMar>
              <w:top w:w="80" w:type="dxa"/>
              <w:left w:w="80" w:type="dxa"/>
              <w:bottom w:w="80" w:type="dxa"/>
              <w:right w:w="80" w:type="dxa"/>
            </w:tcMar>
            <w:vAlign w:val="center"/>
          </w:tcPr>
          <w:p>
            <w:pPr>
              <w:spacing w:line="300" w:lineRule="exact"/>
              <w:ind w:firstLine="0" w:firstLineChars="0"/>
              <w:jc w:val="left"/>
              <w:rPr>
                <w:rFonts w:hint="eastAsia" w:ascii="方正仿宋_GBK" w:hAnsi="方正仿宋_GBK" w:cs="方正仿宋_GBK"/>
                <w:kern w:val="0"/>
                <w:sz w:val="21"/>
                <w:szCs w:val="21"/>
                <w:lang w:bidi="ar"/>
              </w:rPr>
            </w:pPr>
            <w:r>
              <w:rPr>
                <w:rFonts w:hint="eastAsia" w:ascii="方正仿宋_GBK" w:hAnsi="方正仿宋_GBK" w:cs="方正仿宋_GBK"/>
                <w:kern w:val="0"/>
                <w:sz w:val="21"/>
                <w:szCs w:val="21"/>
                <w:lang w:bidi="ar"/>
              </w:rPr>
              <w:t>系统集成历史交互</w:t>
            </w:r>
            <w:r>
              <w:rPr>
                <w:rFonts w:cs="Times New Roman"/>
                <w:kern w:val="0"/>
                <w:sz w:val="21"/>
                <w:szCs w:val="21"/>
                <w:lang w:bidi="ar"/>
              </w:rPr>
              <w:t>Token</w:t>
            </w:r>
            <w:r>
              <w:rPr>
                <w:rFonts w:hint="eastAsia" w:ascii="方正仿宋_GBK" w:hAnsi="方正仿宋_GBK" w:cs="方正仿宋_GBK"/>
                <w:kern w:val="0"/>
                <w:sz w:val="21"/>
                <w:szCs w:val="21"/>
                <w:lang w:bidi="ar"/>
              </w:rPr>
              <w:t>、过期工艺向量</w:t>
            </w:r>
            <w:r>
              <w:rPr>
                <w:rFonts w:cs="Times New Roman"/>
                <w:kern w:val="0"/>
                <w:sz w:val="21"/>
                <w:szCs w:val="21"/>
                <w:lang w:bidi="ar"/>
              </w:rPr>
              <w:t>Token</w:t>
            </w:r>
            <w:r>
              <w:rPr>
                <w:rFonts w:hint="eastAsia" w:ascii="方正仿宋_GBK" w:hAnsi="方正仿宋_GBK" w:cs="方正仿宋_GBK"/>
                <w:kern w:val="0"/>
                <w:sz w:val="21"/>
                <w:szCs w:val="21"/>
                <w:lang w:bidi="ar"/>
              </w:rPr>
              <w:t>、会话缓存、传输缓冲</w:t>
            </w:r>
            <w:r>
              <w:rPr>
                <w:rFonts w:cs="Times New Roman"/>
                <w:kern w:val="0"/>
                <w:sz w:val="21"/>
                <w:szCs w:val="21"/>
                <w:lang w:bidi="ar"/>
              </w:rPr>
              <w:t>Token</w:t>
            </w:r>
          </w:p>
        </w:tc>
        <w:tc>
          <w:tcPr>
            <w:tcW w:w="911" w:type="pct"/>
            <w:tcMar>
              <w:top w:w="80" w:type="dxa"/>
              <w:left w:w="80" w:type="dxa"/>
              <w:bottom w:w="80" w:type="dxa"/>
              <w:right w:w="80" w:type="dxa"/>
            </w:tcMar>
            <w:vAlign w:val="center"/>
          </w:tcPr>
          <w:p>
            <w:pPr>
              <w:spacing w:line="300" w:lineRule="exact"/>
              <w:ind w:firstLine="0" w:firstLineChars="0"/>
              <w:jc w:val="left"/>
              <w:rPr>
                <w:rFonts w:hint="eastAsia" w:ascii="方正仿宋_GBK" w:hAnsi="方正仿宋_GBK" w:cs="方正仿宋_GBK"/>
                <w:kern w:val="0"/>
                <w:sz w:val="21"/>
                <w:szCs w:val="21"/>
                <w:lang w:bidi="ar"/>
              </w:rPr>
            </w:pPr>
            <w:r>
              <w:rPr>
                <w:rFonts w:hint="eastAsia" w:ascii="方正仿宋_GBK" w:hAnsi="方正仿宋_GBK" w:cs="方正仿宋_GBK"/>
                <w:kern w:val="0"/>
                <w:sz w:val="21"/>
                <w:szCs w:val="21"/>
                <w:lang w:bidi="ar"/>
              </w:rPr>
              <w:t>分级定时销毁</w:t>
            </w:r>
          </w:p>
        </w:tc>
        <w:tc>
          <w:tcPr>
            <w:tcW w:w="1901" w:type="pct"/>
            <w:tcMar>
              <w:top w:w="80" w:type="dxa"/>
              <w:left w:w="80" w:type="dxa"/>
              <w:bottom w:w="80" w:type="dxa"/>
              <w:right w:w="80" w:type="dxa"/>
            </w:tcMar>
            <w:vAlign w:val="center"/>
          </w:tcPr>
          <w:p>
            <w:pPr>
              <w:spacing w:line="300" w:lineRule="exact"/>
              <w:ind w:firstLine="0" w:firstLineChars="0"/>
              <w:jc w:val="left"/>
              <w:rPr>
                <w:rFonts w:hint="eastAsia" w:ascii="方正仿宋_GBK" w:hAnsi="方正仿宋_GBK" w:cs="方正仿宋_GBK"/>
                <w:kern w:val="0"/>
                <w:sz w:val="21"/>
                <w:szCs w:val="21"/>
                <w:lang w:bidi="ar"/>
              </w:rPr>
            </w:pPr>
            <w:r>
              <w:rPr>
                <w:rFonts w:cs="Times New Roman"/>
                <w:kern w:val="0"/>
                <w:sz w:val="21"/>
                <w:szCs w:val="21"/>
                <w:lang w:bidi="ar"/>
              </w:rPr>
              <w:t>MES</w:t>
            </w:r>
            <w:r>
              <w:rPr>
                <w:rFonts w:hint="eastAsia" w:ascii="方正仿宋_GBK" w:hAnsi="方正仿宋_GBK" w:cs="方正仿宋_GBK"/>
                <w:kern w:val="0"/>
                <w:sz w:val="21"/>
                <w:szCs w:val="21"/>
                <w:lang w:bidi="ar"/>
              </w:rPr>
              <w:t>工艺、</w:t>
            </w:r>
            <w:r>
              <w:rPr>
                <w:rFonts w:cs="Times New Roman"/>
                <w:kern w:val="0"/>
                <w:sz w:val="21"/>
                <w:szCs w:val="21"/>
                <w:lang w:bidi="ar"/>
              </w:rPr>
              <w:t>SAP</w:t>
            </w:r>
            <w:r>
              <w:rPr>
                <w:rFonts w:hint="eastAsia" w:ascii="方正仿宋_GBK" w:hAnsi="方正仿宋_GBK" w:cs="方正仿宋_GBK"/>
                <w:kern w:val="0"/>
                <w:sz w:val="21"/>
                <w:szCs w:val="21"/>
                <w:lang w:bidi="ar"/>
              </w:rPr>
              <w:t>财务高敏感</w:t>
            </w:r>
            <w:r>
              <w:rPr>
                <w:rFonts w:cs="Times New Roman"/>
                <w:kern w:val="0"/>
                <w:sz w:val="21"/>
                <w:szCs w:val="21"/>
                <w:lang w:bidi="ar"/>
              </w:rPr>
              <w:t>Token</w:t>
            </w:r>
            <w:r>
              <w:rPr>
                <w:rFonts w:hint="eastAsia" w:ascii="方正仿宋_GBK" w:hAnsi="方正仿宋_GBK" w:cs="方正仿宋_GBK"/>
                <w:kern w:val="0"/>
                <w:sz w:val="21"/>
                <w:szCs w:val="21"/>
                <w:lang w:bidi="ar"/>
              </w:rPr>
              <w:t>会话结束立即销毁；普通业务按周期自动清理</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5" w:type="dxa"/>
            <w:left w:w="15" w:type="dxa"/>
            <w:bottom w:w="15" w:type="dxa"/>
            <w:right w:w="15" w:type="dxa"/>
          </w:tblCellMar>
        </w:tblPrEx>
        <w:trPr>
          <w:jc w:val="center"/>
        </w:trPr>
        <w:tc>
          <w:tcPr>
            <w:tcW w:w="445" w:type="pct"/>
            <w:vMerge w:val="continue"/>
            <w:tcMar>
              <w:top w:w="80" w:type="dxa"/>
              <w:left w:w="80" w:type="dxa"/>
              <w:bottom w:w="80" w:type="dxa"/>
              <w:right w:w="80" w:type="dxa"/>
            </w:tcMar>
            <w:vAlign w:val="center"/>
          </w:tcPr>
          <w:p>
            <w:pPr>
              <w:spacing w:line="300" w:lineRule="exact"/>
              <w:ind w:firstLine="420"/>
              <w:jc w:val="center"/>
              <w:rPr>
                <w:rFonts w:cs="Times New Roman"/>
                <w:kern w:val="0"/>
                <w:sz w:val="21"/>
                <w:szCs w:val="21"/>
                <w:lang w:bidi="ar"/>
              </w:rPr>
            </w:pPr>
          </w:p>
        </w:tc>
        <w:tc>
          <w:tcPr>
            <w:tcW w:w="764" w:type="pct"/>
            <w:vMerge w:val="continue"/>
            <w:tcMar>
              <w:top w:w="80" w:type="dxa"/>
              <w:left w:w="80" w:type="dxa"/>
              <w:bottom w:w="80" w:type="dxa"/>
              <w:right w:w="80" w:type="dxa"/>
            </w:tcMar>
            <w:vAlign w:val="center"/>
          </w:tcPr>
          <w:p>
            <w:pPr>
              <w:spacing w:line="300" w:lineRule="exact"/>
              <w:ind w:firstLine="420"/>
              <w:jc w:val="center"/>
              <w:rPr>
                <w:rFonts w:cs="Times New Roman"/>
                <w:kern w:val="0"/>
                <w:sz w:val="21"/>
                <w:szCs w:val="21"/>
                <w:lang w:bidi="ar"/>
              </w:rPr>
            </w:pPr>
          </w:p>
        </w:tc>
        <w:tc>
          <w:tcPr>
            <w:tcW w:w="976" w:type="pct"/>
            <w:vMerge w:val="continue"/>
            <w:tcMar>
              <w:top w:w="80" w:type="dxa"/>
              <w:left w:w="80" w:type="dxa"/>
              <w:bottom w:w="80" w:type="dxa"/>
              <w:right w:w="80" w:type="dxa"/>
            </w:tcMar>
            <w:vAlign w:val="center"/>
          </w:tcPr>
          <w:p>
            <w:pPr>
              <w:spacing w:line="300" w:lineRule="exact"/>
              <w:ind w:firstLine="420"/>
              <w:jc w:val="left"/>
              <w:rPr>
                <w:rFonts w:hint="eastAsia" w:ascii="方正仿宋_GBK" w:hAnsi="方正仿宋_GBK" w:cs="方正仿宋_GBK"/>
                <w:kern w:val="0"/>
                <w:sz w:val="21"/>
                <w:szCs w:val="21"/>
                <w:lang w:bidi="ar"/>
              </w:rPr>
            </w:pPr>
          </w:p>
        </w:tc>
        <w:tc>
          <w:tcPr>
            <w:tcW w:w="911" w:type="pct"/>
            <w:tcMar>
              <w:top w:w="80" w:type="dxa"/>
              <w:left w:w="80" w:type="dxa"/>
              <w:bottom w:w="80" w:type="dxa"/>
              <w:right w:w="80" w:type="dxa"/>
            </w:tcMar>
            <w:vAlign w:val="center"/>
          </w:tcPr>
          <w:p>
            <w:pPr>
              <w:spacing w:line="300" w:lineRule="exact"/>
              <w:ind w:firstLine="0" w:firstLineChars="0"/>
              <w:jc w:val="left"/>
              <w:rPr>
                <w:rFonts w:hint="eastAsia" w:ascii="方正仿宋_GBK" w:hAnsi="方正仿宋_GBK" w:cs="方正仿宋_GBK"/>
                <w:kern w:val="0"/>
                <w:sz w:val="21"/>
                <w:szCs w:val="21"/>
                <w:lang w:bidi="ar"/>
              </w:rPr>
            </w:pPr>
            <w:r>
              <w:rPr>
                <w:rFonts w:hint="eastAsia" w:ascii="方正仿宋_GBK" w:hAnsi="方正仿宋_GBK" w:cs="方正仿宋_GBK"/>
                <w:kern w:val="0"/>
                <w:sz w:val="21"/>
                <w:szCs w:val="21"/>
                <w:lang w:bidi="ar"/>
              </w:rPr>
              <w:t>联动业务删除</w:t>
            </w:r>
          </w:p>
        </w:tc>
        <w:tc>
          <w:tcPr>
            <w:tcW w:w="1901" w:type="pct"/>
            <w:tcMar>
              <w:top w:w="80" w:type="dxa"/>
              <w:left w:w="80" w:type="dxa"/>
              <w:bottom w:w="80" w:type="dxa"/>
              <w:right w:w="80" w:type="dxa"/>
            </w:tcMar>
            <w:vAlign w:val="center"/>
          </w:tcPr>
          <w:p>
            <w:pPr>
              <w:spacing w:line="300" w:lineRule="exact"/>
              <w:ind w:firstLine="0" w:firstLineChars="0"/>
              <w:jc w:val="left"/>
              <w:rPr>
                <w:rFonts w:hint="eastAsia" w:ascii="方正仿宋_GBK" w:hAnsi="方正仿宋_GBK" w:cs="方正仿宋_GBK"/>
                <w:kern w:val="0"/>
                <w:sz w:val="21"/>
                <w:szCs w:val="21"/>
                <w:lang w:bidi="ar"/>
              </w:rPr>
            </w:pPr>
            <w:r>
              <w:rPr>
                <w:rFonts w:cs="Times New Roman"/>
                <w:kern w:val="0"/>
                <w:sz w:val="21"/>
                <w:szCs w:val="21"/>
                <w:lang w:bidi="ar"/>
              </w:rPr>
              <w:t>SAP</w:t>
            </w:r>
            <w:r>
              <w:rPr>
                <w:rFonts w:hint="eastAsia" w:ascii="方正仿宋_GBK" w:hAnsi="方正仿宋_GBK" w:cs="方正仿宋_GBK"/>
                <w:kern w:val="0"/>
                <w:sz w:val="21"/>
                <w:szCs w:val="21"/>
                <w:lang w:bidi="ar"/>
              </w:rPr>
              <w:t>单据、</w:t>
            </w:r>
            <w:r>
              <w:rPr>
                <w:rFonts w:cs="Times New Roman"/>
                <w:kern w:val="0"/>
                <w:sz w:val="21"/>
                <w:szCs w:val="21"/>
                <w:lang w:bidi="ar"/>
              </w:rPr>
              <w:t>MES</w:t>
            </w:r>
            <w:r>
              <w:rPr>
                <w:rFonts w:hint="eastAsia" w:ascii="方正仿宋_GBK" w:hAnsi="方正仿宋_GBK" w:cs="方正仿宋_GBK"/>
                <w:kern w:val="0"/>
                <w:sz w:val="21"/>
                <w:szCs w:val="21"/>
                <w:lang w:bidi="ar"/>
              </w:rPr>
              <w:t>工单删除后，同步清理缓存、向量库全部关联</w:t>
            </w:r>
            <w:r>
              <w:rPr>
                <w:rFonts w:cs="Times New Roman"/>
                <w:kern w:val="0"/>
                <w:sz w:val="21"/>
                <w:szCs w:val="21"/>
                <w:lang w:bidi="ar"/>
              </w:rPr>
              <w:t>Token</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5" w:type="dxa"/>
            <w:left w:w="15" w:type="dxa"/>
            <w:bottom w:w="15" w:type="dxa"/>
            <w:right w:w="15" w:type="dxa"/>
          </w:tblCellMar>
        </w:tblPrEx>
        <w:trPr>
          <w:jc w:val="center"/>
        </w:trPr>
        <w:tc>
          <w:tcPr>
            <w:tcW w:w="445" w:type="pct"/>
            <w:vMerge w:val="continue"/>
            <w:tcMar>
              <w:top w:w="80" w:type="dxa"/>
              <w:left w:w="80" w:type="dxa"/>
              <w:bottom w:w="80" w:type="dxa"/>
              <w:right w:w="80" w:type="dxa"/>
            </w:tcMar>
            <w:vAlign w:val="center"/>
          </w:tcPr>
          <w:p>
            <w:pPr>
              <w:spacing w:line="300" w:lineRule="exact"/>
              <w:ind w:firstLine="420"/>
              <w:jc w:val="center"/>
              <w:rPr>
                <w:rFonts w:cs="Times New Roman"/>
                <w:kern w:val="0"/>
                <w:sz w:val="21"/>
                <w:szCs w:val="21"/>
                <w:lang w:bidi="ar"/>
              </w:rPr>
            </w:pPr>
          </w:p>
        </w:tc>
        <w:tc>
          <w:tcPr>
            <w:tcW w:w="764" w:type="pct"/>
            <w:vMerge w:val="continue"/>
            <w:tcMar>
              <w:top w:w="80" w:type="dxa"/>
              <w:left w:w="80" w:type="dxa"/>
              <w:bottom w:w="80" w:type="dxa"/>
              <w:right w:w="80" w:type="dxa"/>
            </w:tcMar>
            <w:vAlign w:val="center"/>
          </w:tcPr>
          <w:p>
            <w:pPr>
              <w:spacing w:line="300" w:lineRule="exact"/>
              <w:ind w:firstLine="420"/>
              <w:jc w:val="center"/>
              <w:rPr>
                <w:rFonts w:cs="Times New Roman"/>
                <w:kern w:val="0"/>
                <w:sz w:val="21"/>
                <w:szCs w:val="21"/>
                <w:lang w:bidi="ar"/>
              </w:rPr>
            </w:pPr>
          </w:p>
        </w:tc>
        <w:tc>
          <w:tcPr>
            <w:tcW w:w="976" w:type="pct"/>
            <w:vMerge w:val="continue"/>
            <w:tcMar>
              <w:top w:w="80" w:type="dxa"/>
              <w:left w:w="80" w:type="dxa"/>
              <w:bottom w:w="80" w:type="dxa"/>
              <w:right w:w="80" w:type="dxa"/>
            </w:tcMar>
            <w:vAlign w:val="center"/>
          </w:tcPr>
          <w:p>
            <w:pPr>
              <w:spacing w:line="300" w:lineRule="exact"/>
              <w:ind w:firstLine="420"/>
              <w:jc w:val="left"/>
              <w:rPr>
                <w:rFonts w:hint="eastAsia" w:ascii="方正仿宋_GBK" w:hAnsi="方正仿宋_GBK" w:cs="方正仿宋_GBK"/>
                <w:kern w:val="0"/>
                <w:sz w:val="21"/>
                <w:szCs w:val="21"/>
                <w:lang w:bidi="ar"/>
              </w:rPr>
            </w:pPr>
          </w:p>
        </w:tc>
        <w:tc>
          <w:tcPr>
            <w:tcW w:w="911" w:type="pct"/>
            <w:tcMar>
              <w:top w:w="80" w:type="dxa"/>
              <w:left w:w="80" w:type="dxa"/>
              <w:bottom w:w="80" w:type="dxa"/>
              <w:right w:w="80" w:type="dxa"/>
            </w:tcMar>
            <w:vAlign w:val="center"/>
          </w:tcPr>
          <w:p>
            <w:pPr>
              <w:spacing w:line="300" w:lineRule="exact"/>
              <w:ind w:firstLine="0" w:firstLineChars="0"/>
              <w:jc w:val="left"/>
              <w:rPr>
                <w:rFonts w:hint="eastAsia" w:ascii="方正仿宋_GBK" w:hAnsi="方正仿宋_GBK" w:cs="方正仿宋_GBK"/>
                <w:kern w:val="0"/>
                <w:sz w:val="21"/>
                <w:szCs w:val="21"/>
                <w:lang w:bidi="ar"/>
              </w:rPr>
            </w:pPr>
            <w:r>
              <w:rPr>
                <w:rFonts w:hint="eastAsia" w:ascii="方正仿宋_GBK" w:hAnsi="方正仿宋_GBK" w:cs="方正仿宋_GBK"/>
                <w:kern w:val="0"/>
                <w:sz w:val="21"/>
                <w:szCs w:val="21"/>
                <w:lang w:bidi="ar"/>
              </w:rPr>
              <w:t>销毁审计留痕</w:t>
            </w:r>
          </w:p>
        </w:tc>
        <w:tc>
          <w:tcPr>
            <w:tcW w:w="1901" w:type="pct"/>
            <w:tcMar>
              <w:top w:w="80" w:type="dxa"/>
              <w:left w:w="80" w:type="dxa"/>
              <w:bottom w:w="80" w:type="dxa"/>
              <w:right w:w="80" w:type="dxa"/>
            </w:tcMar>
            <w:vAlign w:val="center"/>
          </w:tcPr>
          <w:p>
            <w:pPr>
              <w:spacing w:line="300" w:lineRule="exact"/>
              <w:ind w:firstLine="0" w:firstLineChars="0"/>
              <w:jc w:val="left"/>
              <w:rPr>
                <w:rFonts w:hint="eastAsia" w:ascii="方正仿宋_GBK" w:hAnsi="方正仿宋_GBK" w:cs="方正仿宋_GBK"/>
                <w:kern w:val="0"/>
                <w:sz w:val="21"/>
                <w:szCs w:val="21"/>
                <w:lang w:bidi="ar"/>
              </w:rPr>
            </w:pPr>
            <w:r>
              <w:rPr>
                <w:rFonts w:hint="eastAsia" w:ascii="方正仿宋_GBK" w:hAnsi="方正仿宋_GBK" w:cs="方正仿宋_GBK"/>
                <w:kern w:val="0"/>
                <w:sz w:val="21"/>
                <w:szCs w:val="21"/>
                <w:lang w:bidi="ar"/>
              </w:rPr>
              <w:t>记录销毁</w:t>
            </w:r>
            <w:r>
              <w:rPr>
                <w:rFonts w:cs="Times New Roman"/>
                <w:kern w:val="0"/>
                <w:sz w:val="21"/>
                <w:szCs w:val="21"/>
                <w:lang w:bidi="ar"/>
              </w:rPr>
              <w:t>Token</w:t>
            </w:r>
            <w:r>
              <w:rPr>
                <w:rFonts w:hint="eastAsia" w:ascii="方正仿宋_GBK" w:hAnsi="方正仿宋_GBK" w:cs="方正仿宋_GBK"/>
                <w:kern w:val="0"/>
                <w:sz w:val="21"/>
                <w:szCs w:val="21"/>
                <w:lang w:bidi="ar"/>
              </w:rPr>
              <w:t>对应系统、集成接口、敏感等级，审计日志长期留存</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5" w:type="dxa"/>
            <w:left w:w="15" w:type="dxa"/>
            <w:bottom w:w="15" w:type="dxa"/>
            <w:right w:w="15" w:type="dxa"/>
          </w:tblCellMar>
        </w:tblPrEx>
        <w:trPr>
          <w:jc w:val="center"/>
        </w:trPr>
        <w:tc>
          <w:tcPr>
            <w:tcW w:w="445" w:type="pct"/>
            <w:vMerge w:val="continue"/>
            <w:tcMar>
              <w:top w:w="80" w:type="dxa"/>
              <w:left w:w="80" w:type="dxa"/>
              <w:bottom w:w="80" w:type="dxa"/>
              <w:right w:w="80" w:type="dxa"/>
            </w:tcMar>
            <w:vAlign w:val="center"/>
          </w:tcPr>
          <w:p>
            <w:pPr>
              <w:spacing w:line="300" w:lineRule="exact"/>
              <w:ind w:firstLine="420"/>
              <w:jc w:val="center"/>
              <w:rPr>
                <w:rFonts w:cs="Times New Roman"/>
                <w:kern w:val="0"/>
                <w:sz w:val="21"/>
                <w:szCs w:val="21"/>
                <w:lang w:bidi="ar"/>
              </w:rPr>
            </w:pPr>
          </w:p>
        </w:tc>
        <w:tc>
          <w:tcPr>
            <w:tcW w:w="764" w:type="pct"/>
            <w:vMerge w:val="continue"/>
            <w:tcMar>
              <w:top w:w="80" w:type="dxa"/>
              <w:left w:w="80" w:type="dxa"/>
              <w:bottom w:w="80" w:type="dxa"/>
              <w:right w:w="80" w:type="dxa"/>
            </w:tcMar>
            <w:vAlign w:val="center"/>
          </w:tcPr>
          <w:p>
            <w:pPr>
              <w:spacing w:line="300" w:lineRule="exact"/>
              <w:ind w:firstLine="420"/>
              <w:jc w:val="center"/>
              <w:rPr>
                <w:rFonts w:cs="Times New Roman"/>
                <w:kern w:val="0"/>
                <w:sz w:val="21"/>
                <w:szCs w:val="21"/>
                <w:lang w:bidi="ar"/>
              </w:rPr>
            </w:pPr>
          </w:p>
        </w:tc>
        <w:tc>
          <w:tcPr>
            <w:tcW w:w="976" w:type="pct"/>
            <w:vMerge w:val="continue"/>
            <w:tcMar>
              <w:top w:w="80" w:type="dxa"/>
              <w:left w:w="80" w:type="dxa"/>
              <w:bottom w:w="80" w:type="dxa"/>
              <w:right w:w="80" w:type="dxa"/>
            </w:tcMar>
            <w:vAlign w:val="center"/>
          </w:tcPr>
          <w:p>
            <w:pPr>
              <w:spacing w:line="300" w:lineRule="exact"/>
              <w:ind w:firstLine="420"/>
              <w:jc w:val="left"/>
              <w:rPr>
                <w:rFonts w:hint="eastAsia" w:ascii="方正仿宋_GBK" w:hAnsi="方正仿宋_GBK" w:cs="方正仿宋_GBK"/>
                <w:kern w:val="0"/>
                <w:sz w:val="21"/>
                <w:szCs w:val="21"/>
                <w:lang w:bidi="ar"/>
              </w:rPr>
            </w:pPr>
          </w:p>
        </w:tc>
        <w:tc>
          <w:tcPr>
            <w:tcW w:w="911" w:type="pct"/>
            <w:tcMar>
              <w:top w:w="80" w:type="dxa"/>
              <w:left w:w="80" w:type="dxa"/>
              <w:bottom w:w="80" w:type="dxa"/>
              <w:right w:w="80" w:type="dxa"/>
            </w:tcMar>
            <w:vAlign w:val="center"/>
          </w:tcPr>
          <w:p>
            <w:pPr>
              <w:spacing w:line="300" w:lineRule="exact"/>
              <w:ind w:firstLine="0" w:firstLineChars="0"/>
              <w:jc w:val="left"/>
              <w:rPr>
                <w:rFonts w:hint="eastAsia" w:ascii="方正仿宋_GBK" w:hAnsi="方正仿宋_GBK" w:cs="方正仿宋_GBK"/>
                <w:kern w:val="0"/>
                <w:sz w:val="21"/>
                <w:szCs w:val="21"/>
                <w:lang w:bidi="ar"/>
              </w:rPr>
            </w:pPr>
            <w:r>
              <w:rPr>
                <w:rFonts w:hint="eastAsia" w:ascii="方正仿宋_GBK" w:hAnsi="方正仿宋_GBK" w:cs="方正仿宋_GBK"/>
                <w:kern w:val="0"/>
                <w:sz w:val="21"/>
                <w:szCs w:val="21"/>
                <w:lang w:bidi="ar"/>
              </w:rPr>
              <w:t>销毁传输中转存</w:t>
            </w:r>
          </w:p>
        </w:tc>
        <w:tc>
          <w:tcPr>
            <w:tcW w:w="1901" w:type="pct"/>
            <w:tcMar>
              <w:top w:w="80" w:type="dxa"/>
              <w:left w:w="80" w:type="dxa"/>
              <w:bottom w:w="80" w:type="dxa"/>
              <w:right w:w="80" w:type="dxa"/>
            </w:tcMar>
            <w:vAlign w:val="center"/>
          </w:tcPr>
          <w:p>
            <w:pPr>
              <w:spacing w:line="300" w:lineRule="exact"/>
              <w:ind w:firstLine="0" w:firstLineChars="0"/>
              <w:jc w:val="left"/>
              <w:rPr>
                <w:rFonts w:hint="eastAsia" w:ascii="方正仿宋_GBK" w:hAnsi="方正仿宋_GBK" w:cs="方正仿宋_GBK"/>
                <w:kern w:val="0"/>
                <w:sz w:val="21"/>
                <w:szCs w:val="21"/>
                <w:lang w:bidi="ar"/>
              </w:rPr>
            </w:pPr>
            <w:r>
              <w:rPr>
                <w:rFonts w:hint="eastAsia" w:ascii="方正仿宋_GBK" w:hAnsi="方正仿宋_GBK" w:cs="方正仿宋_GBK"/>
                <w:kern w:val="0"/>
                <w:sz w:val="21"/>
                <w:szCs w:val="21"/>
                <w:lang w:bidi="ar"/>
              </w:rPr>
              <w:t>传输链路临时缓存过期</w:t>
            </w:r>
            <w:r>
              <w:rPr>
                <w:rFonts w:cs="Times New Roman"/>
                <w:kern w:val="0"/>
                <w:sz w:val="21"/>
                <w:szCs w:val="21"/>
                <w:lang w:bidi="ar"/>
              </w:rPr>
              <w:t>Token</w:t>
            </w:r>
            <w:r>
              <w:rPr>
                <w:rFonts w:hint="eastAsia" w:ascii="方正仿宋_GBK" w:hAnsi="方正仿宋_GBK" w:cs="方正仿宋_GBK"/>
                <w:kern w:val="0"/>
                <w:sz w:val="21"/>
                <w:szCs w:val="21"/>
                <w:lang w:bidi="ar"/>
              </w:rPr>
              <w:t>统一加密销毁，无敏感残留</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5" w:type="dxa"/>
            <w:left w:w="15" w:type="dxa"/>
            <w:bottom w:w="15" w:type="dxa"/>
            <w:right w:w="15" w:type="dxa"/>
          </w:tblCellMar>
        </w:tblPrEx>
        <w:trPr>
          <w:jc w:val="center"/>
        </w:trPr>
        <w:tc>
          <w:tcPr>
            <w:tcW w:w="445" w:type="pct"/>
            <w:vMerge w:val="restart"/>
            <w:tcMar>
              <w:top w:w="80" w:type="dxa"/>
              <w:left w:w="80" w:type="dxa"/>
              <w:bottom w:w="80" w:type="dxa"/>
              <w:right w:w="80" w:type="dxa"/>
            </w:tcMar>
            <w:vAlign w:val="center"/>
          </w:tcPr>
          <w:p>
            <w:pPr>
              <w:spacing w:line="300" w:lineRule="exact"/>
              <w:ind w:firstLine="0" w:firstLineChars="0"/>
              <w:jc w:val="center"/>
              <w:rPr>
                <w:rFonts w:cs="Times New Roman"/>
                <w:kern w:val="0"/>
                <w:sz w:val="21"/>
                <w:szCs w:val="21"/>
                <w:lang w:bidi="ar"/>
              </w:rPr>
            </w:pPr>
            <w:r>
              <w:rPr>
                <w:rFonts w:cs="Times New Roman"/>
                <w:kern w:val="0"/>
                <w:sz w:val="21"/>
                <w:szCs w:val="21"/>
                <w:lang w:bidi="ar"/>
              </w:rPr>
              <w:t>11</w:t>
            </w:r>
          </w:p>
        </w:tc>
        <w:tc>
          <w:tcPr>
            <w:tcW w:w="764" w:type="pct"/>
            <w:vMerge w:val="restart"/>
            <w:tcMar>
              <w:top w:w="80" w:type="dxa"/>
              <w:left w:w="80" w:type="dxa"/>
              <w:bottom w:w="80" w:type="dxa"/>
              <w:right w:w="80" w:type="dxa"/>
            </w:tcMar>
            <w:vAlign w:val="center"/>
          </w:tcPr>
          <w:p>
            <w:pPr>
              <w:spacing w:line="300" w:lineRule="exact"/>
              <w:ind w:firstLine="0" w:firstLineChars="0"/>
              <w:jc w:val="center"/>
              <w:rPr>
                <w:rFonts w:cs="Times New Roman"/>
                <w:kern w:val="0"/>
                <w:sz w:val="21"/>
                <w:szCs w:val="21"/>
                <w:lang w:bidi="ar"/>
              </w:rPr>
            </w:pPr>
            <w:r>
              <w:rPr>
                <w:rFonts w:cs="Times New Roman"/>
                <w:kern w:val="0"/>
                <w:sz w:val="21"/>
                <w:szCs w:val="21"/>
                <w:lang w:bidi="ar"/>
              </w:rPr>
              <w:t>批量离线Token任务专项管控</w:t>
            </w:r>
          </w:p>
        </w:tc>
        <w:tc>
          <w:tcPr>
            <w:tcW w:w="976" w:type="pct"/>
            <w:vMerge w:val="restart"/>
            <w:tcMar>
              <w:top w:w="80" w:type="dxa"/>
              <w:left w:w="80" w:type="dxa"/>
              <w:bottom w:w="80" w:type="dxa"/>
              <w:right w:w="80" w:type="dxa"/>
            </w:tcMar>
            <w:vAlign w:val="center"/>
          </w:tcPr>
          <w:p>
            <w:pPr>
              <w:spacing w:line="300" w:lineRule="exact"/>
              <w:ind w:firstLine="0" w:firstLineChars="0"/>
              <w:jc w:val="left"/>
              <w:rPr>
                <w:rFonts w:hint="eastAsia" w:ascii="方正仿宋_GBK" w:hAnsi="方正仿宋_GBK" w:cs="方正仿宋_GBK"/>
                <w:kern w:val="0"/>
                <w:sz w:val="21"/>
                <w:szCs w:val="21"/>
                <w:lang w:bidi="ar"/>
              </w:rPr>
            </w:pPr>
            <w:r>
              <w:rPr>
                <w:rFonts w:cs="Times New Roman"/>
                <w:kern w:val="0"/>
                <w:sz w:val="21"/>
                <w:szCs w:val="21"/>
                <w:lang w:bidi="ar"/>
              </w:rPr>
              <w:t>SAP</w:t>
            </w:r>
            <w:r>
              <w:rPr>
                <w:rFonts w:hint="eastAsia" w:ascii="方正仿宋_GBK" w:hAnsi="方正仿宋_GBK" w:cs="方正仿宋_GBK"/>
                <w:kern w:val="0"/>
                <w:sz w:val="21"/>
                <w:szCs w:val="21"/>
                <w:lang w:bidi="ar"/>
              </w:rPr>
              <w:t>月度报表、</w:t>
            </w:r>
            <w:r>
              <w:rPr>
                <w:rFonts w:cs="Times New Roman"/>
                <w:kern w:val="0"/>
                <w:sz w:val="21"/>
                <w:szCs w:val="21"/>
                <w:lang w:bidi="ar"/>
              </w:rPr>
              <w:t>MES</w:t>
            </w:r>
            <w:r>
              <w:rPr>
                <w:rFonts w:hint="eastAsia" w:ascii="方正仿宋_GBK" w:hAnsi="方正仿宋_GBK" w:cs="方正仿宋_GBK"/>
                <w:kern w:val="0"/>
                <w:sz w:val="21"/>
                <w:szCs w:val="21"/>
                <w:lang w:bidi="ar"/>
              </w:rPr>
              <w:t>年度工艺档案、</w:t>
            </w:r>
            <w:r>
              <w:rPr>
                <w:rFonts w:cs="Times New Roman"/>
                <w:kern w:val="0"/>
                <w:sz w:val="21"/>
                <w:szCs w:val="21"/>
                <w:lang w:bidi="ar"/>
              </w:rPr>
              <w:t>PLM</w:t>
            </w:r>
            <w:r>
              <w:rPr>
                <w:rFonts w:hint="eastAsia" w:ascii="方正仿宋_GBK" w:hAnsi="方正仿宋_GBK" w:cs="方正仿宋_GBK"/>
                <w:kern w:val="0"/>
                <w:sz w:val="21"/>
                <w:szCs w:val="21"/>
                <w:lang w:bidi="ar"/>
              </w:rPr>
              <w:t>图纸批量入库、离线微调数据集</w:t>
            </w:r>
          </w:p>
        </w:tc>
        <w:tc>
          <w:tcPr>
            <w:tcW w:w="911" w:type="pct"/>
            <w:tcMar>
              <w:top w:w="80" w:type="dxa"/>
              <w:left w:w="80" w:type="dxa"/>
              <w:bottom w:w="80" w:type="dxa"/>
              <w:right w:w="80" w:type="dxa"/>
            </w:tcMar>
            <w:vAlign w:val="center"/>
          </w:tcPr>
          <w:p>
            <w:pPr>
              <w:spacing w:line="300" w:lineRule="exact"/>
              <w:ind w:firstLine="0" w:firstLineChars="0"/>
              <w:jc w:val="left"/>
              <w:rPr>
                <w:rFonts w:hint="eastAsia" w:ascii="方正仿宋_GBK" w:hAnsi="方正仿宋_GBK" w:cs="方正仿宋_GBK"/>
                <w:kern w:val="0"/>
                <w:sz w:val="21"/>
                <w:szCs w:val="21"/>
                <w:lang w:bidi="ar"/>
              </w:rPr>
            </w:pPr>
            <w:r>
              <w:rPr>
                <w:rFonts w:hint="eastAsia" w:ascii="方正仿宋_GBK" w:hAnsi="方正仿宋_GBK" w:cs="方正仿宋_GBK"/>
                <w:kern w:val="0"/>
                <w:sz w:val="21"/>
                <w:szCs w:val="21"/>
                <w:lang w:bidi="ar"/>
              </w:rPr>
              <w:t>批量前置静态脱敏</w:t>
            </w:r>
          </w:p>
        </w:tc>
        <w:tc>
          <w:tcPr>
            <w:tcW w:w="1901" w:type="pct"/>
            <w:tcMar>
              <w:top w:w="80" w:type="dxa"/>
              <w:left w:w="80" w:type="dxa"/>
              <w:bottom w:w="80" w:type="dxa"/>
              <w:right w:w="80" w:type="dxa"/>
            </w:tcMar>
            <w:vAlign w:val="center"/>
          </w:tcPr>
          <w:p>
            <w:pPr>
              <w:spacing w:line="300" w:lineRule="exact"/>
              <w:ind w:firstLine="0" w:firstLineChars="0"/>
              <w:jc w:val="left"/>
              <w:rPr>
                <w:rFonts w:hint="eastAsia" w:ascii="方正仿宋_GBK" w:hAnsi="方正仿宋_GBK" w:cs="方正仿宋_GBK"/>
                <w:kern w:val="0"/>
                <w:sz w:val="21"/>
                <w:szCs w:val="21"/>
                <w:lang w:bidi="ar"/>
              </w:rPr>
            </w:pPr>
            <w:r>
              <w:rPr>
                <w:rFonts w:hint="eastAsia" w:ascii="方正仿宋_GBK" w:hAnsi="方正仿宋_GBK" w:cs="方正仿宋_GBK"/>
                <w:kern w:val="0"/>
                <w:sz w:val="21"/>
                <w:szCs w:val="21"/>
                <w:lang w:bidi="ar"/>
              </w:rPr>
              <w:t>大批量工业数据集成同步前统一全库脱敏，再批量生成</w:t>
            </w:r>
            <w:r>
              <w:rPr>
                <w:rFonts w:cs="Times New Roman"/>
                <w:kern w:val="0"/>
                <w:sz w:val="21"/>
                <w:szCs w:val="21"/>
                <w:lang w:bidi="ar"/>
              </w:rPr>
              <w:t>Token</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5" w:type="dxa"/>
            <w:left w:w="15" w:type="dxa"/>
            <w:bottom w:w="15" w:type="dxa"/>
            <w:right w:w="15" w:type="dxa"/>
          </w:tblCellMar>
        </w:tblPrEx>
        <w:trPr>
          <w:jc w:val="center"/>
        </w:trPr>
        <w:tc>
          <w:tcPr>
            <w:tcW w:w="445" w:type="pct"/>
            <w:vMerge w:val="continue"/>
            <w:tcMar>
              <w:top w:w="80" w:type="dxa"/>
              <w:left w:w="80" w:type="dxa"/>
              <w:bottom w:w="80" w:type="dxa"/>
              <w:right w:w="80" w:type="dxa"/>
            </w:tcMar>
            <w:vAlign w:val="center"/>
          </w:tcPr>
          <w:p>
            <w:pPr>
              <w:spacing w:line="300" w:lineRule="exact"/>
              <w:ind w:firstLine="420"/>
              <w:jc w:val="left"/>
              <w:rPr>
                <w:rFonts w:hint="eastAsia" w:ascii="方正仿宋_GBK" w:hAnsi="方正仿宋_GBK" w:cs="方正仿宋_GBK"/>
                <w:kern w:val="0"/>
                <w:sz w:val="21"/>
                <w:szCs w:val="21"/>
                <w:lang w:bidi="ar"/>
              </w:rPr>
            </w:pPr>
          </w:p>
        </w:tc>
        <w:tc>
          <w:tcPr>
            <w:tcW w:w="764" w:type="pct"/>
            <w:vMerge w:val="continue"/>
            <w:tcMar>
              <w:top w:w="80" w:type="dxa"/>
              <w:left w:w="80" w:type="dxa"/>
              <w:bottom w:w="80" w:type="dxa"/>
              <w:right w:w="80" w:type="dxa"/>
            </w:tcMar>
            <w:vAlign w:val="center"/>
          </w:tcPr>
          <w:p>
            <w:pPr>
              <w:spacing w:line="300" w:lineRule="exact"/>
              <w:ind w:firstLine="420"/>
              <w:jc w:val="left"/>
              <w:rPr>
                <w:rFonts w:hint="eastAsia" w:ascii="方正仿宋_GBK" w:hAnsi="方正仿宋_GBK" w:cs="方正仿宋_GBK"/>
                <w:kern w:val="0"/>
                <w:sz w:val="21"/>
                <w:szCs w:val="21"/>
                <w:lang w:bidi="ar"/>
              </w:rPr>
            </w:pPr>
          </w:p>
        </w:tc>
        <w:tc>
          <w:tcPr>
            <w:tcW w:w="976" w:type="pct"/>
            <w:vMerge w:val="continue"/>
            <w:tcMar>
              <w:top w:w="80" w:type="dxa"/>
              <w:left w:w="80" w:type="dxa"/>
              <w:bottom w:w="80" w:type="dxa"/>
              <w:right w:w="80" w:type="dxa"/>
            </w:tcMar>
            <w:vAlign w:val="center"/>
          </w:tcPr>
          <w:p>
            <w:pPr>
              <w:spacing w:line="300" w:lineRule="exact"/>
              <w:ind w:firstLine="420"/>
              <w:jc w:val="left"/>
              <w:rPr>
                <w:rFonts w:hint="eastAsia" w:ascii="方正仿宋_GBK" w:hAnsi="方正仿宋_GBK" w:cs="方正仿宋_GBK"/>
                <w:kern w:val="0"/>
                <w:sz w:val="21"/>
                <w:szCs w:val="21"/>
                <w:lang w:bidi="ar"/>
              </w:rPr>
            </w:pPr>
          </w:p>
        </w:tc>
        <w:tc>
          <w:tcPr>
            <w:tcW w:w="911" w:type="pct"/>
            <w:tcMar>
              <w:top w:w="80" w:type="dxa"/>
              <w:left w:w="80" w:type="dxa"/>
              <w:bottom w:w="80" w:type="dxa"/>
              <w:right w:w="80" w:type="dxa"/>
            </w:tcMar>
            <w:vAlign w:val="center"/>
          </w:tcPr>
          <w:p>
            <w:pPr>
              <w:spacing w:line="300" w:lineRule="exact"/>
              <w:ind w:firstLine="0" w:firstLineChars="0"/>
              <w:jc w:val="left"/>
              <w:rPr>
                <w:rFonts w:hint="eastAsia" w:ascii="方正仿宋_GBK" w:hAnsi="方正仿宋_GBK" w:cs="方正仿宋_GBK"/>
                <w:kern w:val="0"/>
                <w:sz w:val="21"/>
                <w:szCs w:val="21"/>
                <w:lang w:bidi="ar"/>
              </w:rPr>
            </w:pPr>
            <w:r>
              <w:rPr>
                <w:rFonts w:hint="eastAsia" w:ascii="方正仿宋_GBK" w:hAnsi="方正仿宋_GBK" w:cs="方正仿宋_GBK"/>
                <w:kern w:val="0"/>
                <w:sz w:val="21"/>
                <w:szCs w:val="21"/>
                <w:lang w:bidi="ar"/>
              </w:rPr>
              <w:t>批量任务限流错峰</w:t>
            </w:r>
          </w:p>
        </w:tc>
        <w:tc>
          <w:tcPr>
            <w:tcW w:w="1901" w:type="pct"/>
            <w:tcMar>
              <w:top w:w="80" w:type="dxa"/>
              <w:left w:w="80" w:type="dxa"/>
              <w:bottom w:w="80" w:type="dxa"/>
              <w:right w:w="80" w:type="dxa"/>
            </w:tcMar>
            <w:vAlign w:val="center"/>
          </w:tcPr>
          <w:p>
            <w:pPr>
              <w:spacing w:line="300" w:lineRule="exact"/>
              <w:ind w:firstLine="0" w:firstLineChars="0"/>
              <w:jc w:val="left"/>
              <w:rPr>
                <w:rFonts w:hint="eastAsia" w:ascii="方正仿宋_GBK" w:hAnsi="方正仿宋_GBK" w:cs="方正仿宋_GBK"/>
                <w:kern w:val="0"/>
                <w:sz w:val="21"/>
                <w:szCs w:val="21"/>
                <w:lang w:bidi="ar"/>
              </w:rPr>
            </w:pPr>
            <w:r>
              <w:rPr>
                <w:rFonts w:hint="eastAsia" w:ascii="方正仿宋_GBK" w:hAnsi="方正仿宋_GBK" w:cs="方正仿宋_GBK"/>
                <w:kern w:val="0"/>
                <w:sz w:val="21"/>
                <w:szCs w:val="21"/>
                <w:lang w:bidi="ar"/>
              </w:rPr>
              <w:t>大批量传输调度至业务低峰，不占用产线实时集成带宽</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5" w:type="dxa"/>
            <w:left w:w="15" w:type="dxa"/>
            <w:bottom w:w="15" w:type="dxa"/>
            <w:right w:w="15" w:type="dxa"/>
          </w:tblCellMar>
        </w:tblPrEx>
        <w:trPr>
          <w:jc w:val="center"/>
        </w:trPr>
        <w:tc>
          <w:tcPr>
            <w:tcW w:w="445" w:type="pct"/>
            <w:vMerge w:val="continue"/>
            <w:tcMar>
              <w:top w:w="80" w:type="dxa"/>
              <w:left w:w="80" w:type="dxa"/>
              <w:bottom w:w="80" w:type="dxa"/>
              <w:right w:w="80" w:type="dxa"/>
            </w:tcMar>
            <w:vAlign w:val="center"/>
          </w:tcPr>
          <w:p>
            <w:pPr>
              <w:spacing w:line="300" w:lineRule="exact"/>
              <w:ind w:firstLine="420"/>
              <w:jc w:val="left"/>
              <w:rPr>
                <w:rFonts w:hint="eastAsia" w:ascii="方正仿宋_GBK" w:hAnsi="方正仿宋_GBK" w:cs="方正仿宋_GBK"/>
                <w:kern w:val="0"/>
                <w:sz w:val="21"/>
                <w:szCs w:val="21"/>
                <w:lang w:bidi="ar"/>
              </w:rPr>
            </w:pPr>
          </w:p>
        </w:tc>
        <w:tc>
          <w:tcPr>
            <w:tcW w:w="764" w:type="pct"/>
            <w:vMerge w:val="continue"/>
            <w:tcMar>
              <w:top w:w="80" w:type="dxa"/>
              <w:left w:w="80" w:type="dxa"/>
              <w:bottom w:w="80" w:type="dxa"/>
              <w:right w:w="80" w:type="dxa"/>
            </w:tcMar>
            <w:vAlign w:val="center"/>
          </w:tcPr>
          <w:p>
            <w:pPr>
              <w:spacing w:line="300" w:lineRule="exact"/>
              <w:ind w:firstLine="420"/>
              <w:jc w:val="left"/>
              <w:rPr>
                <w:rFonts w:hint="eastAsia" w:ascii="方正仿宋_GBK" w:hAnsi="方正仿宋_GBK" w:cs="方正仿宋_GBK"/>
                <w:kern w:val="0"/>
                <w:sz w:val="21"/>
                <w:szCs w:val="21"/>
                <w:lang w:bidi="ar"/>
              </w:rPr>
            </w:pPr>
          </w:p>
        </w:tc>
        <w:tc>
          <w:tcPr>
            <w:tcW w:w="976" w:type="pct"/>
            <w:vMerge w:val="continue"/>
            <w:tcMar>
              <w:top w:w="80" w:type="dxa"/>
              <w:left w:w="80" w:type="dxa"/>
              <w:bottom w:w="80" w:type="dxa"/>
              <w:right w:w="80" w:type="dxa"/>
            </w:tcMar>
            <w:vAlign w:val="center"/>
          </w:tcPr>
          <w:p>
            <w:pPr>
              <w:spacing w:line="300" w:lineRule="exact"/>
              <w:ind w:firstLine="420"/>
              <w:jc w:val="left"/>
              <w:rPr>
                <w:rFonts w:hint="eastAsia" w:ascii="方正仿宋_GBK" w:hAnsi="方正仿宋_GBK" w:cs="方正仿宋_GBK"/>
                <w:kern w:val="0"/>
                <w:sz w:val="21"/>
                <w:szCs w:val="21"/>
                <w:lang w:bidi="ar"/>
              </w:rPr>
            </w:pPr>
          </w:p>
        </w:tc>
        <w:tc>
          <w:tcPr>
            <w:tcW w:w="911" w:type="pct"/>
            <w:tcMar>
              <w:top w:w="80" w:type="dxa"/>
              <w:left w:w="80" w:type="dxa"/>
              <w:bottom w:w="80" w:type="dxa"/>
              <w:right w:w="80" w:type="dxa"/>
            </w:tcMar>
            <w:vAlign w:val="center"/>
          </w:tcPr>
          <w:p>
            <w:pPr>
              <w:spacing w:line="300" w:lineRule="exact"/>
              <w:ind w:firstLine="0" w:firstLineChars="0"/>
              <w:jc w:val="left"/>
              <w:rPr>
                <w:rFonts w:hint="eastAsia" w:ascii="方正仿宋_GBK" w:hAnsi="方正仿宋_GBK" w:cs="方正仿宋_GBK"/>
                <w:kern w:val="0"/>
                <w:sz w:val="21"/>
                <w:szCs w:val="21"/>
                <w:lang w:bidi="ar"/>
              </w:rPr>
            </w:pPr>
            <w:r>
              <w:rPr>
                <w:rFonts w:hint="eastAsia" w:ascii="方正仿宋_GBK" w:hAnsi="方正仿宋_GBK" w:cs="方正仿宋_GBK"/>
                <w:kern w:val="0"/>
                <w:sz w:val="21"/>
                <w:szCs w:val="21"/>
                <w:lang w:bidi="ar"/>
              </w:rPr>
              <w:t>离线文件加密传输</w:t>
            </w:r>
          </w:p>
        </w:tc>
        <w:tc>
          <w:tcPr>
            <w:tcW w:w="1901" w:type="pct"/>
            <w:tcMar>
              <w:top w:w="80" w:type="dxa"/>
              <w:left w:w="80" w:type="dxa"/>
              <w:bottom w:w="80" w:type="dxa"/>
              <w:right w:w="80" w:type="dxa"/>
            </w:tcMar>
            <w:vAlign w:val="center"/>
          </w:tcPr>
          <w:p>
            <w:pPr>
              <w:spacing w:line="300" w:lineRule="exact"/>
              <w:ind w:firstLine="0" w:firstLineChars="0"/>
              <w:jc w:val="left"/>
              <w:rPr>
                <w:rFonts w:hint="eastAsia" w:ascii="方正仿宋_GBK" w:hAnsi="方正仿宋_GBK" w:cs="方正仿宋_GBK"/>
                <w:kern w:val="0"/>
                <w:sz w:val="21"/>
                <w:szCs w:val="21"/>
                <w:lang w:bidi="ar"/>
              </w:rPr>
            </w:pPr>
            <w:r>
              <w:rPr>
                <w:rFonts w:hint="eastAsia" w:ascii="方正仿宋_GBK" w:hAnsi="方正仿宋_GBK" w:cs="方正仿宋_GBK"/>
                <w:kern w:val="0"/>
                <w:sz w:val="21"/>
                <w:szCs w:val="21"/>
                <w:lang w:bidi="ar"/>
              </w:rPr>
              <w:t>批量</w:t>
            </w:r>
            <w:r>
              <w:rPr>
                <w:rFonts w:cs="Times New Roman"/>
                <w:kern w:val="0"/>
                <w:sz w:val="21"/>
                <w:szCs w:val="21"/>
                <w:lang w:bidi="ar"/>
              </w:rPr>
              <w:t>Token</w:t>
            </w:r>
            <w:r>
              <w:rPr>
                <w:rFonts w:hint="eastAsia" w:ascii="方正仿宋_GBK" w:hAnsi="方正仿宋_GBK" w:cs="方正仿宋_GBK"/>
                <w:kern w:val="0"/>
                <w:sz w:val="21"/>
                <w:szCs w:val="21"/>
                <w:lang w:bidi="ar"/>
              </w:rPr>
              <w:t>文件本地加密存储，禁止大批量涉密工艺</w:t>
            </w:r>
            <w:r>
              <w:rPr>
                <w:rFonts w:cs="Times New Roman"/>
                <w:kern w:val="0"/>
                <w:sz w:val="21"/>
                <w:szCs w:val="21"/>
                <w:lang w:bidi="ar"/>
              </w:rPr>
              <w:t>Token</w:t>
            </w:r>
            <w:r>
              <w:rPr>
                <w:rFonts w:hint="eastAsia" w:ascii="方正仿宋_GBK" w:hAnsi="方正仿宋_GBK" w:cs="方正仿宋_GBK"/>
                <w:kern w:val="0"/>
                <w:sz w:val="21"/>
                <w:szCs w:val="21"/>
                <w:lang w:bidi="ar"/>
              </w:rPr>
              <w:t>上传公有云</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5" w:type="dxa"/>
            <w:left w:w="15" w:type="dxa"/>
            <w:bottom w:w="15" w:type="dxa"/>
            <w:right w:w="15" w:type="dxa"/>
          </w:tblCellMar>
        </w:tblPrEx>
        <w:trPr>
          <w:jc w:val="center"/>
        </w:trPr>
        <w:tc>
          <w:tcPr>
            <w:tcW w:w="445" w:type="pct"/>
            <w:vMerge w:val="continue"/>
            <w:tcMar>
              <w:top w:w="80" w:type="dxa"/>
              <w:left w:w="80" w:type="dxa"/>
              <w:bottom w:w="80" w:type="dxa"/>
              <w:right w:w="80" w:type="dxa"/>
            </w:tcMar>
            <w:vAlign w:val="center"/>
          </w:tcPr>
          <w:p>
            <w:pPr>
              <w:spacing w:line="300" w:lineRule="exact"/>
              <w:ind w:firstLine="420"/>
              <w:jc w:val="left"/>
              <w:rPr>
                <w:rFonts w:hint="eastAsia" w:ascii="方正仿宋_GBK" w:hAnsi="方正仿宋_GBK" w:cs="方正仿宋_GBK"/>
                <w:kern w:val="0"/>
                <w:sz w:val="21"/>
                <w:szCs w:val="21"/>
                <w:lang w:bidi="ar"/>
              </w:rPr>
            </w:pPr>
          </w:p>
        </w:tc>
        <w:tc>
          <w:tcPr>
            <w:tcW w:w="764" w:type="pct"/>
            <w:vMerge w:val="continue"/>
            <w:tcMar>
              <w:top w:w="80" w:type="dxa"/>
              <w:left w:w="80" w:type="dxa"/>
              <w:bottom w:w="80" w:type="dxa"/>
              <w:right w:w="80" w:type="dxa"/>
            </w:tcMar>
            <w:vAlign w:val="center"/>
          </w:tcPr>
          <w:p>
            <w:pPr>
              <w:spacing w:line="300" w:lineRule="exact"/>
              <w:ind w:firstLine="420"/>
              <w:jc w:val="left"/>
              <w:rPr>
                <w:rFonts w:hint="eastAsia" w:ascii="方正仿宋_GBK" w:hAnsi="方正仿宋_GBK" w:cs="方正仿宋_GBK"/>
                <w:kern w:val="0"/>
                <w:sz w:val="21"/>
                <w:szCs w:val="21"/>
                <w:lang w:bidi="ar"/>
              </w:rPr>
            </w:pPr>
          </w:p>
        </w:tc>
        <w:tc>
          <w:tcPr>
            <w:tcW w:w="976" w:type="pct"/>
            <w:vMerge w:val="continue"/>
            <w:tcMar>
              <w:top w:w="80" w:type="dxa"/>
              <w:left w:w="80" w:type="dxa"/>
              <w:bottom w:w="80" w:type="dxa"/>
              <w:right w:w="80" w:type="dxa"/>
            </w:tcMar>
            <w:vAlign w:val="center"/>
          </w:tcPr>
          <w:p>
            <w:pPr>
              <w:spacing w:line="300" w:lineRule="exact"/>
              <w:ind w:firstLine="420"/>
              <w:jc w:val="left"/>
              <w:rPr>
                <w:rFonts w:hint="eastAsia" w:ascii="方正仿宋_GBK" w:hAnsi="方正仿宋_GBK" w:cs="方正仿宋_GBK"/>
                <w:kern w:val="0"/>
                <w:sz w:val="21"/>
                <w:szCs w:val="21"/>
                <w:lang w:bidi="ar"/>
              </w:rPr>
            </w:pPr>
          </w:p>
        </w:tc>
        <w:tc>
          <w:tcPr>
            <w:tcW w:w="911" w:type="pct"/>
            <w:tcMar>
              <w:top w:w="80" w:type="dxa"/>
              <w:left w:w="80" w:type="dxa"/>
              <w:bottom w:w="80" w:type="dxa"/>
              <w:right w:w="80" w:type="dxa"/>
            </w:tcMar>
            <w:vAlign w:val="center"/>
          </w:tcPr>
          <w:p>
            <w:pPr>
              <w:spacing w:line="300" w:lineRule="exact"/>
              <w:ind w:firstLine="0" w:firstLineChars="0"/>
              <w:jc w:val="left"/>
              <w:rPr>
                <w:rFonts w:hint="eastAsia" w:ascii="方正仿宋_GBK" w:hAnsi="方正仿宋_GBK" w:cs="方正仿宋_GBK"/>
                <w:kern w:val="0"/>
                <w:sz w:val="21"/>
                <w:szCs w:val="21"/>
                <w:lang w:bidi="ar"/>
              </w:rPr>
            </w:pPr>
            <w:r>
              <w:rPr>
                <w:rFonts w:hint="eastAsia" w:ascii="方正仿宋_GBK" w:hAnsi="方正仿宋_GBK" w:cs="方正仿宋_GBK"/>
                <w:kern w:val="0"/>
                <w:sz w:val="21"/>
                <w:szCs w:val="21"/>
                <w:lang w:bidi="ar"/>
              </w:rPr>
              <w:t>微调数据集过滤</w:t>
            </w:r>
          </w:p>
        </w:tc>
        <w:tc>
          <w:tcPr>
            <w:tcW w:w="1901" w:type="pct"/>
            <w:tcMar>
              <w:top w:w="80" w:type="dxa"/>
              <w:left w:w="80" w:type="dxa"/>
              <w:bottom w:w="80" w:type="dxa"/>
              <w:right w:w="80" w:type="dxa"/>
            </w:tcMar>
            <w:vAlign w:val="center"/>
          </w:tcPr>
          <w:p>
            <w:pPr>
              <w:spacing w:line="300" w:lineRule="exact"/>
              <w:ind w:firstLine="0" w:firstLineChars="0"/>
              <w:jc w:val="left"/>
              <w:rPr>
                <w:rFonts w:hint="eastAsia" w:ascii="方正仿宋_GBK" w:hAnsi="方正仿宋_GBK" w:cs="方正仿宋_GBK"/>
                <w:kern w:val="0"/>
                <w:sz w:val="21"/>
                <w:szCs w:val="21"/>
                <w:lang w:bidi="ar"/>
              </w:rPr>
            </w:pPr>
            <w:r>
              <w:rPr>
                <w:rFonts w:hint="eastAsia" w:ascii="方正仿宋_GBK" w:hAnsi="方正仿宋_GBK" w:cs="方正仿宋_GBK"/>
                <w:kern w:val="0"/>
                <w:sz w:val="21"/>
                <w:szCs w:val="21"/>
                <w:lang w:bidi="ar"/>
              </w:rPr>
              <w:t>离线训练批量</w:t>
            </w:r>
            <w:r>
              <w:rPr>
                <w:rFonts w:cs="Times New Roman"/>
                <w:kern w:val="0"/>
                <w:sz w:val="21"/>
                <w:szCs w:val="21"/>
                <w:lang w:bidi="ar"/>
              </w:rPr>
              <w:t>Token</w:t>
            </w:r>
            <w:r>
              <w:rPr>
                <w:rFonts w:hint="eastAsia" w:ascii="方正仿宋_GBK" w:hAnsi="方正仿宋_GBK" w:cs="方正仿宋_GBK"/>
                <w:kern w:val="0"/>
                <w:sz w:val="21"/>
                <w:szCs w:val="21"/>
                <w:lang w:bidi="ar"/>
              </w:rPr>
              <w:t>剔除</w:t>
            </w:r>
            <w:r>
              <w:rPr>
                <w:rFonts w:cs="Times New Roman"/>
                <w:kern w:val="0"/>
                <w:sz w:val="21"/>
                <w:szCs w:val="21"/>
                <w:lang w:bidi="ar"/>
              </w:rPr>
              <w:t>SAP</w:t>
            </w:r>
            <w:r>
              <w:rPr>
                <w:rFonts w:hint="eastAsia" w:ascii="方正仿宋_GBK" w:hAnsi="方正仿宋_GBK" w:cs="方正仿宋_GBK"/>
                <w:kern w:val="0"/>
                <w:sz w:val="21"/>
                <w:szCs w:val="21"/>
                <w:lang w:bidi="ar"/>
              </w:rPr>
              <w:t>成本、</w:t>
            </w:r>
            <w:r>
              <w:rPr>
                <w:rFonts w:cs="Times New Roman"/>
                <w:kern w:val="0"/>
                <w:sz w:val="21"/>
                <w:szCs w:val="21"/>
                <w:lang w:bidi="ar"/>
              </w:rPr>
              <w:t>MES</w:t>
            </w:r>
            <w:r>
              <w:rPr>
                <w:rFonts w:hint="eastAsia" w:ascii="方正仿宋_GBK" w:hAnsi="方正仿宋_GBK" w:cs="方正仿宋_GBK"/>
                <w:kern w:val="0"/>
                <w:sz w:val="21"/>
                <w:szCs w:val="21"/>
                <w:lang w:bidi="ar"/>
              </w:rPr>
              <w:t>核心工艺敏感片段</w:t>
            </w:r>
          </w:p>
        </w:tc>
      </w:tr>
    </w:tbl>
    <w:p>
      <w:pPr>
        <w:pStyle w:val="4"/>
        <w:numPr>
          <w:ilvl w:val="0"/>
          <w:numId w:val="2"/>
        </w:numPr>
        <w:ind w:left="0" w:firstLine="643"/>
      </w:pPr>
      <w:bookmarkStart w:id="60" w:name="_Toc25315"/>
      <w:bookmarkStart w:id="61" w:name="_Toc1842"/>
      <w:r>
        <w:rPr>
          <w:rFonts w:hint="eastAsia"/>
        </w:rPr>
        <w:t>实时监控与审计</w:t>
      </w:r>
      <w:bookmarkEnd w:id="60"/>
      <w:bookmarkEnd w:id="61"/>
    </w:p>
    <w:p>
      <w:pPr>
        <w:ind w:firstLine="640"/>
      </w:pPr>
      <w:r>
        <w:rPr>
          <w:rFonts w:hint="eastAsia"/>
        </w:rPr>
        <w:t>异常监控与管控的目标是管控成本失控、数据泄露、业务中断与权责不清四类风险。构建异常监控与审计体系需遵循四大原则：一是全链路日志不可篡改；二是高风险操作强制人工复核；三是运行时动态监测与异常自动熔断；四是安全审计常态化迭代适配AI技术升级。</w:t>
      </w:r>
    </w:p>
    <w:p>
      <w:pPr>
        <w:ind w:firstLine="643"/>
      </w:pPr>
      <w:r>
        <w:rPr>
          <w:rFonts w:hint="eastAsia"/>
          <w:b/>
          <w:bCs/>
        </w:rPr>
        <w:t>具体来看，公有云API模式下</w:t>
      </w:r>
      <w:r>
        <w:rPr>
          <w:rFonts w:hint="eastAsia"/>
        </w:rPr>
        <w:t>，管控核心为接口全链路观测与数据边界防护。监控方面，建议采用“业务审计+底层观测”的双层机制，一是依托虚拟凭证完成每一次请求级审计，完整留存调用链路与消耗数据；二是对接云厂商可观测性工具，持续追踪首包响应时延、接口限流报错等底层指标，评估云端服务稳定能力。审计方面，需将请求与响应元数据持久化存储至云端日志服务，在API访问边界部署大模型安全防火墙，拦截提示词注入与企业敏感数据违规外传等风险行为。</w:t>
      </w:r>
    </w:p>
    <w:p>
      <w:pPr>
        <w:ind w:firstLine="643"/>
      </w:pPr>
      <w:r>
        <w:rPr>
          <w:rFonts w:hint="eastAsia"/>
          <w:b/>
          <w:bCs/>
        </w:rPr>
        <w:t>本地部署模式下</w:t>
      </w:r>
      <w:r>
        <w:rPr>
          <w:rFonts w:hint="eastAsia"/>
        </w:rPr>
        <w:t>，管控核心为全栈硬件监控与内网自主深度审计。监控方面，除API接口响应指标外，还需实时采集GPU利用率、显存占用、推理延迟及硬件温度等底层硬件指标，防范算力瓶颈或硬件过热宕机等故障。审计方面，所有运行日志均本地加密存储，企业需对敏感字段进行脱敏处理。内网部署基于属性的精细化访问控制体系，集成全流量行为检测，识别非工作时段异常批量调用等高风险操作。</w:t>
      </w:r>
    </w:p>
    <w:p>
      <w:pPr>
        <w:ind w:firstLine="640"/>
      </w:pPr>
      <w:r>
        <w:rPr>
          <w:rFonts w:hint="eastAsia"/>
        </w:rPr>
        <w:t>同时，两种部署模式均需建立审计结果责任认定机制与应用闭环。定期汇总审计发现的API异常调用、敏感数据触发或泄露、Token超支或算力浪费等问题，形成专项治理报告，异常事件描述、责任归属判定、整改措施与完成时限。对于重复出现的同类责任事件，升级问责层级，并将责任认定结果纳入相关部门与人员的绩效考核指标，形成“监控发现—责任锁定—整改闭环—绩效挂钩”的完整治理链条。</w:t>
      </w:r>
    </w:p>
    <w:tbl>
      <w:tblPr>
        <w:tblStyle w:val="26"/>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8784"/>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784" w:type="dxa"/>
          </w:tcPr>
          <w:p>
            <w:pPr>
              <w:widowControl w:val="0"/>
              <w:spacing w:line="460" w:lineRule="exact"/>
              <w:ind w:firstLine="0" w:firstLineChars="0"/>
              <w:jc w:val="center"/>
              <w:rPr>
                <w:rFonts w:hint="default" w:ascii="Times New Roman" w:hAnsi="Times New Roman" w:eastAsia="方正黑体_GBK" w:cs="Times New Roman"/>
                <w:sz w:val="28"/>
                <w:szCs w:val="22"/>
              </w:rPr>
            </w:pPr>
            <w:r>
              <w:rPr>
                <w:rFonts w:hint="default" w:ascii="Times New Roman" w:hAnsi="Times New Roman" w:eastAsia="方正黑体_GBK" w:cs="Times New Roman"/>
                <w:sz w:val="28"/>
                <w:szCs w:val="22"/>
              </w:rPr>
              <w:t>示例：Token超支与数据泄露的责任认定与后续管控手段</w:t>
            </w:r>
          </w:p>
          <w:p>
            <w:pPr>
              <w:widowControl w:val="0"/>
              <w:spacing w:line="460" w:lineRule="exact"/>
              <w:ind w:firstLine="562"/>
              <w:rPr>
                <w:sz w:val="28"/>
                <w:szCs w:val="22"/>
                <w:lang w:bidi="ar"/>
              </w:rPr>
            </w:pPr>
            <w:r>
              <w:rPr>
                <w:b/>
                <w:bCs/>
                <w:sz w:val="28"/>
                <w:szCs w:val="22"/>
                <w:lang w:bidi="ar"/>
              </w:rPr>
              <w:t>Token超支责任认定与后续管控手段</w:t>
            </w:r>
            <w:r>
              <w:rPr>
                <w:rFonts w:hint="eastAsia"/>
                <w:sz w:val="28"/>
                <w:szCs w:val="22"/>
                <w:lang w:bidi="ar"/>
              </w:rPr>
              <w:t>：</w:t>
            </w:r>
            <w:r>
              <w:rPr>
                <w:sz w:val="28"/>
                <w:szCs w:val="22"/>
                <w:lang w:bidi="ar"/>
              </w:rPr>
              <w:t>Token消耗是模型调用中最直接的成本载体，其异常超支往往暴露管控链条中的责任盲区。责任认定需沿</w:t>
            </w:r>
            <w:r>
              <w:rPr>
                <w:rFonts w:hint="eastAsia"/>
                <w:sz w:val="28"/>
                <w:szCs w:val="22"/>
                <w:lang w:bidi="ar"/>
              </w:rPr>
              <w:t>“</w:t>
            </w:r>
            <w:r>
              <w:rPr>
                <w:sz w:val="28"/>
                <w:szCs w:val="22"/>
                <w:lang w:bidi="ar"/>
              </w:rPr>
              <w:t>预算归属—调用溯源—阈值触发</w:t>
            </w:r>
            <w:r>
              <w:rPr>
                <w:rFonts w:hint="eastAsia"/>
                <w:sz w:val="28"/>
                <w:szCs w:val="22"/>
                <w:lang w:bidi="ar"/>
              </w:rPr>
              <w:t>”</w:t>
            </w:r>
            <w:r>
              <w:rPr>
                <w:sz w:val="28"/>
                <w:szCs w:val="22"/>
                <w:lang w:bidi="ar"/>
              </w:rPr>
              <w:t>三层展开</w:t>
            </w:r>
            <w:r>
              <w:rPr>
                <w:rFonts w:hint="eastAsia"/>
                <w:sz w:val="28"/>
                <w:szCs w:val="22"/>
                <w:lang w:bidi="ar"/>
              </w:rPr>
              <w:t>。</w:t>
            </w:r>
            <w:r>
              <w:rPr>
                <w:sz w:val="28"/>
                <w:szCs w:val="22"/>
                <w:lang w:bidi="ar"/>
              </w:rPr>
              <w:t>预算归属层将超支责任锚定至预算单元第一责任人，公有云模式下对应API密钥绑定方，本地部署模式下对应GPU算力池配额负责人。调用溯源层基于请求级审计日志反向追溯，区分正常业务增长与异常批量调用、提示词膨胀等无效消耗，前者归责于业务规划层面，后者归责于调用方操作不当或应用层缺乏输入长度约束。阈值触发层在预警与熔断机制触发后，依据响应时效判定责任：未及时响应归责于运维监控岗，未配置阈值策略归责于系统管理员，合理超支未提前报备归责于业务负责人。</w:t>
            </w:r>
          </w:p>
          <w:p>
            <w:pPr>
              <w:widowControl w:val="0"/>
              <w:spacing w:line="460" w:lineRule="exact"/>
              <w:ind w:firstLine="560"/>
              <w:rPr>
                <w:sz w:val="28"/>
                <w:szCs w:val="22"/>
                <w:lang w:bidi="ar"/>
              </w:rPr>
            </w:pPr>
            <w:r>
              <w:rPr>
                <w:sz w:val="28"/>
                <w:szCs w:val="22"/>
                <w:lang w:bidi="ar"/>
              </w:rPr>
              <w:t>在管控层面，事中层面，实时监测与分级熔断机制持续运行，语义路由能力根据任务复杂度自动匹配最优模型，通用场景降级至低成本模型；事后层面，多维分账机制将Token用量按部门、项目、应用、密钥、用户五维度拆分并换算为实际费用，对浪费型消耗追溯至具体调用者并纳入绩效考核，语义缓存与提示词智能裁剪持续降低整体支出。</w:t>
            </w:r>
          </w:p>
          <w:p>
            <w:pPr>
              <w:widowControl w:val="0"/>
              <w:spacing w:line="460" w:lineRule="exact"/>
              <w:ind w:firstLine="562"/>
              <w:rPr>
                <w:sz w:val="28"/>
                <w:szCs w:val="22"/>
                <w:lang w:bidi="ar"/>
              </w:rPr>
            </w:pPr>
            <w:r>
              <w:rPr>
                <w:b/>
                <w:bCs/>
                <w:sz w:val="28"/>
                <w:szCs w:val="22"/>
                <w:lang w:bidi="ar"/>
              </w:rPr>
              <w:t>数据泄露责任认定与后续管控手段</w:t>
            </w:r>
            <w:r>
              <w:rPr>
                <w:rFonts w:hint="eastAsia"/>
                <w:b/>
                <w:bCs/>
                <w:sz w:val="28"/>
                <w:szCs w:val="22"/>
                <w:lang w:bidi="ar"/>
              </w:rPr>
              <w:t>：</w:t>
            </w:r>
            <w:r>
              <w:rPr>
                <w:rFonts w:hint="eastAsia"/>
                <w:sz w:val="28"/>
                <w:szCs w:val="22"/>
                <w:lang w:bidi="ar"/>
              </w:rPr>
              <w:t>覆盖“数据分级—访问授权—泄露溯源”三个环节。数据分级与标注责任归于数据产生部门，因未标注或标注错误导致高敏感数据以低防护等级流入模型的，由该部门及其负责人承担。访问授权与越权责任分两路认定：前述基于角色的访问控制策略若配置过宽，归责于安全管理员；调用者利用合法权限违规操作的，归责于调用者本人及其直属主管。泄露溯源依托全链路审计日志与数据防泄漏系统进行归因：输入侧泄露（敏感数据随提示词外传至云端）归责于API网关安全策略配置方，输出侧泄露（模型响应携带训练数据中的敏感信息）归责于模型提供方或微调数据清洗环节负责人，日志存储环节泄露归责于日志管理岗。</w:t>
            </w:r>
          </w:p>
          <w:p>
            <w:pPr>
              <w:widowControl w:val="0"/>
              <w:spacing w:line="460" w:lineRule="exact"/>
              <w:ind w:firstLine="560"/>
              <w:rPr>
                <w:sz w:val="28"/>
                <w:szCs w:val="22"/>
                <w:lang w:bidi="ar"/>
              </w:rPr>
            </w:pPr>
            <w:r>
              <w:rPr>
                <w:rFonts w:hint="eastAsia"/>
                <w:sz w:val="28"/>
                <w:szCs w:val="22"/>
                <w:lang w:bidi="ar"/>
              </w:rPr>
              <w:t>在管控层面，事中层面，持续运行API边界大模型安全防火墙与全流量行为检测；事后层面，数据泄露应急预案明确止损措施、影响评估流程与监管报告时限，依托审计日志归因形成事件报告并制定整改时限，年度数据合规评估根据政策变化与业务迭代持续调整合规策略。</w:t>
            </w:r>
          </w:p>
        </w:tc>
      </w:tr>
    </w:tbl>
    <w:p>
      <w:pPr>
        <w:pStyle w:val="4"/>
        <w:numPr>
          <w:ilvl w:val="0"/>
          <w:numId w:val="2"/>
        </w:numPr>
        <w:ind w:left="0" w:firstLine="643"/>
      </w:pPr>
      <w:bookmarkStart w:id="62" w:name="_Toc8138"/>
      <w:bookmarkStart w:id="63" w:name="_Toc14737"/>
      <w:r>
        <w:rPr>
          <w:rFonts w:hint="eastAsia"/>
        </w:rPr>
        <w:t>人工介入与兜底</w:t>
      </w:r>
      <w:bookmarkEnd w:id="62"/>
      <w:bookmarkEnd w:id="63"/>
    </w:p>
    <w:p>
      <w:pPr>
        <w:ind w:firstLine="640"/>
      </w:pPr>
      <w:r>
        <w:rPr>
          <w:rFonts w:hint="eastAsia"/>
        </w:rPr>
        <w:t>人工介入与兜底主要负责业务输出高风险环节人工校验，以及Token额度耗尽、算力资源枯竭、模型服务中断等资源故障应急处置，构建“自动化流程为主、人工分级兜底”协同管控模式，兼顾生产结果合规安全与AI服务连续性，为企业Token全生命周期管理提供人机协同应急底座。</w:t>
      </w:r>
    </w:p>
    <w:p>
      <w:pPr>
        <w:ind w:firstLine="643"/>
      </w:pPr>
      <w:r>
        <w:rPr>
          <w:rFonts w:hint="eastAsia"/>
          <w:b/>
          <w:bCs/>
        </w:rPr>
        <w:t>人工介入与兜底应坚持三大原则</w:t>
      </w:r>
      <w:r>
        <w:rPr>
          <w:rFonts w:hint="eastAsia"/>
        </w:rPr>
        <w:t>：一是分级分类触发，按场景风险等级、算力负载阈值划分兜底启动条件，核心生产高风险内容强制人工复核，通用场景仅异常触发；Token配额耗尽、服务宕机等资源故障按业务优先级分级启动人工应急流程，杜绝无差别全量人工干预，保障运行效率。二是关键节点兜底，围绕输入合规、输出决策、算力供给、服务可用性全链路设置关卡，自动化机制承担常规处理，人工仅针对高风险、资源枯竭、服务中断等极端场景兜底，不损耗常态业务运行节拍。三是权责时效匹配，按业务归属、生产节拍匹配对应审核/应急处置权限与响应时限，生产类指令、高优先级推理任务优先处置，做到责任清晰、故障快速止损。</w:t>
      </w:r>
    </w:p>
    <w:p>
      <w:pPr>
        <w:ind w:firstLine="643"/>
      </w:pPr>
      <w:r>
        <w:rPr>
          <w:rFonts w:hint="eastAsia"/>
          <w:b/>
          <w:bCs/>
        </w:rPr>
        <w:t>具体来看，在公有云</w:t>
      </w:r>
      <w:r>
        <w:rPr>
          <w:rFonts w:cs="Times New Roman"/>
          <w:b/>
          <w:bCs/>
        </w:rPr>
        <w:t>API</w:t>
      </w:r>
      <w:r>
        <w:rPr>
          <w:rFonts w:hint="eastAsia"/>
          <w:b/>
          <w:bCs/>
        </w:rPr>
        <w:t>模式下</w:t>
      </w:r>
      <w:r>
        <w:rPr>
          <w:rFonts w:hint="eastAsia"/>
        </w:rPr>
        <w:t>，人工介入与兜底分为两大方面，一方面是高风险内容人工审核流程。所有公有云推理请求与返回结果统一经由AI调度网关完成合规、敏感数据、生产指令风险初筛，识别高风险生产参数、涉密工艺、关键质量决策内容时，自动拦截调用链路并推送人工审核工单；常规低Token消耗、低风险问答直接放行，无需人工介入。审核人员完成核验并给出通过/驳回/修改重审结论后，系统再执行结果下发；所有审核主体、时间、意见、Token消耗记录统一写入审计日志。另一方面是Token耗尽、云端服务中断人工应急兜底。网关实时累计企业公有云Token总消耗量，当额度逼近阈值、API调用触发限流封禁，或云端模型服务宕机超时，系统自动触发分级人工兜底：低优先级报表、文档梳理任务自动暂停并推送运维人员扩容Token额度、切换备用厂商API；在线质检、实时故障诊断等高优先级生产任务，人工介入启动预案，临时切换至企业本地备用算力池承接推理请求，同步临时收紧全局Prompt长度、限制单会话Token上限延缓资源消耗；若多厂商云端同步故障，则直接切换人工离线研判模式，保障生产业务不中断。故障处置完成后人工复盘Token超限根源，调整公有云月度配额与流量限流阈值。</w:t>
      </w:r>
    </w:p>
    <w:p>
      <w:pPr>
        <w:ind w:firstLine="643"/>
      </w:pPr>
      <w:r>
        <w:rPr>
          <w:rFonts w:hint="eastAsia"/>
          <w:b/>
          <w:bCs/>
        </w:rPr>
        <w:t>在本地化部署模式下</w:t>
      </w:r>
      <w:r>
        <w:rPr>
          <w:rFonts w:hint="eastAsia"/>
        </w:rPr>
        <w:t>，企业需建立统一的本地生产场景人工审核管控体系，将对接</w:t>
      </w:r>
      <w:r>
        <w:rPr>
          <w:rFonts w:cs="Times New Roman"/>
        </w:rPr>
        <w:t>MES</w:t>
      </w:r>
      <w:r>
        <w:rPr>
          <w:rFonts w:hint="eastAsia"/>
        </w:rPr>
        <w:t>、</w:t>
      </w:r>
      <w:r>
        <w:rPr>
          <w:rFonts w:cs="Times New Roman"/>
        </w:rPr>
        <w:t>PLC</w:t>
      </w:r>
      <w:r>
        <w:rPr>
          <w:rFonts w:hint="eastAsia"/>
        </w:rPr>
        <w:t>等生产控制系统的指令类输出、工艺参数调整类结果全部纳入强制复核范围，按生产管理权责匹配对应审核岗位与处置时效。依托本地部署的内容审核模块与防篡改审计系统，在生产控制网内完成高风险内容的自动拦截、人工复核与指令下发全闭环，未经审核确认的生产指令全程不得触达生产设备；审核驳回的错误结果同步沉淀为本地模型优化样本，反哺模型微调与自动审核规则迭代。另外，当本地算力池基线Token缓存溢出、算力满载、边缘节点模型服务崩溃时自动告警并流转运维工单：人工优先执行算力资源重分配，清理闲置会话冗余Token缓存、关停低优先级批量仿真任务释放算力。</w:t>
      </w:r>
    </w:p>
    <w:p>
      <w:pPr>
        <w:pStyle w:val="3"/>
        <w:numPr>
          <w:ilvl w:val="0"/>
          <w:numId w:val="1"/>
        </w:numPr>
      </w:pPr>
      <w:bookmarkStart w:id="64" w:name="_Toc23803"/>
      <w:bookmarkStart w:id="65" w:name="_Toc15323"/>
      <w:r>
        <w:rPr>
          <w:rFonts w:hint="eastAsia"/>
        </w:rPr>
        <w:t>事后复盘优化</w:t>
      </w:r>
      <w:bookmarkEnd w:id="64"/>
      <w:bookmarkEnd w:id="65"/>
    </w:p>
    <w:p>
      <w:pPr>
        <w:pStyle w:val="4"/>
        <w:ind w:firstLine="643" w:firstLineChars="0"/>
        <w:rPr>
          <w:szCs w:val="32"/>
        </w:rPr>
      </w:pPr>
      <w:bookmarkStart w:id="66" w:name="_Toc24910"/>
      <w:bookmarkStart w:id="67" w:name="_Toc28429"/>
      <w:r>
        <w:rPr>
          <w:rFonts w:hint="eastAsia"/>
          <w:szCs w:val="32"/>
        </w:rPr>
        <w:t>1.精细化账单归因</w:t>
      </w:r>
      <w:bookmarkEnd w:id="66"/>
      <w:bookmarkEnd w:id="67"/>
    </w:p>
    <w:p>
      <w:pPr>
        <w:ind w:firstLine="640"/>
      </w:pPr>
      <w:r>
        <w:rPr>
          <w:rFonts w:hint="eastAsia"/>
        </w:rPr>
        <w:t>精细化账单归因的核心目标是拆解Token消耗成本，形成分层明细台账，为资源优化、效益核算提供数据底座。</w:t>
      </w:r>
    </w:p>
    <w:p>
      <w:pPr>
        <w:ind w:firstLine="643"/>
      </w:pPr>
      <w:r>
        <w:rPr>
          <w:rFonts w:hint="eastAsia"/>
          <w:b/>
          <w:bCs/>
        </w:rPr>
        <w:t>精细化账单归因应坚持四大原则</w:t>
      </w:r>
      <w:r>
        <w:rPr>
          <w:rFonts w:hint="eastAsia"/>
        </w:rPr>
        <w:t>：一是业务归属导向，成本按业务场景、业务部门单独归集，不得统一列支为通用IT运维费用；二是逐层穿透溯源，搭建“总消耗—业务部门—应用场景—使用人员—单次模型请求”五级溯源链路，支持任意层级下钻查询；三是多维度交叉拆解，围绕部门、业务场景、模型规格、使用时段、用户身份等多维度拆分Token消耗与算力消耗数据；四是业务成效关联，建立算力消耗与业务产出指标映射关系，实现资源投入与业务成果双向追溯。</w:t>
      </w:r>
    </w:p>
    <w:p>
      <w:pPr>
        <w:numPr>
          <w:ilvl w:val="255"/>
          <w:numId w:val="0"/>
        </w:numPr>
        <w:ind w:firstLine="642" w:firstLineChars="200"/>
      </w:pPr>
      <w:r>
        <w:rPr>
          <w:rFonts w:hint="eastAsia"/>
          <w:b/>
          <w:bCs/>
        </w:rPr>
        <w:t>具体来看，在公有云API模式下</w:t>
      </w:r>
      <w:r>
        <w:rPr>
          <w:rFonts w:hint="eastAsia"/>
        </w:rPr>
        <w:t>，精细化账单归因的重点在于精细化统计Token消耗数量，从而根据使用情况进行归因分析。常见做法为以请求级全链路审计日志为基础，采用“虚拟凭证+虚拟模型标识”管控方案，各业务应用统一调用虚拟API密钥和虚拟模型名称，真实API密钥统一收纳至密钥安全仓库集中托管。AI调度网关在每次接口调用时，自动完成虚拟标识与真实密钥映射并留存全链路日志。依托该机制，不仅可按项目、场景精准归集Token调用成本，每一笔云端算力支出均可溯源、可对账；还可实现API密钥集中安全管控，规避密钥泄露风险。</w:t>
      </w:r>
    </w:p>
    <w:p>
      <w:pPr>
        <w:numPr>
          <w:ilvl w:val="255"/>
          <w:numId w:val="0"/>
        </w:numPr>
        <w:ind w:firstLine="640" w:firstLineChars="200"/>
      </w:pPr>
      <w:r>
        <w:rPr>
          <w:rFonts w:hint="eastAsia"/>
        </w:rPr>
        <w:t>在</w:t>
      </w:r>
      <w:r>
        <w:rPr>
          <w:rFonts w:hint="eastAsia"/>
          <w:b/>
          <w:bCs/>
        </w:rPr>
        <w:t>本地化部署模式下</w:t>
      </w:r>
      <w:r>
        <w:rPr>
          <w:rFonts w:hint="eastAsia"/>
        </w:rPr>
        <w:t>，精细化账单归因的核心为固定算力成本内部市场化分摊，企业需建立统一的内部算力计价模型，将硬件折旧、机房能耗、算法运维等固定成本转化为标准化“内部结算单价”。依托容器调度平台实时采集各业务项目、应用系统的GPU显存占用率、算力利用率及运行时长等指标，结合内部结算单价核算各场景真实算力成本。通过内部结算机制，清晰量化各业务线算力投入，倒逼业务部门主动优化模型推理效率、释放闲置算力，杜绝本地算力无偿占用、资源浪费问题。</w:t>
      </w:r>
    </w:p>
    <w:p>
      <w:pPr>
        <w:pStyle w:val="4"/>
        <w:ind w:firstLine="643" w:firstLineChars="0"/>
        <w:rPr>
          <w:szCs w:val="32"/>
        </w:rPr>
      </w:pPr>
      <w:bookmarkStart w:id="68" w:name="_Toc21628"/>
      <w:bookmarkStart w:id="69" w:name="_Toc6606"/>
      <w:r>
        <w:rPr>
          <w:rFonts w:hint="eastAsia"/>
          <w:szCs w:val="32"/>
        </w:rPr>
        <w:t>2.综合效能评估</w:t>
      </w:r>
      <w:bookmarkEnd w:id="68"/>
      <w:bookmarkEnd w:id="69"/>
    </w:p>
    <w:p>
      <w:pPr>
        <w:ind w:firstLine="640"/>
      </w:pPr>
      <w:r>
        <w:rPr>
          <w:rFonts w:hint="eastAsia"/>
        </w:rPr>
        <w:t>综合效能评估的核心目标是将技术侧算力投入转化为可量化的经营指标，打通技术账本与业务经营账本，校验Token、算力资源投入是否真正实现生产提质、流程降本、运营增效。</w:t>
      </w:r>
    </w:p>
    <w:p>
      <w:pPr>
        <w:numPr>
          <w:ilvl w:val="255"/>
          <w:numId w:val="0"/>
        </w:numPr>
        <w:ind w:firstLine="642" w:firstLineChars="200"/>
        <w:rPr>
          <w:b/>
          <w:bCs/>
        </w:rPr>
      </w:pPr>
      <w:r>
        <w:rPr>
          <w:rFonts w:hint="eastAsia"/>
          <w:b/>
          <w:bCs/>
        </w:rPr>
        <w:t>综合效能评估应坚持四大原则</w:t>
      </w:r>
      <w:r>
        <w:rPr>
          <w:rFonts w:hint="eastAsia"/>
        </w:rPr>
        <w:t>：一是业务价值导向原则，效能评估的终极标尺是增收、降本、提效、控险等业务结果；二是成本、质量和风险三维均衡原则，低成本可能伴随低质量，高质量可能伴随高风险，三者必须同步评价、动态权衡；三是统一口径、可比可量化原则，跨模型、跨场景、跨时期的比较，必须建立在统一的计量基准上，消除分词器差异、模型架构差异带来的不可比问题；四是动态迭代、持续优化原则，效能不是一次性评估的静态快照，而是随业务演进持续变化的动态指标，评估体系本身需要定期校准和迭代。</w:t>
      </w:r>
    </w:p>
    <w:p>
      <w:pPr>
        <w:numPr>
          <w:ilvl w:val="255"/>
          <w:numId w:val="0"/>
        </w:numPr>
        <w:ind w:firstLine="642" w:firstLineChars="200"/>
      </w:pPr>
      <w:r>
        <w:rPr>
          <w:rFonts w:hint="eastAsia"/>
          <w:b/>
          <w:bCs/>
        </w:rPr>
        <w:t>具体来看，在公有云API模式下，综合效能评估</w:t>
      </w:r>
      <w:r>
        <w:rPr>
          <w:rFonts w:hint="eastAsia"/>
        </w:rPr>
        <w:t>建议采取四步操作法。第一步，计算综合成本归集。采用完成一个有效任务所发生的全部成本作为成本端，包括直接成本（API调用费）与间接成本（返工成本、重试浪费成本、安全合规成本、运维人力分摊）等，综合成本归集采用“单位有效任务综合成本=周期内全部成本÷周期内经业务验收的有效任务总数”公式进行计算。第二步，评价任务质量。从准确率（模型输出与业务预期的一致程度，由业务方按预设标准打分）、稳定性（同一任务多次执行，结果的一致性。用方差或标准差衡量波动幅度）、幻觉率（模型输出中包含虚假、编造信息的比例）、合规性（输出内容是否符合行业法规和企业内部规范）和用户满意度（终端用户对任务完成结果的主观评价）来进行质量评价，任务质量得分由各维度加权平均分得出。另外，设定质量底线阈值，低于阈值的任务不计入有效任务，其成本仍需归入总成本。第三步，评价业务成效。先建立基线数据，再从效率增益、效果增益、增量价值等维度进行业务成效评价，通过A/B测试或前后对比，采用“增量=模型介入后-基线”作为公式计算。第四步，评估风险。从数据安全风险、幻觉事故风险、权限越界风险、合规风险、可审计性等维度设置安全红线，享有一票否决权。最后，将四个维度的评价加过汇入统一决策框架，按照“综合效能得分=业务成效系数×任务质量得分÷（单位有效任务综合成本×风险系数）”公式计算。其中，业务成效系数由效率增益和效果增益加权得出。得分高、质量高、风险低可扩大推广，持续优化成本；得分高、质量高、风险中可补充风险缓解措施后推广；得分中、质量中、成本偏高可定向优化（降本或提质），限期复评；得分低或触碰风险红线需暂停或回退，重新评估方案。</w:t>
      </w:r>
    </w:p>
    <w:p>
      <w:pPr>
        <w:numPr>
          <w:ilvl w:val="255"/>
          <w:numId w:val="0"/>
        </w:numPr>
        <w:ind w:firstLine="642" w:firstLineChars="200"/>
      </w:pPr>
      <w:r>
        <w:rPr>
          <w:rFonts w:hint="eastAsia"/>
          <w:b/>
          <w:bCs/>
        </w:rPr>
        <w:t>在本地部署模式下</w:t>
      </w:r>
      <w:r>
        <w:rPr>
          <w:rFonts w:hint="eastAsia"/>
        </w:rPr>
        <w:t>，综合</w:t>
      </w:r>
      <w:r>
        <w:rPr>
          <w:rFonts w:hint="eastAsia"/>
          <w:b/>
          <w:bCs/>
        </w:rPr>
        <w:t>效能评估</w:t>
      </w:r>
      <w:r>
        <w:rPr>
          <w:rFonts w:hint="eastAsia"/>
        </w:rPr>
        <w:t>同样采用四步评估法。第一步，全口径TCO</w:t>
      </w:r>
      <w:r>
        <w:rPr>
          <w:rFonts w:hint="eastAsia"/>
          <w:vertAlign w:val="superscript"/>
        </w:rPr>
        <w:t>21</w:t>
      </w:r>
      <w:r>
        <w:rPr>
          <w:rFonts w:hint="eastAsia"/>
        </w:rPr>
        <w:t>归集成本。成本端将硬件采购成本、电力与制冷成本、网络带宽成本、运维人力成本、软件许可成本、返工成本、安全合规成本等进行折旧或分摊，按照“单位有效任务综合成本=周期内TCO总额÷周期内经业务验收的有效任务总数”公式进行成本归集。其中，硬件折旧按3年直线折旧和按5年直线折旧，年度成本差异较大，须在评估章程中明确约定折旧年限和方式。第二步，技术效能评估。从GPU利用率、显存占用率等硬件资源效率；单请求延迟、吞吐量、批处理效率等推理性能；72小时连续运行测试、异常容错等稳定性与可靠性等维度进行技术效能评估。第三步，任务质量与业务成效评估。任务质量选取准确率、稳定性、幻觉率、合规性、用户满意度等维度，由业务方按统一评分表打分。低于质量底线阈值的任务不计入“有效任务”，但其消耗的资源成本仍需归入总成本。业务成效同样采用A/B测试或前后对比，计算增量效果和财务价值。其中，财务价值可选取节省工时×人力费率、转化率提升×客单价×流量等维度。第四步，风险与合规评估。从单点故障风险、版本升级风险等衡量特有风险情况。最后，同样按照“综合效能得分=业务成效系数×任务质量得分÷（单位有效任务综合成本×风险系数）”进行评估。</w:t>
      </w:r>
    </w:p>
    <w:bookmarkEnd w:id="37"/>
    <w:p>
      <w:pPr>
        <w:pStyle w:val="2"/>
        <w:ind w:firstLine="640"/>
      </w:pPr>
      <w:bookmarkStart w:id="70" w:name="_Toc10125"/>
      <w:bookmarkStart w:id="71" w:name="_Toc30983"/>
      <w:bookmarkStart w:id="72" w:name="_Toc11350"/>
      <w:r>
        <w:rPr>
          <w:rFonts w:hint="eastAsia"/>
        </w:rPr>
        <w:t>三、基于业务特征的Token管理侧重点</w:t>
      </w:r>
      <w:bookmarkEnd w:id="70"/>
      <w:bookmarkEnd w:id="71"/>
      <w:bookmarkEnd w:id="72"/>
    </w:p>
    <w:p>
      <w:pPr>
        <w:ind w:firstLine="640"/>
      </w:pPr>
      <w:r>
        <w:rPr>
          <w:rFonts w:hint="eastAsia"/>
        </w:rPr>
        <w:t>依据《智能制造典型场景参考指引（2025年版）》和《智能工厂梯度培育要素条件（202</w:t>
      </w:r>
      <w:r>
        <w:t>6</w:t>
      </w:r>
      <w:r>
        <w:rPr>
          <w:rFonts w:hint="eastAsia"/>
        </w:rPr>
        <w:t>年版）》等政策，制造业企业正围绕工厂建设、研发设计、生产作业、生产管理、运营管理等环节开展智能工厂建设。本指引选取17个大模型落地应用成熟度较高的场景，基于对场景业务价值、响应速度和算力中断容忍度等维度对业务特征进行总结，将其划分为生产刚性类、经营优化类、计划决策类和研发仿真类4大类别。在此基础上，本指引针对不同业务特征下的场景提出了Token管理的侧重点建议，旨在为企业进行模型和算力资源管理提供参考。</w:t>
      </w:r>
    </w:p>
    <w:p>
      <w:pPr>
        <w:ind w:firstLine="0" w:firstLineChars="0"/>
        <w:jc w:val="center"/>
        <w:rPr>
          <w:rFonts w:hint="default" w:ascii="Times New Roman" w:hAnsi="Times New Roman" w:eastAsia="方正黑体_GBK" w:cs="Times New Roman"/>
        </w:rPr>
      </w:pPr>
      <w:r>
        <w:rPr>
          <w:rFonts w:hint="default" w:ascii="Times New Roman" w:hAnsi="Times New Roman" w:eastAsia="方正黑体_GBK" w:cs="Times New Roman"/>
          <w:sz w:val="24"/>
          <w:szCs w:val="21"/>
        </w:rPr>
        <w:t>表</w:t>
      </w:r>
      <w:r>
        <w:rPr>
          <w:rFonts w:hint="default" w:ascii="Times New Roman" w:hAnsi="Times New Roman" w:eastAsia="方正黑体_GBK" w:cs="Times New Roman"/>
          <w:sz w:val="24"/>
          <w:szCs w:val="21"/>
        </w:rPr>
        <w:fldChar w:fldCharType="begin"/>
      </w:r>
      <w:r>
        <w:rPr>
          <w:rFonts w:hint="default" w:ascii="Times New Roman" w:hAnsi="Times New Roman" w:eastAsia="方正黑体_GBK" w:cs="Times New Roman"/>
          <w:sz w:val="24"/>
          <w:szCs w:val="21"/>
        </w:rPr>
        <w:instrText xml:space="preserve"> SEQ 表 \* ARABIC </w:instrText>
      </w:r>
      <w:r>
        <w:rPr>
          <w:rFonts w:hint="default" w:ascii="Times New Roman" w:hAnsi="Times New Roman" w:eastAsia="方正黑体_GBK" w:cs="Times New Roman"/>
          <w:sz w:val="24"/>
          <w:szCs w:val="21"/>
        </w:rPr>
        <w:fldChar w:fldCharType="separate"/>
      </w:r>
      <w:r>
        <w:rPr>
          <w:rFonts w:hint="default" w:ascii="Times New Roman" w:hAnsi="Times New Roman" w:eastAsia="方正黑体_GBK" w:cs="Times New Roman"/>
          <w:sz w:val="24"/>
          <w:szCs w:val="21"/>
        </w:rPr>
        <w:t>9</w:t>
      </w:r>
      <w:r>
        <w:rPr>
          <w:rFonts w:hint="default" w:ascii="Times New Roman" w:hAnsi="Times New Roman" w:eastAsia="方正黑体_GBK" w:cs="Times New Roman"/>
          <w:sz w:val="24"/>
          <w:szCs w:val="21"/>
        </w:rPr>
        <w:fldChar w:fldCharType="end"/>
      </w:r>
      <w:r>
        <w:rPr>
          <w:rFonts w:hint="default" w:ascii="Times New Roman" w:hAnsi="Times New Roman" w:eastAsia="方正黑体_GBK" w:cs="Times New Roman"/>
          <w:sz w:val="24"/>
          <w:szCs w:val="21"/>
        </w:rPr>
        <w:t xml:space="preserve"> 基于业务特征的应用场景清单</w:t>
      </w:r>
    </w:p>
    <w:tbl>
      <w:tblPr>
        <w:tblStyle w:val="26"/>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764"/>
        <w:gridCol w:w="3114"/>
        <w:gridCol w:w="3906"/>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764" w:type="dxa"/>
          </w:tcPr>
          <w:p>
            <w:pPr>
              <w:widowControl w:val="0"/>
              <w:spacing w:line="320" w:lineRule="exact"/>
              <w:ind w:firstLine="0" w:firstLineChars="0"/>
              <w:jc w:val="center"/>
              <w:rPr>
                <w:rFonts w:ascii="方正黑体_GBK" w:eastAsia="方正黑体_GBK"/>
                <w:sz w:val="24"/>
                <w:szCs w:val="21"/>
              </w:rPr>
            </w:pPr>
            <w:r>
              <w:rPr>
                <w:rFonts w:hint="eastAsia" w:ascii="方正黑体_GBK" w:eastAsia="方正黑体_GBK"/>
                <w:sz w:val="24"/>
                <w:szCs w:val="21"/>
              </w:rPr>
              <w:t>序号</w:t>
            </w:r>
          </w:p>
        </w:tc>
        <w:tc>
          <w:tcPr>
            <w:tcW w:w="3114" w:type="dxa"/>
          </w:tcPr>
          <w:p>
            <w:pPr>
              <w:widowControl w:val="0"/>
              <w:spacing w:line="320" w:lineRule="exact"/>
              <w:ind w:firstLine="0" w:firstLineChars="0"/>
              <w:jc w:val="center"/>
              <w:rPr>
                <w:rFonts w:ascii="方正黑体_GBK" w:eastAsia="方正黑体_GBK"/>
                <w:sz w:val="24"/>
                <w:szCs w:val="21"/>
              </w:rPr>
            </w:pPr>
            <w:r>
              <w:rPr>
                <w:rFonts w:hint="eastAsia" w:ascii="方正黑体_GBK" w:eastAsia="方正黑体_GBK"/>
                <w:sz w:val="24"/>
                <w:szCs w:val="21"/>
              </w:rPr>
              <w:t>业务特征</w:t>
            </w:r>
          </w:p>
        </w:tc>
        <w:tc>
          <w:tcPr>
            <w:tcW w:w="3906" w:type="dxa"/>
          </w:tcPr>
          <w:p>
            <w:pPr>
              <w:widowControl w:val="0"/>
              <w:spacing w:line="320" w:lineRule="exact"/>
              <w:ind w:firstLine="0" w:firstLineChars="0"/>
              <w:jc w:val="center"/>
              <w:rPr>
                <w:rFonts w:ascii="方正黑体_GBK" w:eastAsia="方正黑体_GBK"/>
                <w:sz w:val="24"/>
                <w:szCs w:val="21"/>
              </w:rPr>
            </w:pPr>
            <w:r>
              <w:rPr>
                <w:rFonts w:hint="eastAsia" w:ascii="方正黑体_GBK" w:eastAsia="方正黑体_GBK"/>
                <w:sz w:val="24"/>
                <w:szCs w:val="21"/>
              </w:rPr>
              <w:t>主要场景</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764" w:type="dxa"/>
          </w:tcPr>
          <w:p>
            <w:pPr>
              <w:widowControl w:val="0"/>
              <w:spacing w:line="320" w:lineRule="exact"/>
              <w:ind w:firstLine="0" w:firstLineChars="0"/>
              <w:jc w:val="center"/>
              <w:rPr>
                <w:sz w:val="24"/>
                <w:szCs w:val="21"/>
              </w:rPr>
            </w:pPr>
            <w:r>
              <w:rPr>
                <w:rFonts w:hint="eastAsia"/>
                <w:sz w:val="24"/>
                <w:szCs w:val="21"/>
              </w:rPr>
              <w:t>1</w:t>
            </w:r>
          </w:p>
        </w:tc>
        <w:tc>
          <w:tcPr>
            <w:tcW w:w="3114" w:type="dxa"/>
            <w:vMerge w:val="restart"/>
            <w:vAlign w:val="center"/>
          </w:tcPr>
          <w:p>
            <w:pPr>
              <w:widowControl w:val="0"/>
              <w:spacing w:line="320" w:lineRule="exact"/>
              <w:ind w:firstLine="0" w:firstLineChars="0"/>
              <w:jc w:val="center"/>
              <w:rPr>
                <w:sz w:val="24"/>
                <w:szCs w:val="21"/>
              </w:rPr>
            </w:pPr>
            <w:r>
              <w:rPr>
                <w:rFonts w:hint="eastAsia"/>
                <w:sz w:val="24"/>
                <w:szCs w:val="21"/>
              </w:rPr>
              <w:t>生产刚性类</w:t>
            </w:r>
          </w:p>
        </w:tc>
        <w:tc>
          <w:tcPr>
            <w:tcW w:w="3906" w:type="dxa"/>
          </w:tcPr>
          <w:p>
            <w:pPr>
              <w:widowControl w:val="0"/>
              <w:spacing w:line="320" w:lineRule="exact"/>
              <w:ind w:firstLine="0" w:firstLineChars="0"/>
              <w:jc w:val="center"/>
              <w:rPr>
                <w:sz w:val="24"/>
                <w:szCs w:val="21"/>
              </w:rPr>
            </w:pPr>
            <w:r>
              <w:rPr>
                <w:rFonts w:hint="eastAsia"/>
                <w:sz w:val="24"/>
                <w:szCs w:val="21"/>
              </w:rPr>
              <w:t>设备运行监控与维护</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764" w:type="dxa"/>
          </w:tcPr>
          <w:p>
            <w:pPr>
              <w:widowControl w:val="0"/>
              <w:spacing w:line="320" w:lineRule="exact"/>
              <w:ind w:firstLine="0" w:firstLineChars="0"/>
              <w:jc w:val="center"/>
              <w:rPr>
                <w:sz w:val="24"/>
                <w:szCs w:val="21"/>
              </w:rPr>
            </w:pPr>
            <w:r>
              <w:rPr>
                <w:rFonts w:hint="eastAsia"/>
                <w:sz w:val="24"/>
                <w:szCs w:val="21"/>
              </w:rPr>
              <w:t>2</w:t>
            </w:r>
          </w:p>
        </w:tc>
        <w:tc>
          <w:tcPr>
            <w:tcW w:w="3114" w:type="dxa"/>
            <w:vMerge w:val="continue"/>
          </w:tcPr>
          <w:p>
            <w:pPr>
              <w:widowControl w:val="0"/>
              <w:spacing w:line="320" w:lineRule="exact"/>
              <w:ind w:firstLine="0" w:firstLineChars="0"/>
              <w:jc w:val="center"/>
              <w:rPr>
                <w:sz w:val="24"/>
                <w:szCs w:val="21"/>
              </w:rPr>
            </w:pPr>
          </w:p>
        </w:tc>
        <w:tc>
          <w:tcPr>
            <w:tcW w:w="3906" w:type="dxa"/>
          </w:tcPr>
          <w:p>
            <w:pPr>
              <w:widowControl w:val="0"/>
              <w:spacing w:line="320" w:lineRule="exact"/>
              <w:ind w:firstLine="0" w:firstLineChars="0"/>
              <w:jc w:val="center"/>
              <w:rPr>
                <w:sz w:val="24"/>
                <w:szCs w:val="21"/>
              </w:rPr>
            </w:pPr>
            <w:r>
              <w:rPr>
                <w:rFonts w:hint="eastAsia"/>
                <w:sz w:val="24"/>
                <w:szCs w:val="21"/>
              </w:rPr>
              <w:t>危险作业自动化</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jc w:val="center"/>
        </w:trPr>
        <w:tc>
          <w:tcPr>
            <w:tcW w:w="1764" w:type="dxa"/>
          </w:tcPr>
          <w:p>
            <w:pPr>
              <w:widowControl w:val="0"/>
              <w:spacing w:line="320" w:lineRule="exact"/>
              <w:ind w:firstLine="0" w:firstLineChars="0"/>
              <w:jc w:val="center"/>
              <w:rPr>
                <w:sz w:val="24"/>
                <w:szCs w:val="21"/>
              </w:rPr>
            </w:pPr>
            <w:r>
              <w:rPr>
                <w:rFonts w:hint="eastAsia"/>
                <w:sz w:val="24"/>
                <w:szCs w:val="21"/>
              </w:rPr>
              <w:t>3</w:t>
            </w:r>
          </w:p>
        </w:tc>
        <w:tc>
          <w:tcPr>
            <w:tcW w:w="3114" w:type="dxa"/>
            <w:vMerge w:val="continue"/>
          </w:tcPr>
          <w:p>
            <w:pPr>
              <w:widowControl w:val="0"/>
              <w:spacing w:line="320" w:lineRule="exact"/>
              <w:ind w:firstLine="0" w:firstLineChars="0"/>
              <w:jc w:val="center"/>
              <w:rPr>
                <w:sz w:val="24"/>
                <w:szCs w:val="21"/>
              </w:rPr>
            </w:pPr>
          </w:p>
        </w:tc>
        <w:tc>
          <w:tcPr>
            <w:tcW w:w="3906" w:type="dxa"/>
          </w:tcPr>
          <w:p>
            <w:pPr>
              <w:widowControl w:val="0"/>
              <w:spacing w:line="320" w:lineRule="exact"/>
              <w:ind w:firstLine="0" w:firstLineChars="0"/>
              <w:jc w:val="center"/>
              <w:rPr>
                <w:sz w:val="24"/>
                <w:szCs w:val="21"/>
              </w:rPr>
            </w:pPr>
            <w:r>
              <w:rPr>
                <w:rFonts w:hint="eastAsia"/>
                <w:sz w:val="24"/>
                <w:szCs w:val="21"/>
              </w:rPr>
              <w:t>在线智能检测</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764" w:type="dxa"/>
          </w:tcPr>
          <w:p>
            <w:pPr>
              <w:widowControl w:val="0"/>
              <w:spacing w:line="320" w:lineRule="exact"/>
              <w:ind w:firstLine="0" w:firstLineChars="0"/>
              <w:jc w:val="center"/>
              <w:rPr>
                <w:sz w:val="24"/>
                <w:szCs w:val="21"/>
              </w:rPr>
            </w:pPr>
            <w:r>
              <w:rPr>
                <w:rFonts w:hint="eastAsia"/>
                <w:sz w:val="24"/>
                <w:szCs w:val="21"/>
              </w:rPr>
              <w:t>4</w:t>
            </w:r>
          </w:p>
        </w:tc>
        <w:tc>
          <w:tcPr>
            <w:tcW w:w="3114" w:type="dxa"/>
            <w:vMerge w:val="continue"/>
          </w:tcPr>
          <w:p>
            <w:pPr>
              <w:widowControl w:val="0"/>
              <w:spacing w:line="320" w:lineRule="exact"/>
              <w:ind w:firstLine="0" w:firstLineChars="0"/>
              <w:jc w:val="center"/>
              <w:rPr>
                <w:sz w:val="24"/>
                <w:szCs w:val="21"/>
              </w:rPr>
            </w:pPr>
          </w:p>
        </w:tc>
        <w:tc>
          <w:tcPr>
            <w:tcW w:w="3906" w:type="dxa"/>
          </w:tcPr>
          <w:p>
            <w:pPr>
              <w:widowControl w:val="0"/>
              <w:spacing w:line="320" w:lineRule="exact"/>
              <w:ind w:firstLine="0" w:firstLineChars="0"/>
              <w:jc w:val="center"/>
              <w:rPr>
                <w:sz w:val="24"/>
                <w:szCs w:val="21"/>
              </w:rPr>
            </w:pPr>
            <w:r>
              <w:rPr>
                <w:rFonts w:hint="eastAsia"/>
                <w:sz w:val="24"/>
                <w:szCs w:val="21"/>
              </w:rPr>
              <w:t>安全一体化管控</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764" w:type="dxa"/>
          </w:tcPr>
          <w:p>
            <w:pPr>
              <w:widowControl w:val="0"/>
              <w:spacing w:line="320" w:lineRule="exact"/>
              <w:ind w:firstLine="0" w:firstLineChars="0"/>
              <w:jc w:val="center"/>
              <w:rPr>
                <w:sz w:val="24"/>
                <w:szCs w:val="21"/>
              </w:rPr>
            </w:pPr>
            <w:r>
              <w:rPr>
                <w:rFonts w:hint="eastAsia"/>
                <w:sz w:val="24"/>
                <w:szCs w:val="21"/>
              </w:rPr>
              <w:t>5</w:t>
            </w:r>
          </w:p>
        </w:tc>
        <w:tc>
          <w:tcPr>
            <w:tcW w:w="3114" w:type="dxa"/>
            <w:vMerge w:val="restart"/>
            <w:vAlign w:val="center"/>
          </w:tcPr>
          <w:p>
            <w:pPr>
              <w:widowControl w:val="0"/>
              <w:spacing w:line="320" w:lineRule="exact"/>
              <w:ind w:firstLine="0" w:firstLineChars="0"/>
              <w:jc w:val="center"/>
              <w:rPr>
                <w:sz w:val="24"/>
                <w:szCs w:val="21"/>
              </w:rPr>
            </w:pPr>
            <w:r>
              <w:rPr>
                <w:rFonts w:hint="eastAsia"/>
                <w:sz w:val="24"/>
                <w:szCs w:val="21"/>
              </w:rPr>
              <w:t>经营优化类</w:t>
            </w:r>
          </w:p>
        </w:tc>
        <w:tc>
          <w:tcPr>
            <w:tcW w:w="3906" w:type="dxa"/>
          </w:tcPr>
          <w:p>
            <w:pPr>
              <w:widowControl w:val="0"/>
              <w:spacing w:line="320" w:lineRule="exact"/>
              <w:ind w:firstLine="0" w:firstLineChars="0"/>
              <w:jc w:val="center"/>
              <w:rPr>
                <w:sz w:val="24"/>
                <w:szCs w:val="21"/>
              </w:rPr>
            </w:pPr>
            <w:r>
              <w:rPr>
                <w:rFonts w:hint="eastAsia"/>
                <w:sz w:val="24"/>
                <w:szCs w:val="21"/>
              </w:rPr>
              <w:t>工艺动态优化</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764" w:type="dxa"/>
          </w:tcPr>
          <w:p>
            <w:pPr>
              <w:widowControl w:val="0"/>
              <w:spacing w:line="320" w:lineRule="exact"/>
              <w:ind w:firstLine="0" w:firstLineChars="0"/>
              <w:jc w:val="center"/>
              <w:rPr>
                <w:sz w:val="24"/>
                <w:szCs w:val="21"/>
              </w:rPr>
            </w:pPr>
            <w:r>
              <w:rPr>
                <w:rFonts w:hint="eastAsia"/>
                <w:sz w:val="24"/>
                <w:szCs w:val="21"/>
              </w:rPr>
              <w:t>6</w:t>
            </w:r>
          </w:p>
        </w:tc>
        <w:tc>
          <w:tcPr>
            <w:tcW w:w="3114" w:type="dxa"/>
            <w:vMerge w:val="continue"/>
          </w:tcPr>
          <w:p>
            <w:pPr>
              <w:widowControl w:val="0"/>
              <w:spacing w:line="320" w:lineRule="exact"/>
              <w:ind w:firstLine="0" w:firstLineChars="0"/>
              <w:jc w:val="center"/>
              <w:rPr>
                <w:sz w:val="24"/>
                <w:szCs w:val="21"/>
              </w:rPr>
            </w:pPr>
          </w:p>
        </w:tc>
        <w:tc>
          <w:tcPr>
            <w:tcW w:w="3906" w:type="dxa"/>
          </w:tcPr>
          <w:p>
            <w:pPr>
              <w:widowControl w:val="0"/>
              <w:spacing w:line="320" w:lineRule="exact"/>
              <w:ind w:firstLine="0" w:firstLineChars="0"/>
              <w:jc w:val="center"/>
              <w:rPr>
                <w:sz w:val="24"/>
                <w:szCs w:val="21"/>
              </w:rPr>
            </w:pPr>
            <w:r>
              <w:rPr>
                <w:rFonts w:hint="eastAsia"/>
                <w:sz w:val="24"/>
                <w:szCs w:val="21"/>
              </w:rPr>
              <w:t>柔性产线快速换产</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jc w:val="center"/>
        </w:trPr>
        <w:tc>
          <w:tcPr>
            <w:tcW w:w="1764" w:type="dxa"/>
          </w:tcPr>
          <w:p>
            <w:pPr>
              <w:widowControl w:val="0"/>
              <w:spacing w:line="320" w:lineRule="exact"/>
              <w:ind w:firstLine="0" w:firstLineChars="0"/>
              <w:jc w:val="center"/>
              <w:rPr>
                <w:sz w:val="24"/>
                <w:szCs w:val="21"/>
              </w:rPr>
            </w:pPr>
            <w:r>
              <w:rPr>
                <w:rFonts w:hint="eastAsia"/>
                <w:sz w:val="24"/>
                <w:szCs w:val="21"/>
              </w:rPr>
              <w:t>7</w:t>
            </w:r>
          </w:p>
        </w:tc>
        <w:tc>
          <w:tcPr>
            <w:tcW w:w="3114" w:type="dxa"/>
            <w:vMerge w:val="continue"/>
            <w:vAlign w:val="center"/>
          </w:tcPr>
          <w:p>
            <w:pPr>
              <w:widowControl w:val="0"/>
              <w:spacing w:line="320" w:lineRule="exact"/>
              <w:ind w:firstLine="0" w:firstLineChars="0"/>
              <w:jc w:val="center"/>
              <w:rPr>
                <w:sz w:val="24"/>
                <w:szCs w:val="21"/>
              </w:rPr>
            </w:pPr>
          </w:p>
        </w:tc>
        <w:tc>
          <w:tcPr>
            <w:tcW w:w="3906" w:type="dxa"/>
          </w:tcPr>
          <w:p>
            <w:pPr>
              <w:widowControl w:val="0"/>
              <w:spacing w:line="320" w:lineRule="exact"/>
              <w:ind w:firstLine="0" w:firstLineChars="0"/>
              <w:jc w:val="center"/>
              <w:rPr>
                <w:sz w:val="24"/>
                <w:szCs w:val="21"/>
              </w:rPr>
            </w:pPr>
            <w:r>
              <w:rPr>
                <w:rFonts w:hint="eastAsia"/>
                <w:sz w:val="24"/>
                <w:szCs w:val="21"/>
              </w:rPr>
              <w:t>质量精准追溯</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764" w:type="dxa"/>
          </w:tcPr>
          <w:p>
            <w:pPr>
              <w:widowControl w:val="0"/>
              <w:spacing w:line="320" w:lineRule="exact"/>
              <w:ind w:firstLine="0" w:firstLineChars="0"/>
              <w:jc w:val="center"/>
              <w:rPr>
                <w:sz w:val="24"/>
                <w:szCs w:val="21"/>
              </w:rPr>
            </w:pPr>
            <w:r>
              <w:rPr>
                <w:rFonts w:hint="eastAsia"/>
                <w:sz w:val="24"/>
                <w:szCs w:val="21"/>
              </w:rPr>
              <w:t>8</w:t>
            </w:r>
          </w:p>
        </w:tc>
        <w:tc>
          <w:tcPr>
            <w:tcW w:w="3114" w:type="dxa"/>
            <w:vMerge w:val="continue"/>
          </w:tcPr>
          <w:p>
            <w:pPr>
              <w:widowControl w:val="0"/>
              <w:spacing w:line="320" w:lineRule="exact"/>
              <w:ind w:firstLine="0" w:firstLineChars="0"/>
              <w:jc w:val="center"/>
              <w:rPr>
                <w:sz w:val="24"/>
                <w:szCs w:val="21"/>
              </w:rPr>
            </w:pPr>
          </w:p>
        </w:tc>
        <w:tc>
          <w:tcPr>
            <w:tcW w:w="3906" w:type="dxa"/>
          </w:tcPr>
          <w:p>
            <w:pPr>
              <w:widowControl w:val="0"/>
              <w:spacing w:line="320" w:lineRule="exact"/>
              <w:ind w:firstLine="0" w:firstLineChars="0"/>
              <w:jc w:val="center"/>
              <w:rPr>
                <w:sz w:val="24"/>
                <w:szCs w:val="21"/>
              </w:rPr>
            </w:pPr>
            <w:r>
              <w:rPr>
                <w:rFonts w:hint="eastAsia"/>
                <w:sz w:val="24"/>
                <w:szCs w:val="21"/>
              </w:rPr>
              <w:t>物料精准配送</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764" w:type="dxa"/>
          </w:tcPr>
          <w:p>
            <w:pPr>
              <w:widowControl w:val="0"/>
              <w:spacing w:line="320" w:lineRule="exact"/>
              <w:ind w:firstLine="0" w:firstLineChars="0"/>
              <w:jc w:val="center"/>
              <w:rPr>
                <w:sz w:val="24"/>
                <w:szCs w:val="21"/>
              </w:rPr>
            </w:pPr>
            <w:r>
              <w:rPr>
                <w:rFonts w:hint="eastAsia"/>
                <w:sz w:val="24"/>
                <w:szCs w:val="21"/>
              </w:rPr>
              <w:t>9</w:t>
            </w:r>
          </w:p>
        </w:tc>
        <w:tc>
          <w:tcPr>
            <w:tcW w:w="3114" w:type="dxa"/>
            <w:vMerge w:val="continue"/>
          </w:tcPr>
          <w:p>
            <w:pPr>
              <w:widowControl w:val="0"/>
              <w:spacing w:line="320" w:lineRule="exact"/>
              <w:ind w:firstLine="0" w:firstLineChars="0"/>
              <w:jc w:val="center"/>
              <w:rPr>
                <w:sz w:val="24"/>
                <w:szCs w:val="21"/>
              </w:rPr>
            </w:pPr>
          </w:p>
        </w:tc>
        <w:tc>
          <w:tcPr>
            <w:tcW w:w="3906" w:type="dxa"/>
          </w:tcPr>
          <w:p>
            <w:pPr>
              <w:widowControl w:val="0"/>
              <w:spacing w:line="320" w:lineRule="exact"/>
              <w:ind w:firstLine="0" w:firstLineChars="0"/>
              <w:jc w:val="center"/>
              <w:rPr>
                <w:sz w:val="24"/>
                <w:szCs w:val="21"/>
              </w:rPr>
            </w:pPr>
            <w:r>
              <w:rPr>
                <w:rFonts w:hint="eastAsia"/>
                <w:sz w:val="24"/>
                <w:szCs w:val="21"/>
              </w:rPr>
              <w:t>仓储智能管理</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764" w:type="dxa"/>
          </w:tcPr>
          <w:p>
            <w:pPr>
              <w:widowControl w:val="0"/>
              <w:spacing w:line="320" w:lineRule="exact"/>
              <w:ind w:firstLine="0" w:firstLineChars="0"/>
              <w:jc w:val="center"/>
              <w:rPr>
                <w:sz w:val="24"/>
                <w:szCs w:val="21"/>
              </w:rPr>
            </w:pPr>
            <w:r>
              <w:rPr>
                <w:rFonts w:hint="eastAsia"/>
                <w:sz w:val="24"/>
                <w:szCs w:val="21"/>
              </w:rPr>
              <w:t>10</w:t>
            </w:r>
          </w:p>
        </w:tc>
        <w:tc>
          <w:tcPr>
            <w:tcW w:w="3114" w:type="dxa"/>
            <w:vMerge w:val="restart"/>
            <w:vAlign w:val="center"/>
          </w:tcPr>
          <w:p>
            <w:pPr>
              <w:widowControl w:val="0"/>
              <w:spacing w:line="320" w:lineRule="exact"/>
              <w:ind w:firstLine="0" w:firstLineChars="0"/>
              <w:jc w:val="center"/>
              <w:rPr>
                <w:sz w:val="24"/>
                <w:szCs w:val="21"/>
              </w:rPr>
            </w:pPr>
            <w:r>
              <w:rPr>
                <w:rFonts w:hint="eastAsia"/>
                <w:sz w:val="24"/>
                <w:szCs w:val="21"/>
              </w:rPr>
              <w:t>计划决策类</w:t>
            </w:r>
          </w:p>
        </w:tc>
        <w:tc>
          <w:tcPr>
            <w:tcW w:w="3906" w:type="dxa"/>
          </w:tcPr>
          <w:p>
            <w:pPr>
              <w:widowControl w:val="0"/>
              <w:spacing w:line="320" w:lineRule="exact"/>
              <w:ind w:firstLine="0" w:firstLineChars="0"/>
              <w:jc w:val="center"/>
              <w:rPr>
                <w:sz w:val="24"/>
                <w:szCs w:val="21"/>
              </w:rPr>
            </w:pPr>
            <w:r>
              <w:rPr>
                <w:rFonts w:hint="eastAsia"/>
                <w:sz w:val="24"/>
                <w:szCs w:val="21"/>
              </w:rPr>
              <w:t>生产计划优化</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jc w:val="center"/>
        </w:trPr>
        <w:tc>
          <w:tcPr>
            <w:tcW w:w="1764" w:type="dxa"/>
          </w:tcPr>
          <w:p>
            <w:pPr>
              <w:widowControl w:val="0"/>
              <w:spacing w:line="320" w:lineRule="exact"/>
              <w:ind w:firstLine="0" w:firstLineChars="0"/>
              <w:jc w:val="center"/>
              <w:rPr>
                <w:sz w:val="24"/>
                <w:szCs w:val="21"/>
              </w:rPr>
            </w:pPr>
            <w:r>
              <w:rPr>
                <w:rFonts w:hint="eastAsia"/>
                <w:sz w:val="24"/>
                <w:szCs w:val="21"/>
              </w:rPr>
              <w:t>11</w:t>
            </w:r>
          </w:p>
        </w:tc>
        <w:tc>
          <w:tcPr>
            <w:tcW w:w="3114" w:type="dxa"/>
            <w:vMerge w:val="continue"/>
          </w:tcPr>
          <w:p>
            <w:pPr>
              <w:widowControl w:val="0"/>
              <w:spacing w:line="320" w:lineRule="exact"/>
              <w:ind w:firstLine="0" w:firstLineChars="0"/>
              <w:jc w:val="center"/>
              <w:rPr>
                <w:sz w:val="24"/>
                <w:szCs w:val="21"/>
              </w:rPr>
            </w:pPr>
          </w:p>
        </w:tc>
        <w:tc>
          <w:tcPr>
            <w:tcW w:w="3906" w:type="dxa"/>
          </w:tcPr>
          <w:p>
            <w:pPr>
              <w:widowControl w:val="0"/>
              <w:spacing w:line="320" w:lineRule="exact"/>
              <w:ind w:firstLine="0" w:firstLineChars="0"/>
              <w:jc w:val="center"/>
              <w:rPr>
                <w:sz w:val="24"/>
                <w:szCs w:val="21"/>
              </w:rPr>
            </w:pPr>
            <w:r>
              <w:rPr>
                <w:rFonts w:hint="eastAsia"/>
                <w:sz w:val="24"/>
                <w:szCs w:val="21"/>
              </w:rPr>
              <w:t>采购计划优化协同</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jc w:val="center"/>
        </w:trPr>
        <w:tc>
          <w:tcPr>
            <w:tcW w:w="1764" w:type="dxa"/>
          </w:tcPr>
          <w:p>
            <w:pPr>
              <w:widowControl w:val="0"/>
              <w:spacing w:line="320" w:lineRule="exact"/>
              <w:ind w:firstLine="0" w:firstLineChars="0"/>
              <w:jc w:val="center"/>
              <w:rPr>
                <w:sz w:val="24"/>
                <w:szCs w:val="21"/>
              </w:rPr>
            </w:pPr>
            <w:r>
              <w:rPr>
                <w:rFonts w:hint="eastAsia"/>
                <w:sz w:val="24"/>
                <w:szCs w:val="21"/>
              </w:rPr>
              <w:t>12</w:t>
            </w:r>
          </w:p>
        </w:tc>
        <w:tc>
          <w:tcPr>
            <w:tcW w:w="3114" w:type="dxa"/>
            <w:vMerge w:val="continue"/>
          </w:tcPr>
          <w:p>
            <w:pPr>
              <w:widowControl w:val="0"/>
              <w:spacing w:line="320" w:lineRule="exact"/>
              <w:ind w:firstLine="0" w:firstLineChars="0"/>
              <w:jc w:val="center"/>
              <w:rPr>
                <w:sz w:val="24"/>
                <w:szCs w:val="21"/>
              </w:rPr>
            </w:pPr>
          </w:p>
        </w:tc>
        <w:tc>
          <w:tcPr>
            <w:tcW w:w="3906" w:type="dxa"/>
          </w:tcPr>
          <w:p>
            <w:pPr>
              <w:widowControl w:val="0"/>
              <w:spacing w:line="320" w:lineRule="exact"/>
              <w:ind w:firstLine="0" w:firstLineChars="0"/>
              <w:jc w:val="center"/>
              <w:rPr>
                <w:sz w:val="24"/>
                <w:szCs w:val="21"/>
              </w:rPr>
            </w:pPr>
            <w:r>
              <w:rPr>
                <w:rFonts w:hint="eastAsia"/>
                <w:sz w:val="24"/>
                <w:szCs w:val="21"/>
              </w:rPr>
              <w:t>智能经营决策</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jc w:val="center"/>
        </w:trPr>
        <w:tc>
          <w:tcPr>
            <w:tcW w:w="1764" w:type="dxa"/>
          </w:tcPr>
          <w:p>
            <w:pPr>
              <w:widowControl w:val="0"/>
              <w:spacing w:line="320" w:lineRule="exact"/>
              <w:ind w:firstLine="0" w:firstLineChars="0"/>
              <w:jc w:val="center"/>
              <w:rPr>
                <w:sz w:val="24"/>
                <w:szCs w:val="21"/>
              </w:rPr>
            </w:pPr>
            <w:r>
              <w:rPr>
                <w:rFonts w:hint="eastAsia"/>
                <w:sz w:val="24"/>
                <w:szCs w:val="21"/>
              </w:rPr>
              <w:t>13</w:t>
            </w:r>
          </w:p>
        </w:tc>
        <w:tc>
          <w:tcPr>
            <w:tcW w:w="3114" w:type="dxa"/>
            <w:vMerge w:val="continue"/>
          </w:tcPr>
          <w:p>
            <w:pPr>
              <w:widowControl w:val="0"/>
              <w:spacing w:line="320" w:lineRule="exact"/>
              <w:ind w:firstLine="0" w:firstLineChars="0"/>
              <w:jc w:val="center"/>
              <w:rPr>
                <w:sz w:val="24"/>
                <w:szCs w:val="21"/>
              </w:rPr>
            </w:pPr>
          </w:p>
        </w:tc>
        <w:tc>
          <w:tcPr>
            <w:tcW w:w="3906" w:type="dxa"/>
          </w:tcPr>
          <w:p>
            <w:pPr>
              <w:widowControl w:val="0"/>
              <w:spacing w:line="320" w:lineRule="exact"/>
              <w:ind w:firstLine="0" w:firstLineChars="0"/>
              <w:jc w:val="center"/>
              <w:rPr>
                <w:sz w:val="24"/>
                <w:szCs w:val="21"/>
              </w:rPr>
            </w:pPr>
            <w:r>
              <w:rPr>
                <w:rFonts w:hint="eastAsia"/>
                <w:sz w:val="24"/>
                <w:szCs w:val="21"/>
              </w:rPr>
              <w:t>数智精益管理</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jc w:val="center"/>
        </w:trPr>
        <w:tc>
          <w:tcPr>
            <w:tcW w:w="1764" w:type="dxa"/>
          </w:tcPr>
          <w:p>
            <w:pPr>
              <w:widowControl w:val="0"/>
              <w:spacing w:line="320" w:lineRule="exact"/>
              <w:ind w:firstLine="0" w:firstLineChars="0"/>
              <w:jc w:val="center"/>
              <w:rPr>
                <w:sz w:val="24"/>
                <w:szCs w:val="21"/>
              </w:rPr>
            </w:pPr>
            <w:r>
              <w:rPr>
                <w:rFonts w:hint="eastAsia"/>
                <w:sz w:val="24"/>
                <w:szCs w:val="21"/>
              </w:rPr>
              <w:t>14</w:t>
            </w:r>
          </w:p>
        </w:tc>
        <w:tc>
          <w:tcPr>
            <w:tcW w:w="3114" w:type="dxa"/>
            <w:vMerge w:val="continue"/>
            <w:vAlign w:val="center"/>
          </w:tcPr>
          <w:p>
            <w:pPr>
              <w:widowControl w:val="0"/>
              <w:spacing w:line="320" w:lineRule="exact"/>
              <w:ind w:firstLine="0" w:firstLineChars="0"/>
              <w:jc w:val="center"/>
              <w:rPr>
                <w:sz w:val="24"/>
                <w:szCs w:val="21"/>
              </w:rPr>
            </w:pPr>
          </w:p>
        </w:tc>
        <w:tc>
          <w:tcPr>
            <w:tcW w:w="3906" w:type="dxa"/>
          </w:tcPr>
          <w:p>
            <w:pPr>
              <w:widowControl w:val="0"/>
              <w:spacing w:line="320" w:lineRule="exact"/>
              <w:ind w:firstLine="0" w:firstLineChars="0"/>
              <w:jc w:val="center"/>
              <w:rPr>
                <w:sz w:val="24"/>
                <w:szCs w:val="21"/>
              </w:rPr>
            </w:pPr>
            <w:r>
              <w:rPr>
                <w:rFonts w:hint="eastAsia"/>
                <w:sz w:val="24"/>
                <w:szCs w:val="21"/>
              </w:rPr>
              <w:t>供应链风险预警与调度</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jc w:val="center"/>
        </w:trPr>
        <w:tc>
          <w:tcPr>
            <w:tcW w:w="1764" w:type="dxa"/>
          </w:tcPr>
          <w:p>
            <w:pPr>
              <w:widowControl w:val="0"/>
              <w:spacing w:line="320" w:lineRule="exact"/>
              <w:ind w:firstLine="0" w:firstLineChars="0"/>
              <w:jc w:val="center"/>
              <w:rPr>
                <w:sz w:val="24"/>
                <w:szCs w:val="21"/>
              </w:rPr>
            </w:pPr>
            <w:r>
              <w:rPr>
                <w:rFonts w:hint="eastAsia"/>
                <w:sz w:val="24"/>
                <w:szCs w:val="21"/>
              </w:rPr>
              <w:t>15</w:t>
            </w:r>
          </w:p>
        </w:tc>
        <w:tc>
          <w:tcPr>
            <w:tcW w:w="3114" w:type="dxa"/>
            <w:vMerge w:val="restart"/>
            <w:vAlign w:val="center"/>
          </w:tcPr>
          <w:p>
            <w:pPr>
              <w:widowControl w:val="0"/>
              <w:spacing w:line="320" w:lineRule="exact"/>
              <w:ind w:firstLine="0" w:firstLineChars="0"/>
              <w:jc w:val="center"/>
              <w:rPr>
                <w:sz w:val="24"/>
                <w:szCs w:val="21"/>
              </w:rPr>
            </w:pPr>
            <w:r>
              <w:rPr>
                <w:rFonts w:hint="eastAsia"/>
                <w:sz w:val="24"/>
                <w:szCs w:val="21"/>
              </w:rPr>
              <w:t>研发仿真类</w:t>
            </w:r>
          </w:p>
        </w:tc>
        <w:tc>
          <w:tcPr>
            <w:tcW w:w="3906" w:type="dxa"/>
          </w:tcPr>
          <w:p>
            <w:pPr>
              <w:widowControl w:val="0"/>
              <w:spacing w:line="320" w:lineRule="exact"/>
              <w:ind w:firstLine="0" w:firstLineChars="0"/>
              <w:jc w:val="center"/>
              <w:rPr>
                <w:sz w:val="24"/>
                <w:szCs w:val="21"/>
              </w:rPr>
            </w:pPr>
            <w:r>
              <w:rPr>
                <w:rFonts w:hint="eastAsia"/>
                <w:sz w:val="24"/>
                <w:szCs w:val="21"/>
              </w:rPr>
              <w:t>产品数字化设计</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764" w:type="dxa"/>
          </w:tcPr>
          <w:p>
            <w:pPr>
              <w:widowControl w:val="0"/>
              <w:spacing w:line="320" w:lineRule="exact"/>
              <w:ind w:firstLine="0" w:firstLineChars="0"/>
              <w:jc w:val="center"/>
              <w:rPr>
                <w:sz w:val="24"/>
                <w:szCs w:val="21"/>
              </w:rPr>
            </w:pPr>
            <w:r>
              <w:rPr>
                <w:rFonts w:hint="eastAsia"/>
                <w:sz w:val="24"/>
                <w:szCs w:val="21"/>
              </w:rPr>
              <w:t>16</w:t>
            </w:r>
          </w:p>
        </w:tc>
        <w:tc>
          <w:tcPr>
            <w:tcW w:w="3114" w:type="dxa"/>
            <w:vMerge w:val="continue"/>
          </w:tcPr>
          <w:p>
            <w:pPr>
              <w:widowControl w:val="0"/>
              <w:spacing w:line="320" w:lineRule="exact"/>
              <w:ind w:firstLine="0" w:firstLineChars="0"/>
              <w:jc w:val="center"/>
              <w:rPr>
                <w:sz w:val="24"/>
                <w:szCs w:val="21"/>
              </w:rPr>
            </w:pPr>
          </w:p>
        </w:tc>
        <w:tc>
          <w:tcPr>
            <w:tcW w:w="3906" w:type="dxa"/>
          </w:tcPr>
          <w:p>
            <w:pPr>
              <w:widowControl w:val="0"/>
              <w:spacing w:line="320" w:lineRule="exact"/>
              <w:ind w:firstLine="0" w:firstLineChars="0"/>
              <w:jc w:val="center"/>
              <w:rPr>
                <w:sz w:val="24"/>
                <w:szCs w:val="21"/>
              </w:rPr>
            </w:pPr>
            <w:r>
              <w:rPr>
                <w:rFonts w:hint="eastAsia"/>
                <w:sz w:val="24"/>
                <w:szCs w:val="21"/>
              </w:rPr>
              <w:t>工艺数字化设计</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764" w:type="dxa"/>
          </w:tcPr>
          <w:p>
            <w:pPr>
              <w:widowControl w:val="0"/>
              <w:spacing w:line="320" w:lineRule="exact"/>
              <w:ind w:firstLine="0" w:firstLineChars="0"/>
              <w:jc w:val="center"/>
              <w:rPr>
                <w:sz w:val="24"/>
                <w:szCs w:val="21"/>
              </w:rPr>
            </w:pPr>
            <w:r>
              <w:rPr>
                <w:rFonts w:hint="eastAsia"/>
                <w:sz w:val="24"/>
                <w:szCs w:val="21"/>
              </w:rPr>
              <w:t>17</w:t>
            </w:r>
          </w:p>
        </w:tc>
        <w:tc>
          <w:tcPr>
            <w:tcW w:w="3114" w:type="dxa"/>
            <w:vMerge w:val="continue"/>
          </w:tcPr>
          <w:p>
            <w:pPr>
              <w:widowControl w:val="0"/>
              <w:spacing w:line="320" w:lineRule="exact"/>
              <w:ind w:firstLine="0" w:firstLineChars="0"/>
              <w:jc w:val="center"/>
              <w:rPr>
                <w:sz w:val="24"/>
                <w:szCs w:val="21"/>
              </w:rPr>
            </w:pPr>
          </w:p>
        </w:tc>
        <w:tc>
          <w:tcPr>
            <w:tcW w:w="3906" w:type="dxa"/>
          </w:tcPr>
          <w:p>
            <w:pPr>
              <w:widowControl w:val="0"/>
              <w:spacing w:line="320" w:lineRule="exact"/>
              <w:ind w:firstLine="0" w:firstLineChars="0"/>
              <w:jc w:val="center"/>
              <w:rPr>
                <w:sz w:val="24"/>
                <w:szCs w:val="21"/>
              </w:rPr>
            </w:pPr>
            <w:r>
              <w:rPr>
                <w:rFonts w:hint="eastAsia"/>
                <w:sz w:val="24"/>
                <w:szCs w:val="21"/>
              </w:rPr>
              <w:t>数字孪生工厂构建</w:t>
            </w:r>
          </w:p>
        </w:tc>
      </w:tr>
    </w:tbl>
    <w:p>
      <w:pPr>
        <w:pStyle w:val="3"/>
        <w:ind w:left="220" w:firstLineChars="0"/>
      </w:pPr>
      <w:bookmarkStart w:id="73" w:name="_Toc25322"/>
      <w:bookmarkStart w:id="74" w:name="_Toc23385"/>
      <w:r>
        <w:rPr>
          <w:rFonts w:hint="eastAsia"/>
        </w:rPr>
        <w:t>（一）生产刚性类</w:t>
      </w:r>
      <w:bookmarkEnd w:id="73"/>
      <w:bookmarkEnd w:id="74"/>
    </w:p>
    <w:p>
      <w:pPr>
        <w:ind w:left="220" w:firstLine="640"/>
        <w:rPr>
          <w:bCs/>
          <w:szCs w:val="32"/>
          <w14:ligatures w14:val="none"/>
        </w:rPr>
      </w:pPr>
      <w:r>
        <w:rPr>
          <w:rFonts w:hint="eastAsia"/>
          <w:bCs/>
          <w:szCs w:val="32"/>
          <w14:ligatures w14:val="none"/>
        </w:rPr>
        <w:t>生产刚性类场景以直接支撑现场连续生产的核心业务为模型调用模式，此类场景的推理结果直接决定产线连续生产状态，一旦模型调用异常、响应延迟或资源不足，极易引发产品批量不良、产线停机、设备故障扩大等生产损失，对推理实时性、服务可用性、调用稳定性要求极高。管理侧重点在于优先满足实时生产需求，再管控资源成本。</w:t>
      </w:r>
    </w:p>
    <w:p>
      <w:pPr>
        <w:pStyle w:val="4"/>
        <w:numPr>
          <w:ilvl w:val="0"/>
          <w:numId w:val="3"/>
        </w:numPr>
        <w:ind w:left="-3" w:firstLine="643" w:firstLineChars="0"/>
      </w:pPr>
      <w:bookmarkStart w:id="75" w:name="_Toc2670"/>
      <w:bookmarkStart w:id="76" w:name="_Toc5906"/>
      <w:r>
        <w:rPr>
          <w:rFonts w:hint="eastAsia"/>
        </w:rPr>
        <w:t>在线智能检测</w:t>
      </w:r>
      <w:bookmarkEnd w:id="75"/>
      <w:bookmarkEnd w:id="76"/>
    </w:p>
    <w:p>
      <w:pPr>
        <w:ind w:firstLine="640"/>
        <w:rPr>
          <w:color w:val="000000" w:themeColor="text1"/>
          <w14:textFill>
            <w14:solidFill>
              <w14:schemeClr w14:val="tx1"/>
            </w14:solidFill>
          </w14:textFill>
        </w:rPr>
      </w:pPr>
      <w:r>
        <w:rPr>
          <w:rFonts w:hint="eastAsia"/>
          <w:color w:val="000000" w:themeColor="text1"/>
          <w14:textFill>
            <w14:solidFill>
              <w14:schemeClr w14:val="tx1"/>
            </w14:solidFill>
          </w14:textFill>
        </w:rPr>
        <w:t>在线智能检测模型应用主要包括以下场景</w:t>
      </w:r>
      <w:r>
        <w:rPr>
          <w:color w:val="000000" w:themeColor="text1"/>
          <w14:textFill>
            <w14:solidFill>
              <w14:schemeClr w14:val="tx1"/>
            </w14:solidFill>
          </w14:textFill>
        </w:rPr>
        <w:t>：</w:t>
      </w:r>
      <w:r>
        <w:rPr>
          <w:rFonts w:hint="eastAsia"/>
          <w:color w:val="000000" w:themeColor="text1"/>
          <w14:textFill>
            <w14:solidFill>
              <w14:schemeClr w14:val="tx1"/>
            </w14:solidFill>
          </w14:textFill>
        </w:rPr>
        <w:t>一是工业产线视觉与缺陷自动检测。通过结合产线工业相机获取的原始图片，模型能够进行高精度的推理分析，能够精准捕捉并自动判定产品瑕疵，实现毫米级甚至亚毫米级的缺陷识别，从而将传统的人工抽检升级为100%覆盖的自动化全检。二是缺陷智能分类与溯源。在检出缺陷后，模型可精准区分缺陷类型，并自动统计各类缺陷的占比。在此基础上，系统联动设备运行参数、原材料批次等生产数据，深度剖析缺陷产生的根本原因，实现“检测—分类—溯源—优化”的闭环。</w:t>
      </w:r>
    </w:p>
    <w:p>
      <w:pPr>
        <w:ind w:firstLine="643"/>
        <w:rPr>
          <w:b/>
          <w:bCs/>
        </w:rPr>
      </w:pPr>
      <w:r>
        <w:rPr>
          <w:rFonts w:hint="eastAsia"/>
          <w:b/>
          <w:bCs/>
        </w:rPr>
        <w:t>（1）Token消耗特征</w:t>
      </w:r>
    </w:p>
    <w:p>
      <w:pPr>
        <w:ind w:firstLine="643"/>
      </w:pPr>
      <w:r>
        <w:rPr>
          <w:rFonts w:hint="eastAsia"/>
          <w:b/>
          <w:bCs/>
        </w:rPr>
        <w:t>一是图像Token化的算力消耗与结构数据的Token冗余消耗。</w:t>
      </w:r>
      <w:r>
        <w:rPr>
          <w:rFonts w:hint="eastAsia"/>
        </w:rPr>
        <w:t>在视觉与缺陷自动检测环节，工业相机采集的高清原始图片在输入模型前，需要被切分为大量像素块转化为视觉Token，会产生大量的基础算力消耗。另外，产线视觉模型持续输出标准化缺陷信息，每条记录重复携带产线编号、时间戳、产品型号等静态标识，形成固有结构性Token冗余。</w:t>
      </w:r>
    </w:p>
    <w:p>
      <w:pPr>
        <w:ind w:firstLine="643"/>
      </w:pPr>
      <w:r>
        <w:rPr>
          <w:rFonts w:hint="eastAsia"/>
          <w:b/>
          <w:bCs/>
        </w:rPr>
        <w:t>二是Token调用请求呈事件驱动分布。</w:t>
      </w:r>
      <w:r>
        <w:rPr>
          <w:rFonts w:hint="eastAsia"/>
        </w:rPr>
        <w:t>Token调用请求与产线缺陷发生强绑定，产线稳定生产，良品样本一般不触发大模型推理。当原材料波动、工装磨损引发批量缺陷时，Token消耗会快速形成瞬时流量尖峰，少量异常时段占用整体大部分Token资源，存在重尾分布特征。</w:t>
      </w:r>
    </w:p>
    <w:p>
      <w:pPr>
        <w:ind w:firstLine="643"/>
      </w:pPr>
      <w:r>
        <w:rPr>
          <w:rFonts w:hint="eastAsia"/>
          <w:b/>
          <w:bCs/>
        </w:rPr>
        <w:t>三是基线提示词构成稳定Token消耗。</w:t>
      </w:r>
      <w:r>
        <w:rPr>
          <w:rFonts w:hint="eastAsia"/>
        </w:rPr>
        <w:t>质检标准、缺陷判定规则组成的系统提示词构成每一次请求的固定基线Token开销；场景以单次独立推理任务为主，极少长期保留多轮对话历史，Token上涨主要来源于单次输入数据体量增大，而非对话上下文持续叠加。</w:t>
      </w:r>
    </w:p>
    <w:p>
      <w:pPr>
        <w:ind w:firstLine="643"/>
      </w:pPr>
      <w:r>
        <w:rPr>
          <w:rFonts w:hint="eastAsia"/>
          <w:b/>
          <w:bCs/>
        </w:rPr>
        <w:t>四是Token消耗区间因不同任务分化显著。</w:t>
      </w:r>
      <w:r>
        <w:rPr>
          <w:rFonts w:hint="eastAsia"/>
        </w:rPr>
        <w:t>在线实时缺陷判定、后台批量缺陷溯源两类任务在Token量级、约束条件、波动规律存在明显分界。在线实时缺陷判定以单条缺陷数据输入为主，以固定系统提示词为基线，不加载历史缺陷数据，单次Token规模有限；批量溯源任务需聚合多条缺陷记录、时序PLC参数、历史不良案例等信息，单次Token上限大幅抬升，同时易产生定时集中并发。</w:t>
      </w:r>
    </w:p>
    <w:p>
      <w:pPr>
        <w:ind w:firstLine="643" w:firstLineChars="0"/>
        <w:rPr>
          <w:rFonts w:cs="Times New Roman"/>
          <w:b/>
          <w:bCs/>
          <w:kern w:val="0"/>
          <w:szCs w:val="27"/>
          <w14:ligatures w14:val="none"/>
        </w:rPr>
      </w:pPr>
      <w:r>
        <w:rPr>
          <w:rFonts w:hint="eastAsia" w:cs="Times New Roman"/>
          <w:b/>
          <w:bCs/>
          <w:kern w:val="0"/>
          <w:szCs w:val="27"/>
          <w14:ligatures w14:val="none"/>
        </w:rPr>
        <w:t>（2）Token管理侧重点</w:t>
      </w:r>
    </w:p>
    <w:p>
      <w:pPr>
        <w:ind w:firstLine="643"/>
        <w:rPr>
          <w:rFonts w:cs="Times New Roman"/>
          <w:kern w:val="0"/>
          <w:szCs w:val="27"/>
          <w14:ligatures w14:val="none"/>
        </w:rPr>
      </w:pPr>
      <w:r>
        <w:rPr>
          <w:rFonts w:hint="eastAsia" w:cs="Times New Roman"/>
          <w:b/>
          <w:bCs/>
          <w:kern w:val="0"/>
          <w:szCs w:val="27"/>
          <w14:ligatures w14:val="none"/>
        </w:rPr>
        <w:t>建立结构化数据前置预处理机制。一是</w:t>
      </w:r>
      <w:r>
        <w:rPr>
          <w:rFonts w:hint="eastAsia" w:cs="Times New Roman"/>
          <w:kern w:val="0"/>
          <w:szCs w:val="27"/>
          <w14:ligatures w14:val="none"/>
        </w:rPr>
        <w:t>实施结构化信息精简清洗，对视觉检测输出的JSON缺陷数据、设备工况参数进行字段筛选，剔除反复出现的产线编号、时间戳等静态标识，去除多余分隔符、换行符等格式化字符，降低序列化文本自带的无效Token开销。</w:t>
      </w:r>
      <w:r>
        <w:rPr>
          <w:rFonts w:hint="eastAsia" w:cs="Times New Roman"/>
          <w:b/>
          <w:bCs/>
          <w:kern w:val="0"/>
          <w:szCs w:val="27"/>
          <w14:ligatures w14:val="none"/>
        </w:rPr>
        <w:t>二是</w:t>
      </w:r>
      <w:r>
        <w:rPr>
          <w:rFonts w:hint="eastAsia" w:cs="Times New Roman"/>
          <w:kern w:val="0"/>
          <w:szCs w:val="27"/>
          <w14:ligatures w14:val="none"/>
        </w:rPr>
        <w:t>构建信息分级传输策略，严格区分缺陷判定必填核心参数与辅助拓展信息，在线实时检测链路仅传输关键指标，批量溯源场景按需加载完整数据，杜绝未经筛选的全量原始数据持续送入模型，从源头控制Token规模，降低大模型稳态显存占用。</w:t>
      </w:r>
    </w:p>
    <w:p>
      <w:pPr>
        <w:ind w:firstLine="643"/>
        <w:rPr>
          <w:rFonts w:cs="Times New Roman"/>
          <w:kern w:val="0"/>
          <w:szCs w:val="27"/>
          <w14:ligatures w14:val="none"/>
        </w:rPr>
      </w:pPr>
      <w:r>
        <w:rPr>
          <w:rFonts w:hint="eastAsia" w:cs="Times New Roman"/>
          <w:b/>
          <w:bCs/>
          <w:kern w:val="0"/>
          <w:szCs w:val="27"/>
          <w14:ligatures w14:val="none"/>
        </w:rPr>
        <w:t>建立任务驱动的模型智能路由机制。</w:t>
      </w:r>
      <w:r>
        <w:rPr>
          <w:rFonts w:hint="eastAsia" w:cs="Times New Roman"/>
          <w:kern w:val="0"/>
          <w:szCs w:val="27"/>
          <w14:ligatures w14:val="none"/>
        </w:rPr>
        <w:t>在产线旁部署边缘网关，将量化压缩后的轻量级模型直接下发至端侧。端侧算力仅负责高时效性的图像预处理、特征提取和毫秒级缺陷检测，实现本地闭环决策，大幅降低带宽占用和云端Token消耗。云端算力不参与实时推理，仅承担复杂溯源、品质复盘任务调度高阶工业大模型推理。</w:t>
      </w:r>
    </w:p>
    <w:p>
      <w:pPr>
        <w:ind w:firstLine="643"/>
        <w:rPr>
          <w:rFonts w:cs="Times New Roman"/>
          <w:kern w:val="0"/>
          <w:szCs w:val="27"/>
          <w14:ligatures w14:val="none"/>
        </w:rPr>
      </w:pPr>
      <w:r>
        <w:rPr>
          <w:rFonts w:hint="eastAsia" w:cs="Times New Roman"/>
          <w:b/>
          <w:bCs/>
          <w:kern w:val="0"/>
          <w:szCs w:val="27"/>
          <w14:ligatures w14:val="none"/>
        </w:rPr>
        <w:t>构建流量实时监测与弹性调度体系</w:t>
      </w:r>
      <w:r>
        <w:rPr>
          <w:rFonts w:hint="eastAsia" w:cs="Times New Roman"/>
          <w:kern w:val="0"/>
          <w:szCs w:val="27"/>
          <w14:ligatures w14:val="none"/>
        </w:rPr>
        <w:t>。一是打通产线缺陷告警与模型调用日志，依托Token流量监控预判批量缺陷算力尖峰，通过限流、任务缓冲分散瞬时负载，避免缺陷集中爆发时，视觉稳态算力叠加大模型突发算力，造成整体硬件负载溢出、检测超时。二是对在线实时检测任务收紧单次Token上限保障产线检测时延，对离线批量复盘任务开放合理上下文窗口，隔离高低负载推理任务，避免高Token批量任务长期占用算力，保障视觉检测硬件资源优先级。</w:t>
      </w:r>
    </w:p>
    <w:p>
      <w:pPr>
        <w:ind w:firstLine="643"/>
        <w:rPr>
          <w:rFonts w:cs="Times New Roman"/>
          <w:kern w:val="0"/>
          <w:szCs w:val="27"/>
          <w14:ligatures w14:val="none"/>
        </w:rPr>
      </w:pPr>
      <w:r>
        <w:rPr>
          <w:rFonts w:hint="eastAsia" w:cs="Times New Roman"/>
          <w:b/>
          <w:bCs/>
          <w:kern w:val="0"/>
          <w:szCs w:val="27"/>
          <w14:ligatures w14:val="none"/>
        </w:rPr>
        <w:t>落地基线Prompt缓存优化策略</w:t>
      </w:r>
      <w:r>
        <w:rPr>
          <w:rFonts w:hint="eastAsia" w:cs="Times New Roman"/>
          <w:kern w:val="0"/>
          <w:szCs w:val="27"/>
          <w14:ligatures w14:val="none"/>
        </w:rPr>
        <w:t>。一是对质检规范、缺陷判定标准、角色指令等静态系统提示词进行前缀缓存复用，持续降低大模型长期稳态算力消耗，释放硬件资源承载更多工位相机的视觉检测任务，提升整体算力设施利用率。二是精简场景上下文优化建设投入，摒弃适配多轮对话场景的复杂历史摘要、长上下文压缩方案，依托场景单次独立推理特性，将优化资源聚焦于单轮输入的数据精简治理。</w:t>
      </w:r>
    </w:p>
    <w:p>
      <w:pPr>
        <w:pStyle w:val="4"/>
        <w:numPr>
          <w:ilvl w:val="0"/>
          <w:numId w:val="3"/>
        </w:numPr>
        <w:ind w:left="-3" w:firstLine="643" w:firstLineChars="0"/>
      </w:pPr>
      <w:bookmarkStart w:id="77" w:name="_Toc31756"/>
      <w:bookmarkStart w:id="78" w:name="_Toc14595"/>
      <w:r>
        <w:rPr>
          <w:rFonts w:hint="eastAsia"/>
        </w:rPr>
        <w:t>设备运行监控与维护</w:t>
      </w:r>
      <w:bookmarkEnd w:id="77"/>
      <w:bookmarkEnd w:id="78"/>
    </w:p>
    <w:p>
      <w:pPr>
        <w:ind w:firstLine="640"/>
        <w:rPr>
          <w:rFonts w:cs="Times New Roman"/>
          <w:kern w:val="0"/>
          <w:szCs w:val="27"/>
          <w14:ligatures w14:val="none"/>
        </w:rPr>
      </w:pPr>
      <w:r>
        <w:rPr>
          <w:rFonts w:hint="eastAsia" w:cs="Times New Roman"/>
          <w:kern w:val="0"/>
          <w:szCs w:val="27"/>
          <w14:ligatures w14:val="none"/>
        </w:rPr>
        <w:t>设备运行监控与维护场景中模型应用主要包括以下场景：一是构建维修知识库。采用RAG技术，将非结构化的设备手册、历史维修记录、SOP及历史工单进行矢量化处理，让用户通过自然语言快速查询维修知识库。二是设备异常诊断与维修辅助。结合实时工况数据、知识图谱等，精准定位故障根因并梳理出故障传播路径，给出故障类型和风险等级，同时联动历史案例库和专家经验，自动生成包含排故步骤与备件清单的成套维修方案。三是辅助生成结构化维修工单。根据现场人员的语音描述或简单文本输入，自动提取设备编号、故障代码、发生时间等关键要素，并结构化填入维修工单系统。</w:t>
      </w:r>
    </w:p>
    <w:p>
      <w:pPr>
        <w:ind w:firstLine="643" w:firstLineChars="0"/>
        <w:rPr>
          <w:rFonts w:hint="eastAsia" w:cs="Times New Roman"/>
          <w:b/>
          <w:bCs/>
          <w:kern w:val="0"/>
          <w:szCs w:val="27"/>
          <w14:ligatures w14:val="none"/>
        </w:rPr>
      </w:pPr>
    </w:p>
    <w:p>
      <w:pPr>
        <w:ind w:firstLine="643" w:firstLineChars="0"/>
        <w:rPr>
          <w:rFonts w:hint="eastAsia" w:cs="Times New Roman"/>
          <w:b/>
          <w:bCs/>
          <w:kern w:val="0"/>
          <w:szCs w:val="27"/>
          <w14:ligatures w14:val="none"/>
        </w:rPr>
      </w:pPr>
    </w:p>
    <w:p>
      <w:pPr>
        <w:ind w:firstLine="643" w:firstLineChars="0"/>
        <w:rPr>
          <w:rFonts w:hint="eastAsia" w:ascii="Times New Roman" w:hAnsi="Times New Roman" w:eastAsia="方正仿宋_GBK" w:cs="宋体"/>
          <w:kern w:val="2"/>
          <w:sz w:val="32"/>
          <w:szCs w:val="24"/>
          <w:lang w:val="en-US" w:eastAsia="zh-CN" w:bidi="ar-SA"/>
          <w14:ligatures w14:val="standardContextual"/>
        </w:rPr>
      </w:pPr>
      <w:r>
        <w:rPr>
          <w:rFonts w:hint="eastAsia" w:cs="Times New Roman"/>
          <w:b/>
          <w:bCs/>
          <w:kern w:val="0"/>
          <w:szCs w:val="27"/>
          <w14:ligatures w14:val="none"/>
        </w:rPr>
        <w:t>（1）Token消耗特征</w:t>
      </w:r>
    </w:p>
    <w:p>
      <w:pPr>
        <w:ind w:firstLine="643"/>
        <w:rPr>
          <w:rFonts w:cs="Times New Roman"/>
          <w:kern w:val="0"/>
          <w:szCs w:val="27"/>
          <w14:ligatures w14:val="none"/>
        </w:rPr>
      </w:pPr>
      <w:r>
        <w:rPr>
          <w:rFonts w:hint="eastAsia" w:cs="Times New Roman"/>
          <w:b/>
          <w:bCs/>
          <w:kern w:val="0"/>
          <w:szCs w:val="27"/>
          <w14:ligatures w14:val="none"/>
        </w:rPr>
        <w:t>一是输入端呈现长文本与冗余信息的刚性消耗。</w:t>
      </w:r>
      <w:r>
        <w:rPr>
          <w:rFonts w:hint="eastAsia" w:cs="Times New Roman"/>
          <w:kern w:val="0"/>
          <w:szCs w:val="27"/>
          <w14:ligatures w14:val="none"/>
        </w:rPr>
        <w:t>系统持续采集设备传感时序参数、实时运行日志、周期性巡检工单、设备基础台账，每条推理请求均附带设备编号、站点、采集时间、机型版本等固定静态标识文本；故障工单、巡检报告复用统一表头、标准化故障分类标签。无论常规状态监测还是故障诊断，重复标识文本全程拼接至上下文，形成无信息增益的固定Token开销。</w:t>
      </w:r>
    </w:p>
    <w:p>
      <w:pPr>
        <w:ind w:firstLine="643"/>
        <w:rPr>
          <w:rFonts w:cs="Times New Roman"/>
          <w:kern w:val="0"/>
          <w:szCs w:val="27"/>
          <w14:ligatures w14:val="none"/>
        </w:rPr>
      </w:pPr>
      <w:r>
        <w:rPr>
          <w:rFonts w:hint="eastAsia" w:cs="Times New Roman"/>
          <w:b/>
          <w:bCs/>
          <w:kern w:val="0"/>
          <w:szCs w:val="27"/>
          <w14:ligatures w14:val="none"/>
        </w:rPr>
        <w:t>二是推理端呈现多步工具调用的链式级联消耗。</w:t>
      </w:r>
      <w:r>
        <w:rPr>
          <w:rFonts w:hint="eastAsia" w:cs="Times New Roman"/>
          <w:kern w:val="0"/>
          <w:szCs w:val="27"/>
          <w14:ligatures w14:val="none"/>
        </w:rPr>
        <w:t>模型为了精准定位故障根因，往往需要进行多步逻辑推理，并频繁触发外部工具调用。每一次工具的调用指令、返回结果，以及模型多轮思考的上下文累积，都会产生大量的Token消耗，还会导致系统的整体响应时间显著拉长。</w:t>
      </w:r>
    </w:p>
    <w:p>
      <w:pPr>
        <w:ind w:firstLine="643"/>
        <w:rPr>
          <w:rFonts w:cs="Times New Roman"/>
          <w:kern w:val="0"/>
          <w:szCs w:val="27"/>
          <w14:ligatures w14:val="none"/>
        </w:rPr>
      </w:pPr>
      <w:r>
        <w:rPr>
          <w:rFonts w:hint="eastAsia" w:cs="Times New Roman"/>
          <w:b/>
          <w:bCs/>
          <w:kern w:val="0"/>
          <w:szCs w:val="27"/>
          <w14:ligatures w14:val="none"/>
        </w:rPr>
        <w:t>三是响应端倒逼Token的发散限制。</w:t>
      </w:r>
      <w:r>
        <w:rPr>
          <w:rFonts w:hint="eastAsia" w:cs="Times New Roman"/>
          <w:kern w:val="0"/>
          <w:szCs w:val="27"/>
          <w14:ligatures w14:val="none"/>
        </w:rPr>
        <w:t>在工业生产现场，设备响应速度往往比回答的完美度更重要。为了保障系统能秒级给出维修方案，Token管理必须在消耗与速度之间做出妥协。</w:t>
      </w:r>
    </w:p>
    <w:p>
      <w:pPr>
        <w:ind w:firstLine="643" w:firstLineChars="0"/>
        <w:rPr>
          <w:rFonts w:cs="Times New Roman"/>
          <w:b/>
          <w:bCs/>
          <w:kern w:val="0"/>
          <w:szCs w:val="27"/>
          <w14:ligatures w14:val="none"/>
        </w:rPr>
      </w:pPr>
      <w:r>
        <w:rPr>
          <w:rFonts w:hint="eastAsia" w:cs="Times New Roman"/>
          <w:b/>
          <w:bCs/>
          <w:kern w:val="0"/>
          <w:szCs w:val="27"/>
          <w14:ligatures w14:val="none"/>
        </w:rPr>
        <w:t>（2）Token管理侧重点</w:t>
      </w:r>
    </w:p>
    <w:p>
      <w:pPr>
        <w:ind w:firstLine="643"/>
        <w:rPr>
          <w:rFonts w:cs="Times New Roman"/>
          <w:kern w:val="0"/>
          <w:szCs w:val="27"/>
          <w14:ligatures w14:val="none"/>
        </w:rPr>
      </w:pPr>
      <w:r>
        <w:rPr>
          <w:rFonts w:hint="eastAsia" w:cs="Times New Roman"/>
          <w:b/>
          <w:bCs/>
          <w:kern w:val="0"/>
          <w:szCs w:val="27"/>
          <w14:ligatures w14:val="none"/>
        </w:rPr>
        <w:t>降低输入端Token消耗。一是</w:t>
      </w:r>
      <w:r>
        <w:rPr>
          <w:rFonts w:hint="eastAsia" w:cs="Times New Roman"/>
          <w:kern w:val="0"/>
          <w:szCs w:val="27"/>
          <w14:ligatures w14:val="none"/>
        </w:rPr>
        <w:t>在RAG环节，严禁盲目追求召回数量，应引入动态上下文窗口管理与重排序技术，精准截取与当前故障最相关的文本片段，坚决剔除无关背景，以控制输入Token的上限，从而保障系统的首字响应速度。二</w:t>
      </w:r>
      <w:r>
        <w:rPr>
          <w:rFonts w:hint="eastAsia" w:cs="Times New Roman"/>
          <w:b/>
          <w:bCs/>
          <w:kern w:val="0"/>
          <w:szCs w:val="27"/>
          <w14:ligatures w14:val="none"/>
        </w:rPr>
        <w:t>是</w:t>
      </w:r>
      <w:r>
        <w:rPr>
          <w:rFonts w:hint="eastAsia" w:cs="Times New Roman"/>
          <w:kern w:val="0"/>
          <w:szCs w:val="27"/>
          <w14:ligatures w14:val="none"/>
        </w:rPr>
        <w:t>针对工业专有名词、设备型号在通用词表中被切碎导致Token膨胀的问题，需对模型进行词表扩充或微调，提升专业术语的Token化效率，从源头上降低无效消耗。</w:t>
      </w:r>
    </w:p>
    <w:p>
      <w:pPr>
        <w:ind w:firstLine="643"/>
        <w:rPr>
          <w:rFonts w:cs="Times New Roman"/>
          <w:kern w:val="0"/>
          <w:szCs w:val="27"/>
          <w14:ligatures w14:val="none"/>
        </w:rPr>
      </w:pPr>
      <w:r>
        <w:rPr>
          <w:rFonts w:hint="eastAsia" w:cs="Times New Roman"/>
          <w:b/>
          <w:bCs/>
          <w:kern w:val="0"/>
          <w:szCs w:val="27"/>
          <w14:ligatures w14:val="none"/>
        </w:rPr>
        <w:t>保证推理Token响应速度</w:t>
      </w:r>
      <w:r>
        <w:rPr>
          <w:rFonts w:hint="eastAsia" w:cs="Times New Roman"/>
          <w:kern w:val="0"/>
          <w:szCs w:val="27"/>
          <w14:ligatures w14:val="none"/>
        </w:rPr>
        <w:t>。</w:t>
      </w:r>
      <w:r>
        <w:rPr>
          <w:rFonts w:hint="eastAsia" w:cs="Times New Roman"/>
          <w:b/>
          <w:bCs/>
          <w:kern w:val="0"/>
          <w:szCs w:val="27"/>
          <w14:ligatures w14:val="none"/>
        </w:rPr>
        <w:t>一是</w:t>
      </w:r>
      <w:r>
        <w:rPr>
          <w:rFonts w:hint="eastAsia" w:cs="Times New Roman"/>
          <w:kern w:val="0"/>
          <w:szCs w:val="27"/>
          <w14:ligatures w14:val="none"/>
        </w:rPr>
        <w:t>对于工单信息抽取、日志摘要等高频轻量级任务，应采用本地部署的轻量级小模型处理，降低Token消耗且提高响应速度，仅在面对复杂的长尾故障诊断和跨设备逻辑推理时才调用云端大模型。同时，采用边缘侧传统算法或专用小模型提取特征并转化为文本数据再输入大模型，降低多模态Token的融合成本与算力瓶颈。</w:t>
      </w:r>
      <w:r>
        <w:rPr>
          <w:rFonts w:hint="eastAsia" w:cs="Times New Roman"/>
          <w:b/>
          <w:bCs/>
          <w:kern w:val="0"/>
          <w:szCs w:val="27"/>
          <w14:ligatures w14:val="none"/>
        </w:rPr>
        <w:t>二是</w:t>
      </w:r>
      <w:r>
        <w:rPr>
          <w:rFonts w:hint="eastAsia" w:cs="Times New Roman"/>
          <w:kern w:val="0"/>
          <w:szCs w:val="27"/>
          <w14:ligatures w14:val="none"/>
        </w:rPr>
        <w:t>进行思维链约束，通过系统提示词或外挂规则引擎，强制模型按照“现象—排查点—根因”的固定短链路输出，限制后台推理Token的隐性消耗。同时，优化外部工具调用的Token流转机制，采用多工具并发调用策略，减少“生成—等待—再生成”的串行交互轮次，从而降低多步推理带来的Token指数级膨胀与响应延迟。</w:t>
      </w:r>
    </w:p>
    <w:p>
      <w:pPr>
        <w:ind w:firstLine="643"/>
        <w:rPr>
          <w:rFonts w:cs="Times New Roman"/>
          <w:kern w:val="0"/>
          <w:szCs w:val="27"/>
          <w14:ligatures w14:val="none"/>
        </w:rPr>
      </w:pPr>
      <w:r>
        <w:rPr>
          <w:rFonts w:hint="eastAsia" w:cs="Times New Roman"/>
          <w:b/>
          <w:bCs/>
          <w:kern w:val="0"/>
          <w:szCs w:val="27"/>
          <w14:ligatures w14:val="none"/>
        </w:rPr>
        <w:t>优化算力资源调度</w:t>
      </w:r>
      <w:r>
        <w:rPr>
          <w:rFonts w:hint="eastAsia" w:cs="Times New Roman"/>
          <w:kern w:val="0"/>
          <w:szCs w:val="27"/>
          <w14:ligatures w14:val="none"/>
        </w:rPr>
        <w:t>。</w:t>
      </w:r>
      <w:r>
        <w:rPr>
          <w:rFonts w:hint="eastAsia" w:cs="Times New Roman"/>
          <w:b/>
          <w:bCs/>
          <w:kern w:val="0"/>
          <w:szCs w:val="27"/>
          <w14:ligatures w14:val="none"/>
        </w:rPr>
        <w:t>一是</w:t>
      </w:r>
      <w:r>
        <w:rPr>
          <w:rFonts w:hint="eastAsia" w:cs="Times New Roman"/>
          <w:kern w:val="0"/>
          <w:szCs w:val="27"/>
          <w14:ligatures w14:val="none"/>
        </w:rPr>
        <w:t>设定场景分层的精细化配额管控，对于设备异常诊断等核心刚性业务，分配高额度配额，实施软限流与用量审计；对于辅助生成工单等通用办公场景，设置固定日额度或多级阈值告警，在配额接近上限时自动降级至轻量级替代模型，保障基础功能可用。同时，支持闲时额度复用与动态升降额度，以应对突发状况。二</w:t>
      </w:r>
      <w:r>
        <w:rPr>
          <w:rFonts w:hint="eastAsia" w:cs="Times New Roman"/>
          <w:b/>
          <w:bCs/>
          <w:kern w:val="0"/>
          <w:szCs w:val="27"/>
          <w14:ligatures w14:val="none"/>
        </w:rPr>
        <w:t>是</w:t>
      </w:r>
      <w:r>
        <w:rPr>
          <w:rFonts w:hint="eastAsia" w:cs="Times New Roman"/>
          <w:kern w:val="0"/>
          <w:szCs w:val="27"/>
          <w14:ligatures w14:val="none"/>
        </w:rPr>
        <w:t>建立故障诊断绝对优先的并发机制，设备停机诊断与重大安全预警自动启用专属Token池且全程不限流，常规巡检与语音查询在高峰时段排队缓冲，历史台账回溯等低优先级任务在负载超标时自动挂起，确保核心生产业务的绝对资源保障。</w:t>
      </w:r>
    </w:p>
    <w:p>
      <w:pPr>
        <w:ind w:firstLine="640"/>
        <w:rPr>
          <w:rFonts w:cs="Times New Roman"/>
          <w:kern w:val="0"/>
          <w:szCs w:val="27"/>
          <w14:ligatures w14:val="none"/>
        </w:rPr>
      </w:pPr>
    </w:p>
    <w:p>
      <w:pPr>
        <w:ind w:firstLine="640"/>
        <w:rPr>
          <w:rFonts w:cs="Times New Roman"/>
          <w:kern w:val="0"/>
          <w:szCs w:val="27"/>
          <w14:ligatures w14:val="none"/>
        </w:rPr>
      </w:pPr>
    </w:p>
    <w:p>
      <w:pPr>
        <w:pStyle w:val="4"/>
        <w:numPr>
          <w:ilvl w:val="0"/>
          <w:numId w:val="3"/>
        </w:numPr>
        <w:ind w:left="0" w:firstLine="643"/>
      </w:pPr>
      <w:bookmarkStart w:id="79" w:name="_Toc27705"/>
      <w:bookmarkStart w:id="80" w:name="_Toc26933"/>
      <w:r>
        <w:rPr>
          <w:rFonts w:hint="eastAsia"/>
        </w:rPr>
        <w:t>危险作业自动化</w:t>
      </w:r>
      <w:bookmarkEnd w:id="79"/>
      <w:bookmarkEnd w:id="80"/>
    </w:p>
    <w:p>
      <w:pPr>
        <w:ind w:firstLine="640"/>
      </w:pPr>
      <w:r>
        <w:rPr>
          <w:rFonts w:hint="eastAsia"/>
        </w:rPr>
        <w:t>危险作业自动化模型应用主要包括以下场景：一是高危场景的“机器换人”。在高空与密闭空间的作业场景，专业级具身智能特种机器人可替代人工完成部分危险作业；在危险环境巡检与处置场景，地面特种巡检操作机器人可替代人工完成巡检和处置，配合系统实现远距离故障监测与预警。二是全域智能感知与主动防御管控。在复杂工况下，定制开发的AI识别模型通过摄像头、传感器、热成像等数据，能够克服雨天干扰、复杂背景等难题，对火灾、气体泄漏、人员违章等核心隐患的识别准确率达95%以上，实现秒级响应与自动推送。</w:t>
      </w:r>
    </w:p>
    <w:p>
      <w:pPr>
        <w:ind w:firstLine="643"/>
        <w:rPr>
          <w:b/>
          <w:bCs/>
        </w:rPr>
      </w:pPr>
      <w:r>
        <w:rPr>
          <w:rFonts w:hint="eastAsia"/>
          <w:b/>
          <w:bCs/>
        </w:rPr>
        <w:t>（1）Token消耗特征</w:t>
      </w:r>
    </w:p>
    <w:p>
      <w:pPr>
        <w:ind w:firstLine="643"/>
      </w:pPr>
      <w:r>
        <w:rPr>
          <w:rFonts w:hint="eastAsia"/>
          <w:b/>
          <w:bCs/>
        </w:rPr>
        <w:t>一是海量视觉Token化与跨模态对齐的刚性消耗大。</w:t>
      </w:r>
      <w:r>
        <w:rPr>
          <w:rFonts w:hint="eastAsia"/>
        </w:rPr>
        <w:t>监控视频流须被切分为庞大的视觉Token输入给大模型，会产生大量的基础算力消耗。同时，为了实现精准研判，系统还需将视觉特征Token与现场的温湿度、设备参数等文本Token进行拼接融合。这种跨模态数据的对齐与联合输入，构成了Token消耗的基础底座。</w:t>
      </w:r>
    </w:p>
    <w:p>
      <w:pPr>
        <w:ind w:firstLine="643"/>
      </w:pPr>
      <w:r>
        <w:rPr>
          <w:rFonts w:hint="eastAsia"/>
          <w:b/>
          <w:bCs/>
        </w:rPr>
        <w:t>二是常态低频与突发脉冲激增的弹性Token消耗特征</w:t>
      </w:r>
      <w:r>
        <w:rPr>
          <w:rFonts w:hint="eastAsia"/>
        </w:rPr>
        <w:t>。在全域智能感知场景中，系统需7×24小时不间断运行，但常态下由边缘侧传统视觉小模型负责过滤，仅将疑似异常推送给大模型进行二次复核，Token消耗维持在极低水平。然而，一旦发生突发险情，系统会瞬间提高大模型的分析频率与并发量以锁定风险，导致Token消耗出现脉冲式激增。</w:t>
      </w:r>
    </w:p>
    <w:p>
      <w:pPr>
        <w:ind w:firstLine="643"/>
        <w:rPr>
          <w:b/>
          <w:bCs/>
        </w:rPr>
      </w:pPr>
      <w:r>
        <w:rPr>
          <w:rFonts w:hint="eastAsia"/>
          <w:b/>
          <w:bCs/>
        </w:rPr>
        <w:t>（2）Token管理侧重点</w:t>
      </w:r>
    </w:p>
    <w:p>
      <w:pPr>
        <w:ind w:firstLine="643"/>
      </w:pPr>
      <w:r>
        <w:rPr>
          <w:rFonts w:hint="eastAsia"/>
          <w:b/>
          <w:bCs/>
        </w:rPr>
        <w:t>实施Token压缩与多模态特征前置提取。</w:t>
      </w:r>
      <w:r>
        <w:rPr>
          <w:rFonts w:hint="eastAsia"/>
        </w:rPr>
        <w:t>采用视觉Token量化与动态分辨率技术，对非核心背景区域进行大幅降采样，仅保留关键作业区或隐患区的高分辨率Token。坚决避免将原始视频流直接喂给大模型，采用传统CV算法前置提取特征、大模型后处理的策略，将高耗能的图像Token转化为低耗能的文本特征描述，切断无效的多模态对齐消耗。</w:t>
      </w:r>
    </w:p>
    <w:p>
      <w:pPr>
        <w:ind w:firstLine="643"/>
      </w:pPr>
      <w:r>
        <w:rPr>
          <w:rFonts w:hint="eastAsia"/>
          <w:b/>
          <w:bCs/>
        </w:rPr>
        <w:t>设置算力弹性阈值调度与配额</w:t>
      </w:r>
      <w:r>
        <w:rPr>
          <w:rFonts w:hint="eastAsia"/>
        </w:rPr>
        <w:t>。在常态巡检下，严格执行基于画面变化率的动态降频策略，将常态Token消耗降至最低；当系统捕捉到火灾、泄漏等突发异常时，自动触发弹性阈值调度，提升分析帧率并临时上调Token配额上限，确保在关键风险时刻拥有充足的算力与Token资源进行精准研判，实现成本与安全性的平衡。</w:t>
      </w:r>
    </w:p>
    <w:p>
      <w:pPr>
        <w:ind w:firstLine="643"/>
      </w:pPr>
      <w:r>
        <w:rPr>
          <w:rFonts w:hint="eastAsia"/>
          <w:b/>
          <w:bCs/>
        </w:rPr>
        <w:t>限制思维链推理路径</w:t>
      </w:r>
      <w:r>
        <w:rPr>
          <w:rFonts w:hint="eastAsia"/>
        </w:rPr>
        <w:t>。在具身智能任务中，通过系统提示词或外挂规则引擎，强制模型按照“感知—决策—动作”的固定短链路输出，限制其进行长篇大论的发散推理。</w:t>
      </w:r>
    </w:p>
    <w:p>
      <w:pPr>
        <w:pStyle w:val="4"/>
        <w:numPr>
          <w:ilvl w:val="0"/>
          <w:numId w:val="3"/>
        </w:numPr>
        <w:ind w:left="-3" w:firstLine="643" w:firstLineChars="0"/>
      </w:pPr>
      <w:bookmarkStart w:id="81" w:name="_Toc5758"/>
      <w:bookmarkStart w:id="82" w:name="_Toc5142"/>
      <w:r>
        <w:rPr>
          <w:rFonts w:hint="eastAsia"/>
        </w:rPr>
        <w:t>安全一体化管控</w:t>
      </w:r>
      <w:bookmarkEnd w:id="81"/>
      <w:bookmarkEnd w:id="82"/>
    </w:p>
    <w:p>
      <w:pPr>
        <w:ind w:firstLine="640"/>
      </w:pPr>
      <w:r>
        <w:rPr>
          <w:rFonts w:hint="eastAsia"/>
        </w:rPr>
        <w:t>安全一体化管控模型应用主要包括以下场景：一是全域智能监管。借助计算机视觉模型与AI视频分析技术，系统能够自动识别未戴安全帽、未穿防护服、违规闯入禁区、违规动火等不安全行为。捕捉到违章动作后，通过抓拍存档并触发分级预警，将传统的事后追责转变为事前制止。二是安全风险识别。大模型同时接收并理解来自视觉AI、物联网传感器以及生产系统日志的异构数据，通过自然语言理解和逻辑推理能力识别工控监测、安全告警、事故应急等业务风险。</w:t>
      </w:r>
    </w:p>
    <w:p>
      <w:pPr>
        <w:ind w:firstLine="643"/>
        <w:rPr>
          <w:b/>
          <w:bCs/>
        </w:rPr>
      </w:pPr>
      <w:r>
        <w:rPr>
          <w:rFonts w:hint="eastAsia"/>
          <w:b/>
          <w:bCs/>
        </w:rPr>
        <w:t>（1）Token消耗特征</w:t>
      </w:r>
    </w:p>
    <w:p>
      <w:pPr>
        <w:ind w:firstLine="643"/>
      </w:pPr>
      <w:r>
        <w:rPr>
          <w:rFonts w:hint="eastAsia"/>
          <w:b/>
          <w:bCs/>
        </w:rPr>
        <w:t>一是Token消耗呈现持续性与突发脉冲并存特点</w:t>
      </w:r>
      <w:r>
        <w:rPr>
          <w:rFonts w:hint="eastAsia"/>
        </w:rPr>
        <w:t>。在实际工程中，通常由边缘侧的传统视觉小模型负责视频流的全天候实时识别，并将识别结果转化为结构化的告警文本Token，再推送到云端大模型进行二次研判与逻辑过滤。尽管常态下系统会进行抽帧或过滤，但在突发事件或违规高发期，告警文本的并发推送会导致Token消耗出现脉冲式激增。尤其是工控故障处置、泄漏事故应急等紧急高危场景突发瞬时高消耗，且不可压缩、不可排队，拥有资源抢占优先权。</w:t>
      </w:r>
    </w:p>
    <w:p>
      <w:pPr>
        <w:ind w:firstLine="643"/>
      </w:pPr>
      <w:r>
        <w:rPr>
          <w:rFonts w:hint="eastAsia"/>
          <w:b/>
          <w:bCs/>
        </w:rPr>
        <w:t>二是推理Token消耗受准确性与响应速度的双重刚性约束。</w:t>
      </w:r>
      <w:r>
        <w:rPr>
          <w:rFonts w:hint="eastAsia"/>
        </w:rPr>
        <w:t>一方面，为了确保研判绝对准确，输入端不能过度删减关键传感器特征、工控状态参数，否则模型无法精准识别故障；输出端必须携带完整风险判定、设备控制指令，无法大幅精简，模型思维链长，推理Token将产生刚性膨胀；另一方面，为了满足极致的响应速度要求，系统必须严格限制Token的生成总长度与发散推理，确保首字响应。</w:t>
      </w:r>
    </w:p>
    <w:p>
      <w:pPr>
        <w:ind w:firstLine="643"/>
      </w:pPr>
      <w:r>
        <w:rPr>
          <w:rFonts w:hint="eastAsia"/>
          <w:b/>
          <w:bCs/>
        </w:rPr>
        <w:t>三是Token消耗与安全风险强绑定</w:t>
      </w:r>
      <w:r>
        <w:rPr>
          <w:rFonts w:hint="eastAsia"/>
        </w:rPr>
        <w:t>。单业务Token消耗突增数倍，可能存在批量读取涉密工艺、持续扫描设备隐患；非工作时段突发大量Token推理，可能越权访问、数据窃取风险；普通业务长期超额消耗，持续挤占应急算力，可能存在工控瘫痪隐患。可依托Token消耗指标做实时风险识别，同步触发审计告警、配额冻结动作。</w:t>
      </w:r>
    </w:p>
    <w:p>
      <w:pPr>
        <w:ind w:firstLine="643"/>
        <w:rPr>
          <w:b/>
          <w:bCs/>
        </w:rPr>
      </w:pPr>
      <w:r>
        <w:rPr>
          <w:rFonts w:hint="eastAsia"/>
          <w:b/>
          <w:bCs/>
        </w:rPr>
        <w:t>（2）Token管理侧重点</w:t>
      </w:r>
    </w:p>
    <w:p>
      <w:pPr>
        <w:ind w:firstLine="643"/>
      </w:pPr>
      <w:r>
        <w:rPr>
          <w:rFonts w:hint="eastAsia"/>
          <w:b/>
          <w:bCs/>
        </w:rPr>
        <w:t>区分场景实施差异化Token压缩策略。</w:t>
      </w:r>
      <w:r>
        <w:rPr>
          <w:rFonts w:hint="eastAsia"/>
        </w:rPr>
        <w:t>工控、涉密工艺一票否决场景仅允许对视频、传感器原始数据做特征级轻量化编码压缩，不得删减故障判定必需关键参数，保障研判准确性；普通业务可全面精简Prompt、截断长文本、复用语义缓存，最大限度压降无效Token；在系统提示词中，强制模型按照“现象—风险定性—动作指令”的固定短链路输出，限制其进行长篇大论的发散推理，通过语法约束锁定输出格式，减少格式报错重试产生的冗余消耗。</w:t>
      </w:r>
    </w:p>
    <w:p>
      <w:pPr>
        <w:ind w:firstLine="643"/>
        <w:rPr>
          <w:b/>
          <w:bCs/>
        </w:rPr>
      </w:pPr>
      <w:r>
        <w:rPr>
          <w:rFonts w:hint="eastAsia"/>
          <w:b/>
          <w:bCs/>
        </w:rPr>
        <w:t>按业务安全分级差异化分配配额。</w:t>
      </w:r>
      <w:r>
        <w:rPr>
          <w:rFonts w:hint="eastAsia"/>
        </w:rPr>
        <w:t>设置“紧急级绝对优先、重要级动态保障、一般级自动让路”的算力抢占规则。对工控故障处置、工艺泄密应急等紧急高危场景划分独立物理隔离Token算力池，额度优先保障，不与普通业务共享调剂；日常高危巡检、安全告警研判等重要安全业务配置固定基础配额，预留适度缓冲余量；办公、非生产辅助类普通业务设置低基础额度、强频次限制，资源紧张时主动退让。另外，设置80%预警、90%限流、100%熔断的三级配额阈值，低优先级业务率先熔断，避免资源枯竭引发工控瘫痪、工艺泄密。熔断、限流动作自动留存操作记录，将消耗异常线索同步推送审计模块，实现消耗监控与风险处置联动。</w:t>
      </w:r>
    </w:p>
    <w:p>
      <w:pPr>
        <w:numPr>
          <w:ilvl w:val="255"/>
          <w:numId w:val="0"/>
        </w:numPr>
        <w:ind w:firstLine="643"/>
      </w:pPr>
      <w:r>
        <w:rPr>
          <w:rFonts w:hint="eastAsia"/>
          <w:b/>
          <w:bCs/>
        </w:rPr>
        <w:t>搭建应急资源预热与峰值缓冲机制。</w:t>
      </w:r>
      <w:r>
        <w:rPr>
          <w:rFonts w:hint="eastAsia"/>
        </w:rPr>
        <w:t>设定日常应急Token池，定期开展模拟演练验证峰值并发下的调度有效性；对大模型推理服务配置预热策略，保持应急模型副本待命，压缩冷启动时间，确保真实事故状态下即时响应。对安全类请求开启短时流量缓冲队列，防止瞬时并发直接击穿算力阈值，同步搭配分级熔断保护核心安全业务。</w:t>
      </w:r>
    </w:p>
    <w:p>
      <w:pPr>
        <w:pStyle w:val="3"/>
        <w:numPr>
          <w:ilvl w:val="0"/>
          <w:numId w:val="4"/>
        </w:numPr>
      </w:pPr>
      <w:bookmarkStart w:id="83" w:name="_Toc16376"/>
      <w:bookmarkStart w:id="84" w:name="_Toc29252"/>
      <w:r>
        <w:rPr>
          <w:rFonts w:hint="eastAsia"/>
        </w:rPr>
        <w:t>经营优化类</w:t>
      </w:r>
      <w:bookmarkEnd w:id="83"/>
      <w:bookmarkEnd w:id="84"/>
    </w:p>
    <w:p>
      <w:pPr>
        <w:ind w:left="220" w:firstLine="640"/>
      </w:pPr>
      <w:r>
        <w:rPr>
          <w:rFonts w:hint="eastAsia"/>
        </w:rPr>
        <w:t>经营优化类场景指以数据分析、决策支持、经营洞察为主要目的的模型调用模式，此类场景的调用结果影响企业运营效率与经营成本，但不会直接导致产线停摆或生产中断，对实时性与可用性的要求相对核心生产场景有所降低。管理侧重点在于在预算总量可控的前提下根据任务优先级与紧急程度弹性分配算力资源，实现经营优化效能与资源成本的平衡。</w:t>
      </w:r>
    </w:p>
    <w:p>
      <w:pPr>
        <w:pStyle w:val="4"/>
        <w:numPr>
          <w:ilvl w:val="0"/>
          <w:numId w:val="3"/>
        </w:numPr>
        <w:ind w:left="-3" w:firstLine="643" w:firstLineChars="0"/>
      </w:pPr>
      <w:bookmarkStart w:id="85" w:name="_Toc22934"/>
      <w:bookmarkStart w:id="86" w:name="_Toc11960"/>
      <w:r>
        <w:t>工艺动态优化</w:t>
      </w:r>
      <w:r>
        <w:rPr>
          <w:rFonts w:hint="eastAsia"/>
        </w:rPr>
        <w:t>（离线模式）</w:t>
      </w:r>
      <w:bookmarkEnd w:id="85"/>
      <w:bookmarkEnd w:id="86"/>
    </w:p>
    <w:p>
      <w:pPr>
        <w:ind w:firstLine="640"/>
      </w:pPr>
      <w:r>
        <w:rPr>
          <w:rFonts w:hint="eastAsia"/>
        </w:rPr>
        <w:t>工艺动态优化（离线模式）指模型不直接接入设备控制环路，其输出的工艺调整建议不自动下发控制器，而是推送至工艺工程师由人工审核确认后执行，推理链路与物理控制链路相互解耦。该模式下，模型中断仅影响分析报告时效，产线仍按既有参数稳定运行，影响范围限于经营效率而非生产连续性，因此适用动态配额、按量付费的管控策略。</w:t>
      </w:r>
    </w:p>
    <w:p>
      <w:pPr>
        <w:ind w:firstLine="640"/>
      </w:pPr>
      <w:r>
        <w:rPr>
          <w:rFonts w:hint="eastAsia"/>
        </w:rPr>
        <w:t>工艺动态优化（离线模式）</w:t>
      </w:r>
      <w:r>
        <w:rPr>
          <w:rFonts w:hint="eastAsia"/>
          <w:color w:val="000000" w:themeColor="text1"/>
          <w14:textFill>
            <w14:solidFill>
              <w14:schemeClr w14:val="tx1"/>
            </w14:solidFill>
          </w14:textFill>
        </w:rPr>
        <w:t>模型应用主要包括以下场景</w:t>
      </w:r>
      <w:r>
        <w:rPr>
          <w:color w:val="000000" w:themeColor="text1"/>
          <w14:textFill>
            <w14:solidFill>
              <w14:schemeClr w14:val="tx1"/>
            </w14:solidFill>
          </w14:textFill>
        </w:rPr>
        <w:t>：</w:t>
      </w:r>
      <w:r>
        <w:rPr>
          <w:rFonts w:hint="eastAsia"/>
        </w:rPr>
        <w:t>一是工艺参数在线监测与统计过程分析。模型以生产批次或班次为周期，采集温度、压力、转速等关键工艺参数的历史曲线，计算过程能力指数与参数漂移趋势，生成工艺稳定性分析报告与优化建议，替代人工抄表统计与经验判断。二是工艺配方与工艺路线的方案寻优。导入新产品或开展降本增效专项时，模型基于历史工艺数据与成本约束，在工艺可行域内搜索兼顾质量、效率与物料消耗的最优参数组合，输出多方案对比供工艺评审会决策。三是工艺知识沉淀与跨产线复用。模型对企业积累的工艺调试记录与最优参数库进行结构化整理与语义索引，在新产线调试或相似产品导入时自动推荐可复用的工艺方案，缩短工艺摸索周期。</w:t>
      </w:r>
    </w:p>
    <w:p>
      <w:pPr>
        <w:ind w:firstLine="643"/>
      </w:pPr>
      <w:r>
        <w:rPr>
          <w:rFonts w:hint="eastAsia"/>
          <w:b/>
          <w:bCs/>
        </w:rPr>
        <w:t>（1）Token消耗特征</w:t>
      </w:r>
    </w:p>
    <w:p>
      <w:pPr>
        <w:ind w:firstLine="643"/>
      </w:pPr>
      <w:r>
        <w:rPr>
          <w:rFonts w:hint="eastAsia"/>
          <w:b/>
          <w:bCs/>
        </w:rPr>
        <w:t>一是分析推理复杂度中等，单次任务Token消耗可控但不可忽视。</w:t>
      </w:r>
      <w:r>
        <w:rPr>
          <w:rFonts w:hint="eastAsia"/>
        </w:rPr>
        <w:t>与设备实时控制类场景的高频轻量交互不同，离线模式下的工艺动态优化属于经营分析型任务，调用模式以工艺数据汇总分析、多方案对比推演、工艺知识检索合成为主。单次任务的推理过程涉及历史数据统计、多约束条件校验与方案综合评估，Token消耗量显著高于单轮查询但远低于ReAct多轮迭代场景，整体消耗处于中等水平且可通过任务复杂度预判大致范围。</w:t>
      </w:r>
    </w:p>
    <w:p>
      <w:pPr>
        <w:ind w:firstLine="643"/>
      </w:pPr>
      <w:r>
        <w:rPr>
          <w:rFonts w:hint="eastAsia"/>
          <w:b/>
          <w:bCs/>
        </w:rPr>
        <w:t>二是调用频率与经营分析节拍强相关，呈周期性集中特征。</w:t>
      </w:r>
      <w:r>
        <w:rPr>
          <w:rFonts w:hint="eastAsia"/>
        </w:rPr>
        <w:t>工艺优化任务通常在质量周会、月度工艺评审、新产品导入节点、降本增效专项启动等经营决策节点集中触发，调用频率以周或月为单位，不存在持续高频的稳态调用基线。日常仅有少量工艺参数趋势查询或工艺知识检索请求，Token消耗总量在经营分析节点出现阶段性峰值，其余时段维持在较低水平。</w:t>
      </w:r>
    </w:p>
    <w:p>
      <w:pPr>
        <w:ind w:firstLine="643"/>
      </w:pPr>
      <w:r>
        <w:rPr>
          <w:rFonts w:hint="eastAsia"/>
          <w:b/>
          <w:bCs/>
        </w:rPr>
        <w:t>三是长周期、非实时特性决定延迟容忍度较高。</w:t>
      </w:r>
      <w:r>
        <w:rPr>
          <w:rFonts w:hint="eastAsia"/>
        </w:rPr>
        <w:t>离线模式下模型输出不直接驱动设备动作，通常用于工艺评审会议或工程师分析参考，对响应延迟的容忍度显著高于生产控制类场景，模型推理可在秒级乃至分钟级完成而不影响业务连续性，为Token资源的弹性调度与成本优化提供了空间。</w:t>
      </w:r>
    </w:p>
    <w:p>
      <w:pPr>
        <w:ind w:firstLine="643"/>
        <w:rPr>
          <w:b/>
          <w:bCs/>
        </w:rPr>
      </w:pPr>
      <w:r>
        <w:rPr>
          <w:rFonts w:hint="eastAsia"/>
          <w:b/>
          <w:bCs/>
        </w:rPr>
        <w:t>（2）Token管理侧重点</w:t>
      </w:r>
    </w:p>
    <w:p>
      <w:pPr>
        <w:ind w:firstLine="643"/>
      </w:pPr>
      <w:r>
        <w:rPr>
          <w:rFonts w:hint="eastAsia"/>
          <w:b/>
          <w:bCs/>
        </w:rPr>
        <w:t>建立动态配额与按需弹性供给机制。</w:t>
      </w:r>
      <w:r>
        <w:rPr>
          <w:rFonts w:hint="eastAsia"/>
        </w:rPr>
        <w:t>一是离线模式下的工艺动态优化采用动态配额模式，日常基线配额仅需覆盖工艺知识检索与参数趋势查询等低频轻量调用，避免按峰值需求固定预留造成资源闲置浪费。二是在质量月会、工艺评审、新产品导入等经营分析节点前，根据排程计划提前预判Token需求峰值，动态上调配额上限并按实际用量结算，峰值结束后自动回落至基线水平，实现资源供给与经营节拍的弹性匹配，兼顾决策时效与Token成本可控。</w:t>
      </w:r>
    </w:p>
    <w:p>
      <w:pPr>
        <w:ind w:firstLine="643"/>
      </w:pPr>
      <w:r>
        <w:rPr>
          <w:rFonts w:hint="eastAsia"/>
          <w:b/>
          <w:bCs/>
        </w:rPr>
        <w:t>实施分析任务的分级调度与预算上限管控。</w:t>
      </w:r>
      <w:r>
        <w:rPr>
          <w:rFonts w:hint="eastAsia"/>
        </w:rPr>
        <w:t>一是将工艺优化任务按复杂度与紧急程度分级。工艺参数趋势查询为轻量级即时响应任务；工艺稳定性分析与报告生成为标准分析任务，分配中等Token预算；多目标工艺方案寻优为复杂推演任务，分配较高Token预算并设定最大推理轮数与输出长度上限。各级任务按预算额度执行，超限自动截断并返回当前最优结果，防止单次复杂推演过度消耗Token配额。二是对多方案对比分析类任务，采用“粗筛+精选”的两阶段推理策略，第一阶段以低Token消耗快速筛选可行方案范围，第二阶段仅对入围方案进行深度评估，避免对所有候选方案均执行全量推理。</w:t>
      </w:r>
    </w:p>
    <w:p>
      <w:pPr>
        <w:ind w:firstLine="643"/>
      </w:pPr>
      <w:r>
        <w:rPr>
          <w:rFonts w:hint="eastAsia"/>
          <w:b/>
          <w:bCs/>
        </w:rPr>
        <w:t>推行工艺知识预处理与结果缓存复用。</w:t>
      </w:r>
      <w:r>
        <w:rPr>
          <w:rFonts w:hint="eastAsia"/>
        </w:rPr>
        <w:t>一是将历史工艺调试记录、异常处置案例、最优参数库等工艺知识，在非推理时段通过离线批处理完成结构化整理与向量化索引，将知识提炼的计算消耗与在线推理的Token消耗解耦，在线调用时直接检索预处理的工艺知识片段，减少实时推理的Token开销。二是对工艺稳定性分析报告、多方案对比结论等周期性输出结果进行缓存，同类查询在缓存有效期内直接返回既有结果，避免重复推理消耗。</w:t>
      </w:r>
    </w:p>
    <w:p>
      <w:pPr>
        <w:ind w:firstLine="643"/>
      </w:pPr>
      <w:r>
        <w:rPr>
          <w:rFonts w:hint="eastAsia"/>
          <w:b/>
          <w:bCs/>
        </w:rPr>
        <w:t>固化工艺分析输出模板与结构化呈现。</w:t>
      </w:r>
      <w:r>
        <w:rPr>
          <w:rFonts w:hint="eastAsia"/>
        </w:rPr>
        <w:t>一是将工艺稳定性报告、方案对比分析等标准化输出内容模板化，模型按模板结构填充统计指标、对比结论与建议方向，限制自由文本生成篇幅，将单次分析的输出Token消耗控制在合理范围内。二是工艺知识检索输出限定为要点摘要与引用来源索引，引导用户按需深入查阅完整工艺文档，以最小化输出Token开销满足经营决策信息获取需求。</w:t>
      </w:r>
    </w:p>
    <w:p>
      <w:pPr>
        <w:pStyle w:val="4"/>
        <w:numPr>
          <w:ilvl w:val="0"/>
          <w:numId w:val="3"/>
        </w:numPr>
        <w:ind w:left="-3" w:firstLine="643" w:firstLineChars="0"/>
      </w:pPr>
      <w:bookmarkStart w:id="87" w:name="_Toc21631"/>
      <w:bookmarkStart w:id="88" w:name="_Toc25438"/>
      <w:r>
        <w:rPr>
          <w:rFonts w:hint="eastAsia"/>
        </w:rPr>
        <w:t>柔性产线快速换产</w:t>
      </w:r>
      <w:bookmarkEnd w:id="87"/>
      <w:bookmarkEnd w:id="88"/>
    </w:p>
    <w:p>
      <w:pPr>
        <w:ind w:firstLine="640"/>
      </w:pPr>
      <w:r>
        <w:rPr>
          <w:rFonts w:hint="eastAsia"/>
        </w:rPr>
        <w:t>柔性产线快速换产模型应用主要包括以下场景：一是换产方案仿真与验证。在正式执行换产前，模型基于目标产品的工艺配方、物料清单、设备能力与当前产线状态，在虚拟环境中对换产全流程进行仿真推演，验证工装切换顺序、参数下发逻辑与物流配送时序的合理性，识别潜在的工位冲突与节拍瓶颈，输出优化后的换产方案供生产调度人员决策。二是换产效率分析与瓶颈诊断。模型以历史换产记录为数据源，统计分析各工位换产耗时分布、换产成功率与异常类型频次，自动定位制约换产效率的关键瓶颈工位与高频故障环节，生成换产效率改善建议与工装优化方向，支撑精益改善与换产标准化建设。三是多产品混流排产与换产策略优化。在多品种小批量生产模式下，模型基于订单交期、产品工艺相似度、设备换产成本矩阵等约束，优化产品投产顺序与换产策略组合，在满足交期承诺的前提下最小化换产频次与总换产时间损失，实现柔性产能与换产成本的全局平衡。</w:t>
      </w:r>
    </w:p>
    <w:p>
      <w:pPr>
        <w:ind w:firstLine="643"/>
      </w:pPr>
      <w:r>
        <w:rPr>
          <w:rFonts w:hint="eastAsia"/>
          <w:b/>
          <w:bCs/>
        </w:rPr>
        <w:t>（1）Token消耗特征</w:t>
      </w:r>
    </w:p>
    <w:p>
      <w:pPr>
        <w:ind w:firstLine="643"/>
      </w:pPr>
      <w:r>
        <w:rPr>
          <w:rFonts w:hint="eastAsia"/>
          <w:b/>
          <w:bCs/>
        </w:rPr>
        <w:t>一是分析推理复杂度中等，推演任务Token消耗随产线规模线性增长。</w:t>
      </w:r>
      <w:r>
        <w:rPr>
          <w:rFonts w:hint="eastAsia"/>
        </w:rPr>
        <w:t>柔性产线快速换产属于分析推演型任务，调用模式以仿真验证、效率统计分析与排产策略优化为主。单次换产仿真需遍历各工位的工装切换逻辑与时序约束，推理步数与产线工位数量正相关；排产策略优化则需在订单队列与产品矩阵中搜索较优投产序列，Token消耗量随订单数量与产品种类增长而上升。整体Token消耗处于中等水平，可依据产线规模与问题复杂度进行预估。</w:t>
      </w:r>
    </w:p>
    <w:p>
      <w:pPr>
        <w:ind w:firstLine="643"/>
      </w:pPr>
      <w:r>
        <w:rPr>
          <w:rFonts w:hint="eastAsia"/>
          <w:b/>
          <w:bCs/>
        </w:rPr>
        <w:t>二是调用频率呈阶段性集中特征，与经营决策节点高度耦合。</w:t>
      </w:r>
      <w:r>
        <w:rPr>
          <w:rFonts w:hint="eastAsia"/>
        </w:rPr>
        <w:t>换产方案仿真验证通常在新产品导入、产线改造验收或换产标准化评审等节点集中触发，月均调用频次有限；换产效率分析按周或月度精益改善周期执行；混流排产策略优化则与生产计划编制周期同步。日常运行期间，换产指令解析与参数下发等高频实时任务已下沉至边缘侧或由传统自动化系统执行，本场景仅承载事前的分析优化类调用，Token消耗在日常维持低基线水平，在分析节点出现阶段性峰值。</w:t>
      </w:r>
    </w:p>
    <w:p>
      <w:pPr>
        <w:ind w:firstLine="643"/>
      </w:pPr>
      <w:r>
        <w:rPr>
          <w:rFonts w:hint="eastAsia"/>
          <w:b/>
          <w:bCs/>
        </w:rPr>
        <w:t>三是非实时异步执行，资源调度灵活度高。</w:t>
      </w:r>
      <w:r>
        <w:rPr>
          <w:rFonts w:hint="eastAsia"/>
        </w:rPr>
        <w:t>换产仿真与效率分析均为离线异步任务，不直接驱动产线设备动作，对响应延迟的容忍度远高于实时控制类场景。仿真任务可在数分钟至数十分钟内完成，排产优化可异步运行后返回推荐方案，这为Token资源在经营分析节点错峰调度、削峰填谷提供了充分的调度弹性空间。</w:t>
      </w:r>
    </w:p>
    <w:p>
      <w:pPr>
        <w:ind w:firstLine="643"/>
        <w:rPr>
          <w:b/>
          <w:bCs/>
        </w:rPr>
      </w:pPr>
      <w:r>
        <w:rPr>
          <w:rFonts w:hint="eastAsia"/>
          <w:b/>
          <w:bCs/>
        </w:rPr>
        <w:t>（2）Token管理侧重点</w:t>
      </w:r>
    </w:p>
    <w:p>
      <w:pPr>
        <w:ind w:firstLine="643"/>
      </w:pPr>
      <w:r>
        <w:rPr>
          <w:rFonts w:hint="eastAsia"/>
          <w:b/>
          <w:bCs/>
        </w:rPr>
        <w:t>建立按需动态配额与经营节点预调度机制。</w:t>
      </w:r>
      <w:r>
        <w:rPr>
          <w:rFonts w:hint="eastAsia"/>
        </w:rPr>
        <w:t>一是换产分析优化场景采用按需动态配额模式，日常基线配额仅覆盖换产效率趋势查询与历史记录检索等轻量交互，避免按换产高峰期固定预留造成资源闲置。二是在新产品导入、产线改造验收、月度排产计划编制等已知经营节点前，根据排程计划预判Token需求峰值，提前动态上调配额上限并按实际用量结算，节点结束后自动回落至基线水平，实现资源供给与经营节拍的精准匹配，兼顾分析时效与Token成本可控。</w:t>
      </w:r>
    </w:p>
    <w:p>
      <w:pPr>
        <w:ind w:firstLine="643"/>
      </w:pPr>
      <w:r>
        <w:rPr>
          <w:rFonts w:hint="eastAsia"/>
          <w:b/>
          <w:bCs/>
        </w:rPr>
        <w:t>实施分析任务分级与仿真精度按需裁剪。</w:t>
      </w:r>
      <w:r>
        <w:rPr>
          <w:rFonts w:hint="eastAsia"/>
        </w:rPr>
        <w:t>一是将换产相关分析任务按复杂度与紧急程度分级：换产记录查询与效率指标统计为轻量级即时响应任务；换产仿真验证与瓶颈分析为标准分析任务，分配中等Token预算；多产品混流排产策略优化为复杂推演任务，分配较高Token预算并设定最大搜索迭代轮数上限。各级任务按预算额度执行，超限自动截断并返回当前最优结果，防止全局寻优过度消耗Token配额。二是仿真推演任务采用精度按需裁剪策略，方案初筛阶段以粗粒度仿真快速排除不可行方案，仅对入围方案执行高精度全工位仿真，以“粗筛低耗+精选高耗”的两阶段策略平衡分析精度与Token成本。</w:t>
      </w:r>
    </w:p>
    <w:p>
      <w:pPr>
        <w:ind w:firstLine="643"/>
      </w:pPr>
      <w:r>
        <w:rPr>
          <w:rFonts w:hint="eastAsia"/>
          <w:b/>
          <w:bCs/>
        </w:rPr>
        <w:t>推行换产方案模板化与历史结果缓存复用。</w:t>
      </w:r>
      <w:r>
        <w:rPr>
          <w:rFonts w:hint="eastAsia"/>
        </w:rPr>
        <w:t>一是将已验证的标准换产方案按产品—产线组合模板化存储，同类换产需求触发时优先匹配模板方案并直接输出，仅在产品工艺变更或产线布局调整时触发新一轮完整仿真验证，从源头降低换产仿真调用频次。二是对换产效率分析报告、瓶颈诊断结论等周期性输出结果进行缓存，在分析周期内同类查询直接返回既有分析结果，避免重复推理消耗。三是将混流排产策略优化中已验证有效的产品投产序列与换产组合按订单特征缓存为推荐策略，相似订单结构再次出现时优先推荐缓存策略并在此基础上微调，减少全量优化推演频次。</w:t>
      </w:r>
    </w:p>
    <w:p>
      <w:pPr>
        <w:ind w:firstLine="643"/>
      </w:pPr>
      <w:r>
        <w:rPr>
          <w:rFonts w:hint="eastAsia"/>
          <w:b/>
          <w:bCs/>
        </w:rPr>
        <w:t>固化分析输出模板与结构化呈现。</w:t>
      </w:r>
      <w:r>
        <w:rPr>
          <w:rFonts w:hint="eastAsia"/>
        </w:rPr>
        <w:t>一是将换产仿真报告、效率分析报告、排产策略建议等标准化输出内容模板化，模型按模板结构填充仿真结果、瓶颈清单、对比结论与优化建议，限制自由文本生成篇幅，将单次分析的输出Token消耗控制在合理区间。二是排产策略输出限定为产品投产序列清单与关键评估指标（换产总耗时、交期达成率等），以结构化数据呈现替代长篇文字说明，最小化输出Token开销。</w:t>
      </w:r>
    </w:p>
    <w:p>
      <w:pPr>
        <w:pStyle w:val="4"/>
        <w:numPr>
          <w:ilvl w:val="0"/>
          <w:numId w:val="3"/>
        </w:numPr>
        <w:ind w:left="-3" w:firstLine="643" w:firstLineChars="0"/>
      </w:pPr>
      <w:bookmarkStart w:id="89" w:name="_Toc28117"/>
      <w:bookmarkStart w:id="90" w:name="_Toc15210"/>
      <w:r>
        <w:rPr>
          <w:rFonts w:hint="eastAsia"/>
        </w:rPr>
        <w:t>质量精准追溯</w:t>
      </w:r>
      <w:bookmarkEnd w:id="89"/>
      <w:bookmarkEnd w:id="90"/>
    </w:p>
    <w:p>
      <w:pPr>
        <w:ind w:firstLine="640"/>
      </w:pPr>
      <w:r>
        <w:rPr>
          <w:rFonts w:hint="eastAsia"/>
        </w:rPr>
        <w:t>质量精准追溯模型应用主要包括以下场景：一是缺陷批次正向追溯与影响范围界定。在线检测或抽检发现质量异常时，模型自动串联从原料投料到成品下线的完整质量履历，精准锁定同批次潜在缺陷产品的流转范围与影响工位，生成追溯图谱与围堵建议，替代人工跨系统逐环节排查。二是缺陷根因多维度逆向定位。模型将缺陷特征与工艺参数波动、设备异常事件、来料批次变更、环境记录等多维数据进行时序关联分析，构建“缺陷现象—过程异常—根因事件”的因果推理链，自动推荐高概率根因与验证步骤。三是质量趋势预警与系统性风险识别。模型按周或月度汇总追溯记录，对同类缺陷的复现频次、产线与产品分布特征进行统计挖掘，识别系统性工艺缺陷、设备劣化趋势或供应商质量波动，生成趋势预警与改善建议，支撑质量管理评审与供应商绩效评价。</w:t>
      </w:r>
    </w:p>
    <w:p>
      <w:pPr>
        <w:ind w:firstLine="643"/>
      </w:pPr>
      <w:r>
        <w:rPr>
          <w:rFonts w:hint="eastAsia"/>
          <w:b/>
          <w:bCs/>
        </w:rPr>
        <w:t>（1）Token消耗特征</w:t>
      </w:r>
    </w:p>
    <w:p>
      <w:pPr>
        <w:ind w:firstLine="643"/>
      </w:pPr>
      <w:r>
        <w:rPr>
          <w:rFonts w:hint="eastAsia"/>
          <w:b/>
          <w:bCs/>
        </w:rPr>
        <w:t>一是多维数据关联推理复杂度较高，单次追溯Token消耗中等偏上。</w:t>
      </w:r>
      <w:r>
        <w:rPr>
          <w:rFonts w:hint="eastAsia"/>
        </w:rPr>
        <w:t>质量精准追溯的核心是将缺陷现象与物料批次、工艺参数、设备状态、人员操作、环境条件等多维数据进行跨系统关联与因果推理。与单点查询或单轮统计不同，根因定位需在多个维度间进行时序对齐、相关性分析与因果链构建，推理过程涉及多次数据检索与逻辑推演。单次追溯任务的Token消耗量显著高于简单报表查询，但推理路径围绕已发生的质量事件展开，搜索空间有边界约束，整体消耗处于A级场景的中等偏上水平，可通过事件复杂度预先估算。</w:t>
      </w:r>
    </w:p>
    <w:p>
      <w:pPr>
        <w:ind w:firstLine="643"/>
      </w:pPr>
      <w:r>
        <w:rPr>
          <w:rFonts w:hint="eastAsia"/>
          <w:b/>
          <w:bCs/>
        </w:rPr>
        <w:t>二是调用触发由质量事件驱动，频率低但单次消耗集中。</w:t>
      </w:r>
      <w:r>
        <w:rPr>
          <w:rFonts w:hint="eastAsia"/>
        </w:rPr>
        <w:t>质量追溯任务由产品缺陷发现或质量指标异常触发，日常运行期间无稳态调用流量。在客户投诉、批量不良、审核不符合项等质量事件发生时集中启动，单次事件的追溯调用频次低但单次任务的Token消耗较为集中。月度质量分析、供应商评审等周期性节点，质量趋势分析类任务会形成小规模调用高峰。</w:t>
      </w:r>
    </w:p>
    <w:p>
      <w:pPr>
        <w:ind w:firstLine="643"/>
      </w:pPr>
      <w:r>
        <w:rPr>
          <w:rFonts w:hint="eastAsia"/>
          <w:b/>
          <w:bCs/>
        </w:rPr>
        <w:t>三是追溯时效性要求适中，延迟容忍度介于实时与长周期之间。</w:t>
      </w:r>
      <w:r>
        <w:rPr>
          <w:rFonts w:hint="eastAsia"/>
        </w:rPr>
        <w:t>质量事件发生后，企业通常要求在数小时至一个工作日内完成初步追溯与围堵，对时效性的要求高于月度工艺分析等长周期优化任务，但远低于设备实时控制类场景的秒级要求。模型推理可在分钟级完成单次追溯任务，满足质量响应时效要求，同时为Token资源灵活调度提供了缓冲空间。</w:t>
      </w:r>
    </w:p>
    <w:p>
      <w:pPr>
        <w:ind w:firstLine="643"/>
      </w:pPr>
      <w:r>
        <w:rPr>
          <w:rFonts w:hint="eastAsia"/>
          <w:b/>
          <w:bCs/>
        </w:rPr>
        <w:t>（2）Token管理侧重点</w:t>
      </w:r>
    </w:p>
    <w:p>
      <w:pPr>
        <w:ind w:firstLine="643"/>
      </w:pPr>
      <w:r>
        <w:rPr>
          <w:rFonts w:hint="eastAsia"/>
          <w:b/>
          <w:bCs/>
        </w:rPr>
        <w:t>建立质量事件驱动的按需配额弹性供给机制。</w:t>
      </w:r>
      <w:r>
        <w:rPr>
          <w:rFonts w:hint="eastAsia"/>
        </w:rPr>
        <w:t>一是质量精准追溯场景采用事件驱动的动态配额模式，日常不设固定基线配额，仅保留质量履历查询等低频轻量调用的最低保障额度，避免资源闲置。二是在质量问题触发追溯任务时，根据事件等级动态申请Token配额——重大质量事故或客户投诉等高紧迫事件优先保障配额与推理资源，一般性内部质量异常按标准配额执行，追溯完成后配额即时释放。三是在月度质量评审、供应商季评等周期性节点前，按排程提前储备批量趋势分析所需Token资源，节点结束后回落至日常低水位。</w:t>
      </w:r>
    </w:p>
    <w:p>
      <w:pPr>
        <w:ind w:firstLine="643"/>
      </w:pPr>
      <w:r>
        <w:rPr>
          <w:rFonts w:hint="eastAsia"/>
          <w:b/>
          <w:bCs/>
        </w:rPr>
        <w:t>实施追溯任务的深度分级与渐进式推理策略。</w:t>
      </w:r>
      <w:r>
        <w:rPr>
          <w:rFonts w:hint="eastAsia"/>
        </w:rPr>
        <w:t>一是将质量追溯任务按事件等级与分析深度分级：缺陷批次范围圈定为标准追溯任务，分配常规Token预算，以结构化数据检索为主；根因多维逆向定位为深度追溯任务，分配较高Token预算并设定最大推理轮数，聚焦于高概率根因的因果验证，避免无限扩展分析维度；系统性质量趋势预警为周期性分析任务，按月度配额管控。二是采用“先范围圈定、再根因深挖”的渐进式推理策略，第一阶段以低Token消耗完成缺陷批次的前向与后向追溯、锁定影响范围，第二阶段仅在用户确认需深入分析时启动根因定位推理，避免每一质量事件均执行全深度追溯。</w:t>
      </w:r>
    </w:p>
    <w:p>
      <w:pPr>
        <w:ind w:firstLine="643"/>
      </w:pPr>
      <w:r>
        <w:rPr>
          <w:rFonts w:hint="eastAsia"/>
          <w:b/>
          <w:bCs/>
        </w:rPr>
        <w:t>推行质量数据预处理与追溯模板固化。</w:t>
      </w:r>
      <w:r>
        <w:rPr>
          <w:rFonts w:hint="eastAsia"/>
        </w:rPr>
        <w:t>一是将物料批次谱系、设备运行事件日志、工艺参数曲线等质量追溯所需的高频查询数据，在边缘侧或数据中台层预先完成清洗、时序对齐与关联索引构建，模型执行追溯推理时直接调用预处理后的关联数据视图，减少重复的数据清洗与跨系统联表查询消耗。二是将缺陷批次追溯图谱、根因分析框架等标准化追溯输出模板化，模型按模板结构填充追溯结论与验证建议，限制自由文本生成篇幅，将单次追溯的输出Token消耗控制在合理范围内。</w:t>
      </w:r>
    </w:p>
    <w:p>
      <w:pPr>
        <w:ind w:firstLine="643"/>
      </w:pPr>
      <w:r>
        <w:rPr>
          <w:rFonts w:hint="eastAsia"/>
          <w:b/>
          <w:bCs/>
        </w:rPr>
        <w:t>建立追溯结果缓存与相似案例快速匹配机制。</w:t>
      </w:r>
      <w:r>
        <w:rPr>
          <w:rFonts w:hint="eastAsia"/>
        </w:rPr>
        <w:t>一是将已完成的追溯分析结果按缺陷特征、产品型号、产线等维度进行结构化归档与向量化索引，同类型质量事件再次发生时，优先检索历史追溯案例，直接复用追溯结论与处置经验，仅在有新特征或历史匹配度不足时启动完整追溯推理，从源头降低重复追溯的Token消耗。二是对质量趋势预警等周期性分析报告进行缓存，分析周期内同类查询直接返回既有结果，避免重复推理。</w:t>
      </w:r>
    </w:p>
    <w:p>
      <w:pPr>
        <w:pStyle w:val="4"/>
        <w:numPr>
          <w:ilvl w:val="0"/>
          <w:numId w:val="3"/>
        </w:numPr>
        <w:ind w:left="-3" w:firstLine="643" w:firstLineChars="0"/>
      </w:pPr>
      <w:bookmarkStart w:id="91" w:name="_Toc10047"/>
      <w:bookmarkStart w:id="92" w:name="_Toc28048"/>
      <w:r>
        <w:rPr>
          <w:rFonts w:hint="eastAsia"/>
        </w:rPr>
        <w:t>物料精准配送（配送策略优化模式）</w:t>
      </w:r>
      <w:bookmarkEnd w:id="91"/>
      <w:bookmarkEnd w:id="92"/>
    </w:p>
    <w:p>
      <w:pPr>
        <w:ind w:firstLine="640"/>
      </w:pPr>
      <w:r>
        <w:rPr>
          <w:rFonts w:hint="eastAsia"/>
        </w:rPr>
        <w:t>物料精准配送的配送策略优化模式指模型不直接接入产线叫料触发链路与AGV实时调度系统，其输出的配送波次方案、路径优化策略与资源配置建议推送至物流调度员由人工审核确认后执行，推理链路与实时配送执行链路相互解耦。模型中断仅影响策略分析时效，线边物料配送仍按既有看板规则正常运行，影响范围限于配送效率与物流成本改善节奏。</w:t>
      </w:r>
    </w:p>
    <w:p>
      <w:pPr>
        <w:ind w:firstLine="640"/>
      </w:pPr>
      <w:r>
        <w:rPr>
          <w:rFonts w:hint="eastAsia"/>
        </w:rPr>
        <w:t>物料精准配送的配送策略优化模型应用主要包括以下场景：一是配送波次策略与路径规划优化。模型基于历史叫料记录、产线节拍与仓库布局，按班次或日周期分析物料消耗规律，优化配送波次合并与AGV行驶路径，生成兼顾响应时效与配送效率的最优方案。二是配送资源配置与人力排班优化。模型汇总各时段叫料请求密度与配送任务量，对配送人员排班、AGV编组与线边缓存区储位分配进行优化建议输出，在保障供料不断线的同时最小化资源闲置。三是物料消耗趋势预测与主动备货建议。模型基于生产计划与历史消耗数据，预测未来班次各工位物料消耗趋势，提前生成线边备货清单与补货时间窗口建议，将配送模式从“工位触发拉动”升级为“计划驱动预置”。</w:t>
      </w:r>
    </w:p>
    <w:p>
      <w:pPr>
        <w:ind w:firstLine="643"/>
      </w:pPr>
      <w:r>
        <w:rPr>
          <w:rFonts w:hint="eastAsia"/>
          <w:b/>
          <w:bCs/>
        </w:rPr>
        <w:t>（1）Token消耗特征</w:t>
      </w:r>
    </w:p>
    <w:p>
      <w:pPr>
        <w:ind w:firstLine="643"/>
      </w:pPr>
      <w:r>
        <w:rPr>
          <w:rFonts w:hint="eastAsia"/>
          <w:b/>
          <w:bCs/>
        </w:rPr>
        <w:t>一是分析推理以统计建模与规则优化为主，单次Token消耗中等。</w:t>
      </w:r>
      <w:r>
        <w:rPr>
          <w:rFonts w:hint="eastAsia"/>
        </w:rPr>
        <w:t>配送策略优化的核心任务为叫料数据统计分析、消耗趋势预测、波次合并与路径优化建模，推理过程以结构化数据的聚合计算与规则匹配为主，不涉及多轮迭代推理或跨模态数据融合，单次任务Token消耗处于中等水平，可通过产线规模与分析周期预先估算。</w:t>
      </w:r>
    </w:p>
    <w:p>
      <w:pPr>
        <w:ind w:firstLine="643"/>
      </w:pPr>
      <w:r>
        <w:rPr>
          <w:rFonts w:hint="eastAsia"/>
          <w:b/>
          <w:bCs/>
        </w:rPr>
        <w:t>二是调用频率与生产计划节拍同步，呈周期性特征。</w:t>
      </w:r>
      <w:r>
        <w:rPr>
          <w:rFonts w:hint="eastAsia"/>
        </w:rPr>
        <w:t>配送波次优化按班次或日节拍触发，资源配置优化按周度或换产周期执行，物料消耗趋势预测与生产计划下发频率同步。日常无稳态高频调用需求，Token消耗集中在班次切换、周度物流评审等节点，呈周期性小幅峰值。</w:t>
      </w:r>
    </w:p>
    <w:p>
      <w:pPr>
        <w:ind w:firstLine="643"/>
      </w:pPr>
      <w:r>
        <w:rPr>
          <w:rFonts w:hint="eastAsia"/>
          <w:b/>
          <w:bCs/>
        </w:rPr>
        <w:t>三是异步处理延迟容忍度高，结果可周期性复用。</w:t>
      </w:r>
      <w:r>
        <w:rPr>
          <w:rFonts w:hint="eastAsia"/>
        </w:rPr>
        <w:t>配送策略优化方案在计划周期内持续有效，模型推理可在分钟级完成，方案缓存后在整个有效周期内复用，为Token资源的错峰调度与结果缓存提供了充分空间。</w:t>
      </w:r>
    </w:p>
    <w:p>
      <w:pPr>
        <w:ind w:firstLine="643"/>
      </w:pPr>
      <w:r>
        <w:rPr>
          <w:rFonts w:hint="eastAsia"/>
          <w:b/>
          <w:bCs/>
        </w:rPr>
        <w:t>（2）Token管理侧重点</w:t>
      </w:r>
    </w:p>
    <w:p>
      <w:pPr>
        <w:ind w:firstLine="643"/>
      </w:pPr>
      <w:r>
        <w:rPr>
          <w:rFonts w:hint="eastAsia"/>
          <w:b/>
          <w:bCs/>
        </w:rPr>
        <w:t>建立计划周期驱动的弹性配额机制。</w:t>
      </w:r>
      <w:r>
        <w:rPr>
          <w:rFonts w:hint="eastAsia"/>
        </w:rPr>
        <w:t>一是配送策略优化模式采用按计划周期动态配额，日常基线仅覆盖物料消耗趋势查询等低频轻量调用，避免资源闲置。二是在班次计划切换、周度物流评审、换产前策略调整等已知节点，根据排程提前预判Token需求并动态上调配额，节点结束后自动回落。</w:t>
      </w:r>
    </w:p>
    <w:p>
      <w:pPr>
        <w:ind w:firstLine="643"/>
      </w:pPr>
      <w:r>
        <w:rPr>
          <w:rFonts w:hint="eastAsia"/>
          <w:b/>
          <w:bCs/>
        </w:rPr>
        <w:t>实施分析任务的分级与预算管控。</w:t>
      </w:r>
      <w:r>
        <w:rPr>
          <w:rFonts w:hint="eastAsia"/>
        </w:rPr>
        <w:t>一是将配送策略任务按复杂度分级：消耗统计与趋势查询为轻量级即时响应；配送波次优化与路径规划为标准分析任务，分配中等Token预算；多产线全局配送资源配置优化为复杂推演任务，分配较高Token预算并设定最大分析范围与迭代轮数上限。二是对全局优化等大规模任务，采用“单线优化+全局协调”两阶段策略，先以低Token消耗完成各产线独立优化，再对跨产线共享资源进行协调微调，避免全量全局优化过度消耗Token。</w:t>
      </w:r>
    </w:p>
    <w:p>
      <w:pPr>
        <w:ind w:firstLine="643"/>
      </w:pPr>
      <w:r>
        <w:rPr>
          <w:rFonts w:hint="eastAsia"/>
          <w:b/>
          <w:bCs/>
        </w:rPr>
        <w:t>推行优化方案缓存与触发式更新机制。</w:t>
      </w:r>
      <w:r>
        <w:rPr>
          <w:rFonts w:hint="eastAsia"/>
        </w:rPr>
        <w:t>一是将已验证的配送波次方案、路径规划与资源配置方案按产线、班次、生产计划特征缓存，同类工况下优先复用缓存方案，仅在生产计划变更或消耗模式显著偏移时触发新一轮完整优化。二是对物料消耗趋势预测设置更新阈值，预测偏差在容许范围内时沿用当前结果，偏差超限时触发模型刷新，减少不必要的重复推理。</w:t>
      </w:r>
    </w:p>
    <w:p>
      <w:pPr>
        <w:ind w:firstLine="643"/>
      </w:pPr>
      <w:r>
        <w:rPr>
          <w:rFonts w:hint="eastAsia"/>
          <w:b/>
          <w:bCs/>
        </w:rPr>
        <w:t>固化策略输出模板与结构化呈现。</w:t>
      </w:r>
      <w:r>
        <w:rPr>
          <w:rFonts w:hint="eastAsia"/>
        </w:rPr>
        <w:t>一是将配送波次方案、资源配置建议等输出模板化，模型按模板结构填充关键指标与建议方向，限制自由文本篇幅。二是物料消耗预测输出限定为工位物料清单与补货时间窗口的结构化数据，最小化输出Token开销。</w:t>
      </w:r>
    </w:p>
    <w:p>
      <w:pPr>
        <w:pStyle w:val="4"/>
        <w:numPr>
          <w:ilvl w:val="0"/>
          <w:numId w:val="3"/>
        </w:numPr>
        <w:ind w:left="-3" w:firstLine="643" w:firstLineChars="0"/>
      </w:pPr>
      <w:bookmarkStart w:id="93" w:name="_Toc3422"/>
      <w:bookmarkStart w:id="94" w:name="_Toc17922"/>
      <w:r>
        <w:rPr>
          <w:rFonts w:hint="eastAsia"/>
        </w:rPr>
        <w:t>仓储智能管理</w:t>
      </w:r>
      <w:bookmarkEnd w:id="93"/>
      <w:bookmarkEnd w:id="94"/>
    </w:p>
    <w:p>
      <w:pPr>
        <w:ind w:firstLine="640"/>
      </w:pPr>
      <w:r>
        <w:rPr>
          <w:rFonts w:hint="eastAsia"/>
        </w:rPr>
        <w:t>仓储智能管理中模型应用主要包括以下场景：一是库存策略优化与安全库存动态计算。模型基于历史出库数据、需求预测、供应商交期波动与库容约束，按周或月度动态计算各SKU的安全库存水位与补货触发点，输出库存策略调整建议，在保障供应连续性的前提下最小化库存资金占用。二是多级库网调拨分析与滞销品预警。模型汇总分析各区域仓库的库存周转率、库龄结构与需求分布，识别跨库调拨机会与滞销呆滞品清单，生成调拨建议与清仓策略，提升库存全局周转效率。三是仓储资源规划与效能分析。模型基于出入库吞吐量趋势、存储密度与设备利用率等数据，对仓库储位规划、设备配置与人力排班进行效能评估与优化建议输出，支撑仓储运营改善与投资决策。</w:t>
      </w:r>
    </w:p>
    <w:p>
      <w:pPr>
        <w:ind w:firstLine="643"/>
      </w:pPr>
      <w:r>
        <w:rPr>
          <w:rFonts w:hint="eastAsia"/>
          <w:b/>
          <w:bCs/>
        </w:rPr>
        <w:t>（1）Token消耗特征</w:t>
      </w:r>
    </w:p>
    <w:p>
      <w:pPr>
        <w:ind w:firstLine="643"/>
      </w:pPr>
      <w:r>
        <w:rPr>
          <w:rFonts w:hint="eastAsia"/>
          <w:b/>
          <w:bCs/>
        </w:rPr>
        <w:t>一是分析推理以统计聚合与规则匹配为主，单次Token消耗中等。</w:t>
      </w:r>
      <w:r>
        <w:rPr>
          <w:rFonts w:hint="eastAsia"/>
        </w:rPr>
        <w:t>仓储智能管理的核心任务为库存数据汇总统计、周转率趋势分析、安全库存建模与调拨策略匹配，推理过程以结构化数据的聚合计算、阈值比对与规则匹配为主，不涉及多轮迭代推理或跨模态数据深度关联，单次任务Token消耗处于中等偏低水平，且可通过SKU规模与分析维度预先估算。</w:t>
      </w:r>
    </w:p>
    <w:p>
      <w:pPr>
        <w:ind w:firstLine="643"/>
      </w:pPr>
      <w:r>
        <w:rPr>
          <w:rFonts w:hint="eastAsia"/>
          <w:b/>
          <w:bCs/>
        </w:rPr>
        <w:t>二是调用频率与供应链管理节拍同步，呈周期性集中特征。</w:t>
      </w:r>
      <w:r>
        <w:rPr>
          <w:rFonts w:hint="eastAsia"/>
        </w:rPr>
        <w:t>库存策略优化通常按周或月度供应链计划周期触发，库网调拨分析在季度经营分析或大促备货前集中执行，仓储效能分析按月度或季度运营评审节奏推进。日常仅有少量库存状态查询与周转率统计等轻量交互，Token消耗总量在日常维持低基线水平，在计划编制与运营评审节点出现阶段性峰值。</w:t>
      </w:r>
    </w:p>
    <w:p>
      <w:pPr>
        <w:ind w:firstLine="643"/>
      </w:pPr>
      <w:r>
        <w:rPr>
          <w:rFonts w:hint="eastAsia"/>
          <w:b/>
          <w:bCs/>
        </w:rPr>
        <w:t>三是对时效性要求适中，支持异步处理与结果缓存。</w:t>
      </w:r>
      <w:r>
        <w:rPr>
          <w:rFonts w:hint="eastAsia"/>
        </w:rPr>
        <w:t>库存策略调整与调拨分析等任务通常在计划周期内完成即可，延迟容忍度在小时级，对实时性要求远低于仓储作业调度类场景。分析结果在计划周期内具有较强的复用性，为结果缓存与异步调度提供了空间。</w:t>
      </w:r>
    </w:p>
    <w:p>
      <w:pPr>
        <w:ind w:firstLine="643"/>
      </w:pPr>
      <w:r>
        <w:rPr>
          <w:rFonts w:hint="eastAsia"/>
          <w:b/>
          <w:bCs/>
        </w:rPr>
        <w:t>（2）Token管理侧重点</w:t>
      </w:r>
    </w:p>
    <w:p>
      <w:pPr>
        <w:ind w:firstLine="643"/>
      </w:pPr>
      <w:r>
        <w:rPr>
          <w:rFonts w:hint="eastAsia"/>
          <w:b/>
          <w:bCs/>
        </w:rPr>
        <w:t>建立计划周期驱动的弹性配额机制。</w:t>
      </w:r>
      <w:r>
        <w:rPr>
          <w:rFonts w:hint="eastAsia"/>
        </w:rPr>
        <w:t>一是仓储智能管理场景采用按计划周期动态配额模式，日常基线配额仅覆盖库存查询与周转率统计等低频轻量调用，避免按峰值需求固定预留造成资源闲置。二是在月度供应链计划编制、季度运营评审、大促备货分析等已知节点前，根据排程提前预判Token需求峰值，动态上调配额上限并按实际用量结算，节点结束后自动回落至基线水平。</w:t>
      </w:r>
    </w:p>
    <w:p>
      <w:pPr>
        <w:ind w:firstLine="643"/>
      </w:pPr>
      <w:r>
        <w:rPr>
          <w:rFonts w:hint="eastAsia"/>
          <w:b/>
          <w:bCs/>
        </w:rPr>
        <w:t>实施分析任务的分级与预算管控。</w:t>
      </w:r>
      <w:r>
        <w:rPr>
          <w:rFonts w:hint="eastAsia"/>
        </w:rPr>
        <w:t>一是将仓储分析任务按复杂度分级：库存状态查询与周转率统计为轻量级即时响应任务；安全库存计算与呆滞品分析为标准分析任务，分配中等Token预算；多级库网调拨优化为复杂度较高的推演任务，分配较高Token预算并设定最大分析SKU范围与计算轮数上限，防止大规模SKU全量深度分析过度消耗Token配额。二是对库网调拨分析等大规模任务，采用“全局粗筛+重点深挖”的两阶段策略，第一阶段以低Token消耗快速筛选存在调拨机会的品类与库区间，第二阶段仅对高价值品类进行精细调拨方案优化。</w:t>
      </w:r>
    </w:p>
    <w:p>
      <w:pPr>
        <w:ind w:firstLine="643"/>
      </w:pPr>
      <w:r>
        <w:rPr>
          <w:rFonts w:hint="eastAsia"/>
          <w:b/>
          <w:bCs/>
        </w:rPr>
        <w:t>推行库存分析结果缓存与周期性复用。</w:t>
      </w:r>
      <w:r>
        <w:rPr>
          <w:rFonts w:hint="eastAsia"/>
        </w:rPr>
        <w:t>一是将安全库存建议值、滞销品清单、仓储效能评估报告等周期性输出结果进行缓存，在计划周期内同类查询直接返回既有分析结论，避免重复推理消耗。二是对供应商交期波动、需求预测等上游输入变化设置更新阈值，仅在输入数据发生实质性变化时触发新一轮分析更新，减少不必要的刷新推理。</w:t>
      </w:r>
    </w:p>
    <w:p>
      <w:pPr>
        <w:ind w:firstLine="643"/>
      </w:pPr>
      <w:r>
        <w:rPr>
          <w:rFonts w:hint="eastAsia"/>
          <w:b/>
          <w:bCs/>
        </w:rPr>
        <w:t>固化分析输出模板与结构化呈现。</w:t>
      </w:r>
      <w:r>
        <w:rPr>
          <w:rFonts w:hint="eastAsia"/>
        </w:rPr>
        <w:t>一是将库存策略建议书、调拨分析报告、仓储效能评估等标准化输出模板化，模型按模板结构填充关键指标、分析结论与建议方向，限制自由文本篇幅，将单次分析的输出Token消耗控制在合理范围内。二是库存状态查询输出限定为关键指标数值与异常标识，以结构化数据呈现替代长篇文字说明，最小化输出Token开销。</w:t>
      </w:r>
    </w:p>
    <w:p>
      <w:pPr>
        <w:pStyle w:val="3"/>
        <w:numPr>
          <w:ilvl w:val="0"/>
          <w:numId w:val="4"/>
        </w:numPr>
      </w:pPr>
      <w:bookmarkStart w:id="95" w:name="_Toc18529"/>
      <w:bookmarkStart w:id="96" w:name="_Toc2661"/>
      <w:r>
        <w:rPr>
          <w:rFonts w:hint="eastAsia"/>
        </w:rPr>
        <w:t>计划决策类</w:t>
      </w:r>
      <w:bookmarkEnd w:id="95"/>
      <w:bookmarkEnd w:id="96"/>
    </w:p>
    <w:p>
      <w:pPr>
        <w:ind w:firstLine="640"/>
      </w:pPr>
      <w:r>
        <w:rPr>
          <w:rFonts w:hint="eastAsia"/>
        </w:rPr>
        <w:t>计划决策类场景以离线批量推演与分层智能调度为模型调用模式，此类场景涉及跨部门数据融合与复杂逻辑运算，单次推演耗时较长且Token消耗量大，但对毫秒级实时响应无硬性约束。管理侧重点以“价值核算与精细控本”为核心，通过建立Token与业务KPI关联模型评估投入产出比，实施分层模型路由与动态配额管控，在控制Token通胀成本的前提下，确保高价值算力精准赋能企业经营决策。</w:t>
      </w:r>
    </w:p>
    <w:p>
      <w:pPr>
        <w:pStyle w:val="4"/>
        <w:numPr>
          <w:ilvl w:val="0"/>
          <w:numId w:val="3"/>
        </w:numPr>
        <w:ind w:left="-3" w:firstLine="643" w:firstLineChars="0"/>
        <w:rPr>
          <w:color w:val="000000" w:themeColor="text1"/>
          <w14:textFill>
            <w14:solidFill>
              <w14:schemeClr w14:val="tx1"/>
            </w14:solidFill>
          </w14:textFill>
        </w:rPr>
      </w:pPr>
      <w:bookmarkStart w:id="97" w:name="_Toc21758"/>
      <w:r>
        <w:rPr>
          <w:rFonts w:hint="eastAsia"/>
          <w:color w:val="000000" w:themeColor="text1"/>
          <w14:textFill>
            <w14:solidFill>
              <w14:schemeClr w14:val="tx1"/>
            </w14:solidFill>
          </w14:textFill>
        </w:rPr>
        <w:t>生产计划优化</w:t>
      </w:r>
      <w:bookmarkEnd w:id="97"/>
    </w:p>
    <w:p>
      <w:pPr>
        <w:ind w:firstLine="640"/>
        <w:rPr>
          <w:color w:val="000000" w:themeColor="text1"/>
          <w14:textFill>
            <w14:solidFill>
              <w14:schemeClr w14:val="tx1"/>
            </w14:solidFill>
          </w14:textFill>
        </w:rPr>
      </w:pPr>
      <w:r>
        <w:rPr>
          <w:rFonts w:hint="eastAsia"/>
          <w:color w:val="000000" w:themeColor="text1"/>
          <w14:textFill>
            <w14:solidFill>
              <w14:schemeClr w14:val="tx1"/>
            </w14:solidFill>
          </w14:textFill>
        </w:rPr>
        <w:t>生产计划优化模型应用主要包括以下场景</w:t>
      </w:r>
      <w:r>
        <w:rPr>
          <w:color w:val="000000" w:themeColor="text1"/>
          <w14:textFill>
            <w14:solidFill>
              <w14:schemeClr w14:val="tx1"/>
            </w14:solidFill>
          </w14:textFill>
        </w:rPr>
        <w:t>：</w:t>
      </w:r>
      <w:r>
        <w:rPr>
          <w:rFonts w:hint="eastAsia"/>
          <w:color w:val="000000" w:themeColor="text1"/>
          <w14:textFill>
            <w14:solidFill>
              <w14:schemeClr w14:val="tx1"/>
            </w14:solidFill>
          </w14:textFill>
        </w:rPr>
        <w:t>一是全局多维约束下的智能排产与动态调度。通过集成订单、设备、物料等全要素数据，模型能够进行高速寻优与多目标平衡，自动生成最优生产排程方案，从而将传统依赖人工经验、耗时数天的排产模式升级为分钟级甚至秒级的智能决策，并能在突发插单或设备异常时快速重算，实现生产资源的敏捷调配。二是计划仿真预演与全流程协同闭环。在计划下发前，模型可基于业务仿真建模进行“沙盘推演”，科学解释推理过程并校验决策结果，提前预见潜在瓶颈。在此基础上，系统打通ERP、MES等核心业务链路，将优化方案直接转化为可执行的生产指令，并实时接收现场执行反馈进行模型自学习，实现“预测—推演—执行—反馈”的持续优化闭环。</w:t>
      </w:r>
    </w:p>
    <w:p>
      <w:pPr>
        <w:ind w:firstLine="643"/>
        <w:rPr>
          <w:b/>
          <w:bCs/>
        </w:rPr>
      </w:pPr>
      <w:r>
        <w:rPr>
          <w:b/>
          <w:bCs/>
        </w:rPr>
        <w:t>（1）Token</w:t>
      </w:r>
      <w:r>
        <w:rPr>
          <w:rFonts w:hint="eastAsia"/>
          <w:b/>
          <w:bCs/>
        </w:rPr>
        <w:t>消耗</w:t>
      </w:r>
      <w:r>
        <w:rPr>
          <w:b/>
          <w:bCs/>
        </w:rPr>
        <w:t>特征</w:t>
      </w:r>
    </w:p>
    <w:p>
      <w:pPr>
        <w:ind w:firstLine="643"/>
      </w:pPr>
      <w:r>
        <w:rPr>
          <w:rFonts w:hint="eastAsia"/>
          <w:b/>
          <w:bCs/>
        </w:rPr>
        <w:t>一是全要素结构化数据的高密度序列化消耗。</w:t>
      </w:r>
      <w:r>
        <w:rPr>
          <w:rFonts w:hint="eastAsia"/>
        </w:rPr>
        <w:t>在全局多维约束下的智能排产场景中，模型需将订单、设备、物料BOM、工艺路线等海量结构化业务数据转化为可理解的上下文，此类高密度数据的序列化转化会瞬间产生极大的输入Token开销。</w:t>
      </w:r>
    </w:p>
    <w:p>
      <w:pPr>
        <w:ind w:firstLine="643"/>
      </w:pPr>
      <w:r>
        <w:rPr>
          <w:rFonts w:hint="eastAsia"/>
          <w:b/>
          <w:bCs/>
        </w:rPr>
        <w:t>二是高频动态触发引发的脉冲式消耗。</w:t>
      </w:r>
      <w:r>
        <w:rPr>
          <w:rFonts w:hint="eastAsia"/>
        </w:rPr>
        <w:t>在应对突发插单或设备异常进行敏捷调配与动态重算时，系统需在极短时间内完成全要素数据的重新寻优，导致Token消耗在瞬时出现显著尖峰，呈现出与生产异常频率强相关的脉冲式消耗特征。</w:t>
      </w:r>
    </w:p>
    <w:p>
      <w:pPr>
        <w:ind w:firstLine="643"/>
      </w:pPr>
      <w:r>
        <w:rPr>
          <w:rFonts w:hint="eastAsia"/>
          <w:b/>
          <w:bCs/>
        </w:rPr>
        <w:t>三是长链路推理与仿真推演的长文本生成消耗。</w:t>
      </w:r>
      <w:r>
        <w:rPr>
          <w:rFonts w:hint="eastAsia"/>
        </w:rPr>
        <w:t>在计划仿真预演与全流程协同闭环中，模型不仅要输出最优排程方案，还需生成详尽的逻辑推导、瓶颈分析及多方案对比报告，且需持续接收MES现场反馈进行自学习，这种深度推理与闭环交互会导致高价值的输出Token持续大量消耗</w:t>
      </w:r>
      <w:r>
        <w:t>。</w:t>
      </w:r>
    </w:p>
    <w:p>
      <w:pPr>
        <w:ind w:firstLine="643"/>
        <w:rPr>
          <w:b/>
          <w:bCs/>
        </w:rPr>
      </w:pPr>
      <w:r>
        <w:rPr>
          <w:rFonts w:hint="eastAsia"/>
          <w:b/>
          <w:bCs/>
        </w:rPr>
        <w:t>（2）Token管理侧重点</w:t>
      </w:r>
    </w:p>
    <w:p>
      <w:pPr>
        <w:ind w:firstLine="643"/>
      </w:pPr>
      <w:r>
        <w:rPr>
          <w:rFonts w:hint="eastAsia"/>
          <w:b/>
          <w:bCs/>
        </w:rPr>
        <w:t>强化数据预处理与分层模型路由。</w:t>
      </w:r>
      <w:r>
        <w:rPr>
          <w:rFonts w:hint="eastAsia"/>
        </w:rPr>
        <w:t>严禁将原始业务数据直接注入模型，需建立中间件对ERP、MES数据进行清洗与结构化压缩；同时根据任务复杂度建立分层路由机制，将简单的状态查询或格式转换交由轻量级模型处理，仅在全局寻优与复杂逻辑推理时调用高能力模型，以大幅降低无效Token消耗。</w:t>
      </w:r>
    </w:p>
    <w:p>
      <w:pPr>
        <w:ind w:firstLine="643"/>
      </w:pPr>
      <w:r>
        <w:rPr>
          <w:rFonts w:hint="eastAsia"/>
          <w:b/>
          <w:bCs/>
        </w:rPr>
        <w:t>建立动态预算与分级响应熔断机制。</w:t>
      </w:r>
      <w:r>
        <w:rPr>
          <w:rFonts w:hint="eastAsia"/>
        </w:rPr>
        <w:t>针对突发异常触发的重算需求，设定严格的Token消耗上限与超时阈值；当全量重算成本过高或超时，系统应自动降级为局部启发式重算或人工辅助确认模式，确保生产连续性优于模型完美度；在仿真推演中采用关键路径分析，仅对高风险节点进行深度Token推演，避免穷举式消耗。</w:t>
      </w:r>
    </w:p>
    <w:p>
      <w:pPr>
        <w:ind w:firstLine="643"/>
        <w:rPr>
          <w:b/>
          <w:bCs/>
        </w:rPr>
      </w:pPr>
      <w:r>
        <w:rPr>
          <w:rFonts w:hint="eastAsia"/>
          <w:b/>
          <w:bCs/>
        </w:rPr>
        <w:t>聚焦决策ROI与反馈数据精炼。</w:t>
      </w:r>
      <w:r>
        <w:rPr>
          <w:rFonts w:hint="eastAsia"/>
        </w:rPr>
        <w:t>将Token管理从单纯的“单价控制”转向“效能评估”，重点考核单位Token消耗带来的业务价值，如减少设备闲置、避免违约等；在闭环反馈环节建立高价值数据过滤机制，仅将计划与实际的显著偏差、新异常模式等高价值信息注入模型进行对齐，并将验证有效的排产策略固化为传统规则，逐步降低常规场景下的Token依赖</w:t>
      </w:r>
      <w:r>
        <w:t>。</w:t>
      </w:r>
    </w:p>
    <w:p>
      <w:pPr>
        <w:pStyle w:val="4"/>
        <w:numPr>
          <w:ilvl w:val="0"/>
          <w:numId w:val="3"/>
        </w:numPr>
        <w:ind w:left="-3" w:firstLine="643" w:firstLineChars="0"/>
      </w:pPr>
      <w:bookmarkStart w:id="98" w:name="_Toc9456"/>
      <w:r>
        <w:rPr>
          <w:rFonts w:hint="eastAsia"/>
        </w:rPr>
        <w:t>采购计划优化协同</w:t>
      </w:r>
      <w:bookmarkEnd w:id="98"/>
    </w:p>
    <w:p>
      <w:pPr>
        <w:ind w:firstLine="640"/>
      </w:pPr>
      <w:r>
        <w:rPr>
          <w:rFonts w:hint="eastAsia"/>
        </w:rPr>
        <w:t>采购计划优化协同的模型应用主要包括以下场景：一是基于多维数据融合的智能补货与需求预测。通过打通销售订单、生产计划、实时库存与在途物流等多源数据，模型能够精准计算动态安全库存边界，自动生成附带明确“建议到货时间窗”的采购计划，将传统基于人工经验的静态备料升级为“拉动式”的精准协同。二是供应链风险感知与动态寻源。模型持续监控外部市场舆情、物流轨迹及供应商交付绩效，对潜在的断供或延迟风险进行提前预警，并自动推荐替代供应商或调整采购批量，实现“预测—预警—协同”的闭环。</w:t>
      </w:r>
    </w:p>
    <w:p>
      <w:pPr>
        <w:ind w:firstLine="643"/>
        <w:rPr>
          <w:b/>
          <w:bCs/>
        </w:rPr>
      </w:pPr>
      <w:r>
        <w:rPr>
          <w:b/>
          <w:bCs/>
        </w:rPr>
        <w:t>（1）Token</w:t>
      </w:r>
      <w:r>
        <w:rPr>
          <w:rFonts w:hint="eastAsia"/>
          <w:b/>
          <w:bCs/>
        </w:rPr>
        <w:t>消耗</w:t>
      </w:r>
      <w:r>
        <w:rPr>
          <w:b/>
          <w:bCs/>
        </w:rPr>
        <w:t>特征</w:t>
      </w:r>
    </w:p>
    <w:p>
      <w:pPr>
        <w:ind w:firstLine="643"/>
      </w:pPr>
      <w:r>
        <w:rPr>
          <w:rFonts w:hint="eastAsia"/>
          <w:b/>
          <w:bCs/>
        </w:rPr>
        <w:t>一是多源异构数据融合带来的高输入消耗。</w:t>
      </w:r>
      <w:r>
        <w:rPr>
          <w:rFonts w:hint="eastAsia"/>
        </w:rPr>
        <w:t>在智能补货与需求预测场景中，模型需要实时吞吐海量的销售订单、生产计划、实时库存及在途物流等结构化与非结构化数据。为了精准计算动态安全库存边界，模型必须读取长文本的历史数据与实时状态，导致上下文窗口占用大，输入Token数量显著高于输出。</w:t>
      </w:r>
    </w:p>
    <w:p>
      <w:pPr>
        <w:ind w:firstLine="643"/>
      </w:pPr>
      <w:r>
        <w:rPr>
          <w:rFonts w:hint="eastAsia"/>
          <w:b/>
          <w:bCs/>
        </w:rPr>
        <w:t>二是复杂逻辑推理引发的计算密集型消耗。</w:t>
      </w:r>
      <w:r>
        <w:rPr>
          <w:rFonts w:hint="eastAsia"/>
        </w:rPr>
        <w:t>在生成“建议到货时间窗”与进行动态寻源时，模型需执行复杂的运筹优化与因果推理。这不仅涉及简单的数值计算，更包含对供应商交付绩效、物流轨迹与市场舆情的综合研判，属于高算力的深度推理过程，单位任务消耗的Token价值较高。</w:t>
      </w:r>
    </w:p>
    <w:p>
      <w:pPr>
        <w:ind w:firstLine="643"/>
      </w:pPr>
      <w:r>
        <w:rPr>
          <w:rFonts w:hint="eastAsia"/>
          <w:b/>
          <w:bCs/>
        </w:rPr>
        <w:t>三是风险预警触发的突发性与间歇性消耗。</w:t>
      </w:r>
      <w:r>
        <w:rPr>
          <w:rFonts w:hint="eastAsia"/>
        </w:rPr>
        <w:t>供应链风险感知具有极强的事件驱动特征。在常态下Token消耗相对平稳，但一旦监测到外部市场舆情波动或物流异常，模型需瞬间启动高频次的“预测—预警—协同”闭环计算，导致Token消耗出现明显的波峰与脉冲式增长。</w:t>
      </w:r>
    </w:p>
    <w:p>
      <w:pPr>
        <w:ind w:firstLine="643"/>
      </w:pPr>
      <w:r>
        <w:rPr>
          <w:rFonts w:hint="eastAsia"/>
          <w:b/>
          <w:bCs/>
        </w:rPr>
        <w:t>（2）Token管理侧重点</w:t>
      </w:r>
    </w:p>
    <w:p>
      <w:pPr>
        <w:ind w:firstLine="643"/>
      </w:pPr>
      <w:r>
        <w:rPr>
          <w:rFonts w:hint="eastAsia"/>
          <w:b/>
          <w:bCs/>
        </w:rPr>
        <w:t>实施基于任务复杂度的分级路由策略。</w:t>
      </w:r>
      <w:r>
        <w:rPr>
          <w:rFonts w:hint="eastAsia"/>
        </w:rPr>
        <w:t>针对“建议到货时间窗”生成等高精度决策任务，应路由至逻辑推理能力更强的旗舰模型以确保准确性；而对于常规的库存状态查询或低风险级别的物流跟踪，则应自动路由至轻量级或低成本模型，在保障协同效率的同时大幅降低整体调用成本。</w:t>
      </w:r>
    </w:p>
    <w:p>
      <w:pPr>
        <w:ind w:firstLine="643"/>
      </w:pPr>
      <w:r>
        <w:rPr>
          <w:rFonts w:hint="eastAsia"/>
          <w:b/>
          <w:bCs/>
        </w:rPr>
        <w:t>构建长上下文缓存与状态复用机制。</w:t>
      </w:r>
      <w:r>
        <w:rPr>
          <w:rFonts w:hint="eastAsia"/>
        </w:rPr>
        <w:t>鉴于采购计划涉及大量相对静态的基础数据，如供应商档案、物料清单，应重点优化缓存命中率。对于非实时变动的多维融合数据，利用缓存技术避免重复编码与推理，确保Token预算集中消耗在增量数据，如突发舆情、实时物流变动。</w:t>
      </w:r>
    </w:p>
    <w:p>
      <w:pPr>
        <w:ind w:firstLine="643"/>
      </w:pPr>
      <w:r>
        <w:rPr>
          <w:rFonts w:hint="eastAsia"/>
          <w:b/>
          <w:bCs/>
        </w:rPr>
        <w:t>强化异常场景下的配额熔断与优先级调度。</w:t>
      </w:r>
      <w:r>
        <w:rPr>
          <w:rFonts w:hint="eastAsia"/>
        </w:rPr>
        <w:t>针对风险感知场景的突发性消耗，需建立精细化的用量限额管控。在供应链危机爆发导致Token需求激增时，优先保障核心断供风险预警与关键物料补货计划的Token供给，对非紧急的报表分析类请求实施限流或降级，确保关键业务链路的连续性。</w:t>
      </w:r>
    </w:p>
    <w:p>
      <w:pPr>
        <w:pStyle w:val="4"/>
        <w:numPr>
          <w:ilvl w:val="0"/>
          <w:numId w:val="3"/>
        </w:numPr>
        <w:ind w:left="-3" w:firstLine="643" w:firstLineChars="0"/>
      </w:pPr>
      <w:bookmarkStart w:id="99" w:name="_Toc235"/>
      <w:r>
        <w:rPr>
          <w:rFonts w:hint="eastAsia"/>
        </w:rPr>
        <w:t>智能经营决策</w:t>
      </w:r>
      <w:bookmarkEnd w:id="99"/>
    </w:p>
    <w:p>
      <w:pPr>
        <w:ind w:firstLine="640"/>
      </w:pPr>
      <w:r>
        <w:rPr>
          <w:rFonts w:hint="eastAsia"/>
        </w:rPr>
        <w:t>智能经营决策的模型应用主要包括以下场景：一是业财一体化实时洞察与利润模拟。模型通过实时归集业务数据与财务规则，支持按订单或项目维度进行动态成本核算与毛利预测，使管理层能够提前模拟原材料价格波动或新订单对现金流的影响，将滞后的事后核算升级为实时的“预测式经营”。二是全局资源调度与智能体辅助决策。针对人、财、物等资源的配置，模型运用多因素关联分析与数字沙盘模拟评估风险收益，并结合大模型智能体自动拆解任务、生成图文并茂的分析简报，实现从经验判断向数据驱动的敏捷决策转变。</w:t>
      </w:r>
    </w:p>
    <w:p>
      <w:pPr>
        <w:ind w:firstLine="643"/>
        <w:rPr>
          <w:b/>
          <w:bCs/>
        </w:rPr>
      </w:pPr>
      <w:r>
        <w:rPr>
          <w:b/>
          <w:bCs/>
        </w:rPr>
        <w:t>（1）Token</w:t>
      </w:r>
      <w:r>
        <w:rPr>
          <w:rFonts w:hint="eastAsia"/>
          <w:b/>
          <w:bCs/>
        </w:rPr>
        <w:t>消耗</w:t>
      </w:r>
      <w:r>
        <w:rPr>
          <w:b/>
          <w:bCs/>
        </w:rPr>
        <w:t>特征</w:t>
      </w:r>
    </w:p>
    <w:p>
      <w:pPr>
        <w:ind w:firstLine="643"/>
      </w:pPr>
      <w:r>
        <w:rPr>
          <w:rFonts w:hint="eastAsia"/>
          <w:b/>
          <w:bCs/>
        </w:rPr>
        <w:t>一是长链路与多轮交互导致消耗呈指数级放大。</w:t>
      </w:r>
      <w:r>
        <w:rPr>
          <w:rFonts w:hint="eastAsia"/>
        </w:rPr>
        <w:t>在业财一体化实时洞察与利润模拟场景中，模型需进行多轮数据归集、规则匹配与动态核算；在全局资源调度场景中，智能体需自动拆解复杂任务、调用数字沙盘进行多因素关联分析与风险收益评估，此类多Agent协作与长链路执行使得单次决策任务的Token消耗量可达常规对话的数十倍乃至上百倍。</w:t>
      </w:r>
    </w:p>
    <w:p>
      <w:pPr>
        <w:ind w:firstLine="643"/>
      </w:pPr>
      <w:r>
        <w:rPr>
          <w:rFonts w:hint="eastAsia"/>
          <w:b/>
          <w:bCs/>
        </w:rPr>
        <w:t>二是高算力与高价值场景催生结构性“通胀”。</w:t>
      </w:r>
      <w:r>
        <w:rPr>
          <w:rFonts w:hint="eastAsia"/>
        </w:rPr>
        <w:t>智能经营决策涉及复杂的战略推演、生产调度与市场预测，需调用高参数量的旗舰模型或专业决策底座以保障分析结果的准确性与专业性，导致单次推演成本较高；同时，微观层面的实时成本核算与毛利预测使用频次极高，而宏观层面的全局资源调度虽频次较低但单次消耗巨大，形成明显的消耗分层特征。</w:t>
      </w:r>
    </w:p>
    <w:p>
      <w:pPr>
        <w:ind w:firstLine="643"/>
      </w:pPr>
      <w:r>
        <w:rPr>
          <w:rFonts w:hint="eastAsia"/>
          <w:b/>
          <w:bCs/>
        </w:rPr>
        <w:t>三是无效调用与数据冗余加剧隐性成本浪费。</w:t>
      </w:r>
      <w:r>
        <w:rPr>
          <w:rFonts w:hint="eastAsia"/>
        </w:rPr>
        <w:t>在实时归集业务与财务数据时，若缺乏统一的数据语义与检索优化，智能体易陷入重复的数据发现与过度检索；此外，在生成图文并茂的分析简报或进行任务拆解时，若缺乏有效的缓存机制与Prompt治理，大量重复请求、失败重试及无关上下文的输入将产生大量未转化为实际业务价值的无效Token消耗。</w:t>
      </w:r>
    </w:p>
    <w:p>
      <w:pPr>
        <w:ind w:firstLine="643"/>
        <w:rPr>
          <w:b/>
          <w:bCs/>
        </w:rPr>
      </w:pPr>
      <w:r>
        <w:rPr>
          <w:rFonts w:hint="eastAsia"/>
          <w:b/>
          <w:bCs/>
        </w:rPr>
        <w:t>（2）Token管理侧重点</w:t>
      </w:r>
    </w:p>
    <w:p>
      <w:pPr>
        <w:ind w:firstLine="643"/>
      </w:pPr>
      <w:r>
        <w:rPr>
          <w:rFonts w:hint="eastAsia"/>
          <w:b/>
          <w:bCs/>
        </w:rPr>
        <w:t>实施精细化的分层路由与预算治理。</w:t>
      </w:r>
      <w:r>
        <w:rPr>
          <w:rFonts w:hint="eastAsia"/>
        </w:rPr>
        <w:t>针对业财实时洞察的高频微观场景与全局资源调度的低频宏观场景，需建立智能路由机制，动态匹配不同参数与算力要求的模型以平衡成本与效果；同时，将Token管理粒度从“项目级”下沉至“员工级”或“业务场景级”，通过设置部门或应用维度的Token预算与调用策略，实现从粗放式消耗向透明化、可量化的精细化运营转变。</w:t>
      </w:r>
    </w:p>
    <w:p>
      <w:pPr>
        <w:ind w:firstLine="643"/>
      </w:pPr>
      <w:r>
        <w:rPr>
          <w:rFonts w:hint="eastAsia"/>
          <w:b/>
          <w:bCs/>
        </w:rPr>
        <w:t>强化数据底层治理与全链路成本溯源。</w:t>
      </w:r>
      <w:r>
        <w:rPr>
          <w:rFonts w:hint="eastAsia"/>
        </w:rPr>
        <w:t>通过统一业务语义、规范数据接口与部署语义缓存，避免智能体在业财数据归集中的重复试错与无效检索；建立覆盖统一入口、模型网关、Token计量与账单结算的一体化运营体系，精准追踪Token在订单核算、资源调度等具体业务环节的流向，将Token消耗与业务价值指标深度挂钩，如预测准确率、决策响应速度。</w:t>
      </w:r>
    </w:p>
    <w:p>
      <w:pPr>
        <w:ind w:firstLine="643"/>
      </w:pPr>
      <w:r>
        <w:rPr>
          <w:rFonts w:hint="eastAsia"/>
          <w:b/>
          <w:bCs/>
        </w:rPr>
        <w:t>建立以业务价值为导向的效果评估机制。</w:t>
      </w:r>
      <w:r>
        <w:rPr>
          <w:rFonts w:hint="eastAsia"/>
        </w:rPr>
        <w:t>摒弃单纯以消耗量衡量AI效能的误区，将Token管理从“看账单”升级为“算经营账”；重点评估Token投入在预测式经营与敏捷决策中带来的实际业务增量，如单位会话成本下降、交付周期缩短或资源配置效率提升，通过持续的效果归因分析，识别并优化高价值决策场景的模型组合，确保每一分Token投入都能转化为确定性的经营决策价值。</w:t>
      </w:r>
    </w:p>
    <w:p>
      <w:pPr>
        <w:pStyle w:val="4"/>
        <w:numPr>
          <w:ilvl w:val="0"/>
          <w:numId w:val="3"/>
        </w:numPr>
        <w:ind w:left="-3" w:firstLine="643" w:firstLineChars="0"/>
      </w:pPr>
      <w:bookmarkStart w:id="100" w:name="_Toc16880"/>
      <w:r>
        <w:rPr>
          <w:rFonts w:hint="eastAsia"/>
        </w:rPr>
        <w:t>数智精益管理</w:t>
      </w:r>
      <w:bookmarkEnd w:id="100"/>
    </w:p>
    <w:p>
      <w:pPr>
        <w:ind w:firstLine="640"/>
      </w:pPr>
      <w:r>
        <w:rPr>
          <w:rFonts w:hint="eastAsia"/>
        </w:rPr>
        <w:t>数智精益管理的模型应用主要包括以下场景：一是全要素绩效精准核算与瓶颈识别。模型将精益管理理念与大数据分析深度融合，实时打通“人机料法环”数据，精准核算资源利用率与生产节拍，自动识别并量化停机损失、效率损失等关键瓶颈环节。二是持续改善策略的生成与优化。基于对海量生产数据的根因分析，模型能够自动诊断异常原因并生成针对性的改善建议，如优化排产策略、调整操作参数，推动精益管理从人工观测记录向数字化、自动化的“诊断—改善—固化”闭环演进。</w:t>
      </w:r>
    </w:p>
    <w:p>
      <w:pPr>
        <w:ind w:firstLine="643"/>
        <w:rPr>
          <w:b/>
          <w:bCs/>
        </w:rPr>
      </w:pPr>
      <w:r>
        <w:rPr>
          <w:b/>
          <w:bCs/>
        </w:rPr>
        <w:t>（1）Token</w:t>
      </w:r>
      <w:r>
        <w:rPr>
          <w:rFonts w:hint="eastAsia"/>
          <w:b/>
          <w:bCs/>
        </w:rPr>
        <w:t>消耗</w:t>
      </w:r>
      <w:r>
        <w:rPr>
          <w:b/>
          <w:bCs/>
        </w:rPr>
        <w:t>特征</w:t>
      </w:r>
    </w:p>
    <w:p>
      <w:pPr>
        <w:ind w:firstLine="643"/>
      </w:pPr>
      <w:r>
        <w:rPr>
          <w:b/>
          <w:bCs/>
        </w:rPr>
        <w:t>一是全要素数据注入导致上下文冗长。</w:t>
      </w:r>
      <w:r>
        <w:t>模型在实时打通</w:t>
      </w:r>
      <w:r>
        <w:rPr>
          <w:rFonts w:hint="eastAsia"/>
        </w:rPr>
        <w:t>“</w:t>
      </w:r>
      <w:r>
        <w:t>人机料法环</w:t>
      </w:r>
      <w:r>
        <w:rPr>
          <w:rFonts w:hint="eastAsia"/>
        </w:rPr>
        <w:t>”</w:t>
      </w:r>
      <w:r>
        <w:t>数据时，需将海量的设备运行参数、人员排班、物料流转及环境监控等多模态原始数据作为背景信息输入，导致单次推理的上下文长度激增，</w:t>
      </w:r>
      <w:r>
        <w:rPr>
          <w:rFonts w:hint="eastAsia"/>
        </w:rPr>
        <w:t>产生</w:t>
      </w:r>
      <w:r>
        <w:t>无效Token消耗。</w:t>
      </w:r>
    </w:p>
    <w:p>
      <w:pPr>
        <w:ind w:firstLine="643"/>
      </w:pPr>
      <w:r>
        <w:rPr>
          <w:b/>
          <w:bCs/>
        </w:rPr>
        <w:t>二是多轮根因诊断引发链式消耗。</w:t>
      </w:r>
      <w:r>
        <w:t>在持续改善策略生成与异常诊断场景中，模型需经历</w:t>
      </w:r>
      <w:r>
        <w:rPr>
          <w:rFonts w:hint="eastAsia"/>
        </w:rPr>
        <w:t>“</w:t>
      </w:r>
      <w:r>
        <w:t>数据查询—逻辑比对—假设验证—策略生成</w:t>
      </w:r>
      <w:r>
        <w:rPr>
          <w:rFonts w:hint="eastAsia"/>
        </w:rPr>
        <w:t>”</w:t>
      </w:r>
      <w:r>
        <w:t>的多次迭代与自我反思，这种长链路的Agent协同推理与多步工具调用，使得Token消耗呈指数级放大。</w:t>
      </w:r>
    </w:p>
    <w:p>
      <w:pPr>
        <w:ind w:firstLine="643"/>
      </w:pPr>
      <w:r>
        <w:rPr>
          <w:b/>
          <w:bCs/>
        </w:rPr>
        <w:t>三是高价值场景的算力成本错配。</w:t>
      </w:r>
      <w:r>
        <w:t>全要素绩效核算与瓶颈识别对数据准确性与逻辑严密性要求极高，往往需要调用高算力、高成本的强模型进行复杂推理，而部分常规数据清洗或格式化工作若未做模型分级，易造成用概率推理解决确定性问题的Token浪费。</w:t>
      </w:r>
    </w:p>
    <w:p>
      <w:pPr>
        <w:ind w:firstLine="643"/>
      </w:pPr>
      <w:r>
        <w:rPr>
          <w:rFonts w:hint="eastAsia"/>
          <w:b/>
          <w:bCs/>
        </w:rPr>
        <w:t>（2）Token管理侧重点</w:t>
      </w:r>
    </w:p>
    <w:p>
      <w:pPr>
        <w:ind w:left="220" w:firstLine="520" w:firstLineChars="162"/>
      </w:pPr>
      <w:r>
        <w:rPr>
          <w:rFonts w:hint="eastAsia"/>
          <w:b/>
          <w:bCs/>
        </w:rPr>
        <w:t>强化数据底层的语义治理与前置过滤。</w:t>
      </w:r>
      <w:r>
        <w:rPr>
          <w:rFonts w:hint="eastAsia"/>
        </w:rPr>
        <w:t>在数据进入模型前，通过工程化手段完成“人机料法环”数据的清洗、关联与结构化转换，避免将本应由数据库或传统软件完成的确定性计算交由大模型处理，从源头拦截过度检索与冗余数据注入带来的无效Token消耗。</w:t>
      </w:r>
    </w:p>
    <w:p>
      <w:pPr>
        <w:ind w:left="220" w:firstLine="520" w:firstLineChars="162"/>
      </w:pPr>
      <w:r>
        <w:rPr>
          <w:rFonts w:hint="eastAsia"/>
          <w:b/>
          <w:bCs/>
        </w:rPr>
        <w:t>实施精细化的模型路由与任务分级调度。</w:t>
      </w:r>
      <w:r>
        <w:rPr>
          <w:rFonts w:hint="eastAsia"/>
        </w:rPr>
        <w:t>针对精益管理中的不同任务节点建立智能路由机制，将简单的参数调整与数据提取降级至轻量级模型或传统算法处理，仅将复杂的根因分析与改善策略生成交由强模型执行，通过“大小模型协同”实现Token成本与业务价值的精准匹配。</w:t>
      </w:r>
    </w:p>
    <w:p>
      <w:pPr>
        <w:ind w:left="220" w:firstLine="520" w:firstLineChars="162"/>
      </w:pPr>
      <w:r>
        <w:rPr>
          <w:rFonts w:hint="eastAsia"/>
          <w:b/>
          <w:bCs/>
        </w:rPr>
        <w:t>建立基于业务产出的Token价值归因体系。</w:t>
      </w:r>
      <w:r>
        <w:rPr>
          <w:rFonts w:hint="eastAsia"/>
        </w:rPr>
        <w:t>打破单纯以消耗量为核心的成本核算逻辑，将Token消耗与“停机损失降低率”“设备综合效率（OEE）提升”等精益管理核心指标深度绑定，通过构建“诊断—改善—固化”闭环的ROI评估模型，确保Token投入切实转化为可量化的生产效能提升。</w:t>
      </w:r>
    </w:p>
    <w:p>
      <w:pPr>
        <w:pStyle w:val="4"/>
        <w:numPr>
          <w:ilvl w:val="0"/>
          <w:numId w:val="3"/>
        </w:numPr>
        <w:ind w:left="-3" w:firstLine="643" w:firstLineChars="0"/>
      </w:pPr>
      <w:bookmarkStart w:id="101" w:name="_Toc5808"/>
      <w:r>
        <w:rPr>
          <w:rFonts w:hint="eastAsia"/>
        </w:rPr>
        <w:t>供应链风险预警与调度</w:t>
      </w:r>
      <w:bookmarkEnd w:id="101"/>
    </w:p>
    <w:p>
      <w:pPr>
        <w:ind w:firstLine="640"/>
      </w:pPr>
      <w:r>
        <w:rPr>
          <w:rFonts w:hint="eastAsia"/>
        </w:rPr>
        <w:t>供应链风险预警与调度模型应用主要包括以下场景：一是全链路风险知识图谱与影响推演。模型整合气象预警、港口拥堵、供应商舆情等内外部多维数据，构建“项目—物料—供应商—物流”关联网络，不仅能精准识别单一风险点，还能自动推理其对下游产能及交付的级联影响。二是智能调度与供应网络自主修复。在触发风险预警后，模型通过预案模拟仿真与资源智能匹配，自动生成包含启用备选供应商、调整物流路线或切换安全库存在内的分级响应预案，实现从被动救火向主动预判与自主修复的闭环。</w:t>
      </w:r>
    </w:p>
    <w:p>
      <w:pPr>
        <w:ind w:firstLine="643"/>
        <w:rPr>
          <w:b/>
          <w:bCs/>
        </w:rPr>
      </w:pPr>
      <w:r>
        <w:rPr>
          <w:b/>
          <w:bCs/>
        </w:rPr>
        <w:t>（1）Token</w:t>
      </w:r>
      <w:r>
        <w:rPr>
          <w:rFonts w:hint="eastAsia"/>
          <w:b/>
          <w:bCs/>
        </w:rPr>
        <w:t>消耗</w:t>
      </w:r>
      <w:r>
        <w:rPr>
          <w:b/>
          <w:bCs/>
        </w:rPr>
        <w:t>特征</w:t>
      </w:r>
    </w:p>
    <w:p>
      <w:pPr>
        <w:ind w:firstLine="643"/>
      </w:pPr>
      <w:r>
        <w:rPr>
          <w:rFonts w:hint="eastAsia"/>
          <w:b/>
          <w:bCs/>
        </w:rPr>
        <w:t>一是图谱构建与多模态数据融合消耗巨大。</w:t>
      </w:r>
      <w:r>
        <w:rPr>
          <w:rFonts w:hint="eastAsia"/>
        </w:rPr>
        <w:t>在构建全链路风险知识图谱阶段，模型需处理气象预警、港口拥堵数据及供应商舆情等非结构化文本与结构化数据，进行实体抽取与关系对齐，这一过程涉及海量上下文窗口的占用，是Token消耗的峰值时刻。</w:t>
      </w:r>
    </w:p>
    <w:p>
      <w:pPr>
        <w:ind w:firstLine="643"/>
      </w:pPr>
      <w:r>
        <w:rPr>
          <w:rFonts w:hint="eastAsia"/>
          <w:b/>
          <w:bCs/>
        </w:rPr>
        <w:t>二是长链路推理与级联影响计算的持续高耗。</w:t>
      </w:r>
      <w:r>
        <w:rPr>
          <w:rFonts w:hint="eastAsia"/>
        </w:rPr>
        <w:t>在进行影响推演时，模型需要维持“项目—物料—供应商—物流”长链条的上下文关联，通过多跳推理计算单一风险点对下游产能的级联效应，随着网络节点增加，推理过程中的Token吞吐量呈指数级上升。</w:t>
      </w:r>
    </w:p>
    <w:p>
      <w:pPr>
        <w:ind w:firstLine="643"/>
      </w:pPr>
      <w:r>
        <w:rPr>
          <w:rFonts w:hint="eastAsia"/>
          <w:b/>
          <w:bCs/>
        </w:rPr>
        <w:t>三是多预案仿真模拟带来的并发消耗。</w:t>
      </w:r>
      <w:r>
        <w:rPr>
          <w:rFonts w:hint="eastAsia"/>
        </w:rPr>
        <w:t>在智能调度与自主修复阶段，模型需同时模拟启用备选供应商、调整物流路线等多种场景，每一次预案生成与资源匹配都是一次完整的生成式推理过程，高频次的仿真计算导致Token消耗具有明显的脉冲式并发消耗特征。</w:t>
      </w:r>
    </w:p>
    <w:p>
      <w:pPr>
        <w:ind w:firstLine="643"/>
      </w:pPr>
      <w:r>
        <w:rPr>
          <w:rFonts w:hint="eastAsia"/>
          <w:b/>
          <w:bCs/>
        </w:rPr>
        <w:t>（2）Token管理侧重点</w:t>
      </w:r>
    </w:p>
    <w:p>
      <w:pPr>
        <w:ind w:firstLine="643"/>
      </w:pPr>
      <w:r>
        <w:rPr>
          <w:rFonts w:hint="eastAsia"/>
          <w:b/>
          <w:bCs/>
        </w:rPr>
        <w:t>全链路知识图谱的向量化与动态更新。</w:t>
      </w:r>
      <w:r>
        <w:rPr>
          <w:rFonts w:hint="eastAsia"/>
        </w:rPr>
        <w:t>管理重心在于如何高效维护“项目—物料—供应商—物流”关联网络的实时性，通过向量数据库技术减少模型对历史静态数据的重复读取，确保模型仅将算力集中在增量风险数据与关键路径的推理上。</w:t>
      </w:r>
    </w:p>
    <w:p>
      <w:pPr>
        <w:ind w:firstLine="643"/>
      </w:pPr>
      <w:r>
        <w:rPr>
          <w:rFonts w:hint="eastAsia"/>
          <w:b/>
          <w:bCs/>
        </w:rPr>
        <w:t>推理精度的阈值设定与噪声过滤。</w:t>
      </w:r>
      <w:r>
        <w:rPr>
          <w:rFonts w:hint="eastAsia"/>
        </w:rPr>
        <w:t>重点在于平衡风险识别的敏感度与Token成本，优化模型对气象、舆情等外部噪声数据的过滤机制，避免因过度解读微弱信号而触发不必要的长链路级联推演，从而在保障预警准确率的前提下控制推理Token的浪费。</w:t>
      </w:r>
    </w:p>
    <w:p>
      <w:pPr>
        <w:ind w:firstLine="643"/>
      </w:pPr>
      <w:r>
        <w:rPr>
          <w:rFonts w:hint="eastAsia"/>
          <w:b/>
          <w:bCs/>
        </w:rPr>
        <w:t>预案生成的结构化约束与响应时效。</w:t>
      </w:r>
      <w:r>
        <w:rPr>
          <w:rFonts w:hint="eastAsia"/>
        </w:rPr>
        <w:t>在调度与修复环节，管理侧重点在于约束模型输出符合供应链执行标准的结构化指令，如具体的库存切换量、物流路由代码，减少开放式生成的冗余Token，确保从风险触发到预案生成的闭环响应速度满足实时调度要求。</w:t>
      </w:r>
    </w:p>
    <w:p>
      <w:pPr>
        <w:pStyle w:val="3"/>
        <w:numPr>
          <w:ilvl w:val="0"/>
          <w:numId w:val="4"/>
        </w:numPr>
      </w:pPr>
      <w:bookmarkStart w:id="102" w:name="_Toc4525"/>
      <w:bookmarkStart w:id="103" w:name="_Toc19702"/>
      <w:r>
        <w:rPr>
          <w:rFonts w:hint="eastAsia"/>
        </w:rPr>
        <w:t>研发仿真类</w:t>
      </w:r>
      <w:bookmarkEnd w:id="102"/>
      <w:bookmarkEnd w:id="103"/>
    </w:p>
    <w:p>
      <w:pPr>
        <w:ind w:firstLine="640"/>
      </w:pPr>
      <w:r>
        <w:rPr>
          <w:rFonts w:hint="eastAsia"/>
        </w:rPr>
        <w:t>仿真研发类场景以三维建模、方案推导与虚拟推演为模型调用模式，此类场景推理结论决定研发方案可行性、生产制造成本与投产周期，但仅作用于研发设计阶段，对推理实时性、毫秒级响应的硬性约束较弱。管理侧重点以中长期研发预算总量管控为基础，在控制研发数字化投入成本的前提下，平衡仿真方案输出精度与算力资源消耗效率，以研发方案完整可靠为核心目标，成本约束与业务效能统筹兼顾。</w:t>
      </w:r>
    </w:p>
    <w:p>
      <w:pPr>
        <w:pStyle w:val="4"/>
        <w:numPr>
          <w:ilvl w:val="0"/>
          <w:numId w:val="3"/>
        </w:numPr>
        <w:ind w:left="-3" w:firstLine="643" w:firstLineChars="0"/>
      </w:pPr>
      <w:bookmarkStart w:id="104" w:name="_Toc22725"/>
      <w:bookmarkStart w:id="105" w:name="_Toc1454"/>
      <w:bookmarkStart w:id="106" w:name="_Toc11418"/>
      <w:r>
        <w:rPr>
          <w:rFonts w:hint="eastAsia"/>
        </w:rPr>
        <w:t>产品数字化设计</w:t>
      </w:r>
      <w:bookmarkEnd w:id="104"/>
      <w:bookmarkEnd w:id="105"/>
    </w:p>
    <w:p>
      <w:pPr>
        <w:ind w:firstLine="640"/>
      </w:pPr>
      <w:r>
        <w:rPr>
          <w:rFonts w:hint="eastAsia"/>
        </w:rPr>
        <w:t>产品数字化设计的模型应用主要包括以下场景：一是自然语言驱动生成式设计。用户只需输入文本描述，模型即可直接生成精确的3D设计模型，大幅降低了CAD的使用门槛。二是工业知识检索与合规校验。针对工业知识数字化程度低、非结构化数据难以复用的痛点，利用RAG等技术，模型可以解析包含复杂图表、公式的设计规范或手册，实现从人工检索到智能问答的升级，辅助用户获取参数并自动进行合规校验。</w:t>
      </w:r>
    </w:p>
    <w:p>
      <w:pPr>
        <w:ind w:firstLine="643"/>
        <w:rPr>
          <w:b/>
          <w:bCs/>
        </w:rPr>
      </w:pPr>
      <w:r>
        <w:rPr>
          <w:b/>
          <w:bCs/>
        </w:rPr>
        <w:t>（1）Token</w:t>
      </w:r>
      <w:r>
        <w:rPr>
          <w:rFonts w:hint="eastAsia"/>
          <w:b/>
          <w:bCs/>
        </w:rPr>
        <w:t>消耗</w:t>
      </w:r>
      <w:r>
        <w:rPr>
          <w:b/>
          <w:bCs/>
        </w:rPr>
        <w:t>特征</w:t>
      </w:r>
    </w:p>
    <w:p>
      <w:pPr>
        <w:ind w:firstLine="643"/>
        <w:rPr>
          <w:b/>
          <w:bCs/>
        </w:rPr>
      </w:pPr>
      <w:r>
        <w:rPr>
          <w:rFonts w:hint="eastAsia"/>
          <w:b/>
          <w:bCs/>
        </w:rPr>
        <w:t>一</w:t>
      </w:r>
      <w:r>
        <w:rPr>
          <w:b/>
          <w:bCs/>
        </w:rPr>
        <w:t>是工业知识库体量庞大，静态基线Token开销占比显著偏高</w:t>
      </w:r>
      <w:r>
        <w:t>。</w:t>
      </w:r>
      <w:r>
        <w:rPr>
          <w:rFonts w:hint="eastAsia"/>
        </w:rPr>
        <w:t>产品合规校验、知识问答依托RAG加载全套设计规范、零部件手册、力学计算公式、行业标准文档开展推理，其专业文本术语密集、图表配套说明文字繁杂，每次业务调用均需重复载入知识库片段形成固定基线文本，常态化基线Token消耗成为整体Token用量的核心组成部分。</w:t>
      </w:r>
    </w:p>
    <w:p>
      <w:pPr>
        <w:ind w:firstLine="643"/>
      </w:pPr>
      <w:r>
        <w:rPr>
          <w:rFonts w:hint="eastAsia"/>
          <w:b/>
          <w:bCs/>
        </w:rPr>
        <w:t>二</w:t>
      </w:r>
      <w:r>
        <w:rPr>
          <w:b/>
          <w:bCs/>
        </w:rPr>
        <w:t>是人工交互驱动请求流量分布平缓，无瞬时批量Token尖峰与重尾特征</w:t>
      </w:r>
      <w:r>
        <w:t>。</w:t>
      </w:r>
      <w:r>
        <w:rPr>
          <w:rFonts w:hint="eastAsia"/>
        </w:rPr>
        <w:t>请求由设计师手动按需发起，交互节奏跟随研发工作时长均匀分散，不存在产线批量缺陷同步触发推理的事件驱动型流量。仅项目集中评审、大批量图纸统一校验阶段会出现Token消耗小幅抬升，不存在秒级海量并发请求，Token流量无极端峰值，整体负载曲线平稳</w:t>
      </w:r>
      <w:r>
        <w:t>。</w:t>
      </w:r>
    </w:p>
    <w:p>
      <w:pPr>
        <w:ind w:firstLine="640"/>
      </w:pPr>
      <w:r>
        <w:rPr>
          <w:rFonts w:hint="eastAsia"/>
        </w:rPr>
        <w:t>三</w:t>
      </w:r>
      <w:r>
        <w:rPr>
          <w:b/>
          <w:bCs/>
        </w:rPr>
        <w:t>是生成式建模任务存在高输出Token特征，输入输出双向消耗失衡</w:t>
      </w:r>
      <w:r>
        <w:t>。</w:t>
      </w:r>
      <w:r>
        <w:rPr>
          <w:rFonts w:hint="eastAsia"/>
        </w:rPr>
        <w:t>自然语言生成3D模型环节，用户仅输入一段产品描述文本，但模型需要输出完整结构化建模指令、装配约束、尺寸参数集合，输出文本篇幅远大于输入内容，形成“输入短、输出长”的Token消耗结构。</w:t>
      </w:r>
    </w:p>
    <w:p>
      <w:pPr>
        <w:ind w:firstLine="643"/>
      </w:pPr>
      <w:r>
        <w:rPr>
          <w:rFonts w:hint="eastAsia"/>
          <w:b/>
          <w:bCs/>
        </w:rPr>
        <w:t>四是不同任务Token消耗区间两极分化，负载差异界限清晰</w:t>
      </w:r>
      <w:r>
        <w:rPr>
          <w:rFonts w:hint="eastAsia"/>
        </w:rPr>
        <w:t>。轻量化单条参数查询、简易合规核验仅需短文本输入输出，单次Token总量极低；而批量图纸合规审查、长约束文本驱动三维建模、跨多份手册综合知识推理任务，需要拼接多份标准文档、完整结构描述与尺寸约束，输入输出叠加形成超长上下文，单次Token消耗量级大幅抬升，高低负载任务随机交错发起，造成整体Token负载波动分化明显。</w:t>
      </w:r>
    </w:p>
    <w:p>
      <w:pPr>
        <w:ind w:firstLine="643"/>
        <w:rPr>
          <w:b/>
          <w:bCs/>
        </w:rPr>
      </w:pPr>
      <w:r>
        <w:rPr>
          <w:rFonts w:hint="eastAsia"/>
          <w:b/>
          <w:bCs/>
        </w:rPr>
        <w:t>（2）Token管理侧重点</w:t>
      </w:r>
    </w:p>
    <w:p>
      <w:pPr>
        <w:ind w:firstLine="643"/>
      </w:pPr>
      <w:r>
        <w:rPr>
          <w:rFonts w:hint="eastAsia"/>
          <w:b/>
          <w:bCs/>
        </w:rPr>
        <w:t>建立知识库分层缓存与精简机制。</w:t>
      </w:r>
      <w:r>
        <w:rPr>
          <w:rFonts w:hint="eastAsia"/>
        </w:rPr>
        <w:t>一是对行业通用设计规范、基础力学公式等高频复用文档片段做全局缓存，在本地部署架构中将基线知识库预加载至显存，公有云架构下通过Prompt缓存接口复用固定知识库文本，避免每轮推理重复加载完整文档产生重复Token损耗。二是对知识库实施分段切片检索，RAG检索环节仅召回与当前设计任务强相关的局部文档片段，摒弃全量手册拼接上下文，从源头压缩基线文本长度。三是统一梳理工业文档冗余通用条款、重复标注说明，提前完成知识库文本去重精简，在不丢失合规校验依据的前提下降低稳态基线Token规模。</w:t>
      </w:r>
    </w:p>
    <w:p>
      <w:pPr>
        <w:ind w:firstLine="643"/>
      </w:pPr>
      <w:r>
        <w:rPr>
          <w:rFonts w:hint="eastAsia"/>
          <w:b/>
          <w:bCs/>
        </w:rPr>
        <w:t>实施轻量化调度与错峰管控策略。</w:t>
      </w:r>
      <w:r>
        <w:rPr>
          <w:rFonts w:hint="eastAsia"/>
        </w:rPr>
        <w:t>公有云部署模式下，将大批量图纸合规审查等高Token消耗任务调度至非工作时段执行，平抑日间研发时段的计费消耗；本地部署模式下，无需配置突发流量缓冲队列，仅针对项目集中评审阶段临时扩充算力资源配额，保障设计师日常交互低时延。同时取消严苛的瞬时并发限流规则，避免人工交互式单次设计操作被限制，兼顾研发操作流畅性。</w:t>
      </w:r>
    </w:p>
    <w:p>
      <w:pPr>
        <w:ind w:firstLine="643"/>
      </w:pPr>
      <w:r>
        <w:rPr>
          <w:rFonts w:hint="eastAsia"/>
          <w:b/>
          <w:bCs/>
        </w:rPr>
        <w:t>设置差异化输出长度管控规则。</w:t>
      </w:r>
      <w:r>
        <w:rPr>
          <w:rFonts w:hint="eastAsia"/>
        </w:rPr>
        <w:t>一是为生成式建模任务配置自适应输出Token上限，根据产品复杂度动态调整建模指令输出篇幅，杜绝无限制生成冗余装配参数。二是区分任务类型分配Token预算，知识问答类均衡任务放宽输出限制，三维生成任务建立输出Token预警机制。公有云场景下规避高额输出计费，本地场景下减少长文本推理带来的显存占用。</w:t>
      </w:r>
    </w:p>
    <w:p>
      <w:pPr>
        <w:ind w:firstLine="643"/>
      </w:pPr>
      <w:r>
        <w:rPr>
          <w:rFonts w:hint="eastAsia"/>
          <w:b/>
          <w:bCs/>
        </w:rPr>
        <w:t>实施分级路由与配额隔离策略</w:t>
      </w:r>
      <w:r>
        <w:rPr>
          <w:rFonts w:hint="eastAsia"/>
        </w:rPr>
        <w:t>。一是建立任务智能分流机制，简单参数检索、基础合规校验下沉至轻量化小模型，仅复杂综合推理、三维生成任务调度高阶大模型，消除低负载任务调用大模型产生的无效Token消耗。二是设置分层配额机制，对轻量查询、批量校验、3D建模三类任务划分独立Token资源配额，公有云架构下分配独立月度调用预算，本地部署架构下划分专属算力资源池，防止高Token消耗的建模、批量审查任务持续占用资源，保障设计师高频轻量化查询的响应优先级。</w:t>
      </w:r>
    </w:p>
    <w:p>
      <w:pPr>
        <w:pStyle w:val="4"/>
        <w:numPr>
          <w:ilvl w:val="0"/>
          <w:numId w:val="3"/>
        </w:numPr>
        <w:ind w:left="-3" w:firstLine="643" w:firstLineChars="0"/>
      </w:pPr>
      <w:bookmarkStart w:id="107" w:name="_Toc15693"/>
      <w:bookmarkStart w:id="108" w:name="_Toc1254"/>
      <w:r>
        <w:rPr>
          <w:rFonts w:hint="eastAsia"/>
        </w:rPr>
        <w:t>工艺数字化设计</w:t>
      </w:r>
      <w:bookmarkEnd w:id="107"/>
      <w:bookmarkEnd w:id="108"/>
    </w:p>
    <w:p>
      <w:pPr>
        <w:numPr>
          <w:ilvl w:val="255"/>
          <w:numId w:val="0"/>
        </w:numPr>
        <w:ind w:firstLine="640"/>
      </w:pPr>
      <w:r>
        <w:rPr>
          <w:rFonts w:hint="eastAsia"/>
        </w:rPr>
        <w:t>工艺数字化设计模型应用主要包括以下场景</w:t>
      </w:r>
      <w:r>
        <w:t>：</w:t>
      </w:r>
      <w:r>
        <w:rPr>
          <w:rFonts w:hint="eastAsia"/>
        </w:rPr>
        <w:t>一是工艺知识库构建与合规校验。利用RAG技术解析非结构化规范文档，辅助获取关键工艺参数并进行合规性校验，降低人工查阅工作量。二是工艺路线智能生成。基于BOM、三维模型属性与历史案例，自动推理生成涵盖工序、设备与工时的多套工艺路线方案，支持直接导入下游系统。三是工艺参数推优与文档管理。预测不同参数组合下的质量与成本表现以推荐最优方案；辅助生成SOP等文档，并在设计变更时自动生成关联文件的更新清单。</w:t>
      </w:r>
    </w:p>
    <w:p>
      <w:pPr>
        <w:numPr>
          <w:ilvl w:val="255"/>
          <w:numId w:val="0"/>
        </w:numPr>
        <w:ind w:firstLine="642" w:firstLineChars="200"/>
        <w:rPr>
          <w:b/>
          <w:bCs/>
          <w:color w:val="000000" w:themeColor="text1"/>
          <w14:textFill>
            <w14:solidFill>
              <w14:schemeClr w14:val="tx1"/>
            </w14:solidFill>
          </w14:textFill>
        </w:rPr>
      </w:pPr>
      <w:r>
        <w:rPr>
          <w:rFonts w:hint="eastAsia"/>
          <w:b/>
          <w:bCs/>
          <w:color w:val="000000" w:themeColor="text1"/>
          <w14:textFill>
            <w14:solidFill>
              <w14:schemeClr w14:val="tx1"/>
            </w14:solidFill>
          </w14:textFill>
        </w:rPr>
        <w:t>（1）Token消耗特征</w:t>
      </w:r>
    </w:p>
    <w:p>
      <w:pPr>
        <w:numPr>
          <w:ilvl w:val="255"/>
          <w:numId w:val="0"/>
        </w:numPr>
        <w:ind w:firstLine="642" w:firstLineChars="200"/>
        <w:rPr>
          <w:color w:val="000000" w:themeColor="text1"/>
          <w14:textFill>
            <w14:solidFill>
              <w14:schemeClr w14:val="tx1"/>
            </w14:solidFill>
          </w14:textFill>
        </w:rPr>
      </w:pPr>
      <w:r>
        <w:rPr>
          <w:rFonts w:hint="eastAsia"/>
          <w:b/>
          <w:bCs/>
          <w:color w:val="000000" w:themeColor="text1"/>
          <w14:textFill>
            <w14:solidFill>
              <w14:schemeClr w14:val="tx1"/>
            </w14:solidFill>
          </w14:textFill>
        </w:rPr>
        <w:t>一是工艺标准知识库体系繁杂，长效RAG检索带来高占比基线Token开销。</w:t>
      </w:r>
      <w:r>
        <w:rPr>
          <w:rFonts w:hint="eastAsia"/>
          <w:color w:val="000000" w:themeColor="text1"/>
          <w14:textFill>
            <w14:solidFill>
              <w14:schemeClr w14:val="tx1"/>
            </w14:solidFill>
          </w14:textFill>
        </w:rPr>
        <w:t>工艺合规校验、参数查询依赖RAG加载完整工艺规范、设备操作规程、行业加工标准、安全管控条款等海量非结构化文档，文档包含大量加工公差、设备参数、工序约束等高密度专业文本。每一次工艺校验、参数咨询都会重复调取知识库片段作为推理前置上下文，形成固定基线文本；相较于通用设计文档，工艺标准细分至各加工工序、设备类型，文档数量更多、细分条款更细碎，基线Token消耗在总消耗量中占比长期居高不下，形成稳定持续的基础Token负载。</w:t>
      </w:r>
    </w:p>
    <w:p>
      <w:pPr>
        <w:numPr>
          <w:ilvl w:val="255"/>
          <w:numId w:val="0"/>
        </w:numPr>
        <w:ind w:firstLine="642" w:firstLineChars="200"/>
        <w:rPr>
          <w:color w:val="000000" w:themeColor="text1"/>
          <w14:textFill>
            <w14:solidFill>
              <w14:schemeClr w14:val="tx1"/>
            </w14:solidFill>
          </w14:textFill>
        </w:rPr>
      </w:pPr>
      <w:r>
        <w:rPr>
          <w:rFonts w:hint="eastAsia"/>
          <w:b/>
          <w:bCs/>
          <w:color w:val="000000" w:themeColor="text1"/>
          <w14:textFill>
            <w14:solidFill>
              <w14:schemeClr w14:val="tx1"/>
            </w14:solidFill>
          </w14:textFill>
        </w:rPr>
        <w:t>二是多源数据融合推理催生超长拼接上下文，任务间Token消耗两极分化</w:t>
      </w:r>
      <w:r>
        <w:rPr>
          <w:rFonts w:hint="eastAsia"/>
          <w:color w:val="000000" w:themeColor="text1"/>
          <w14:textFill>
            <w14:solidFill>
              <w14:schemeClr w14:val="tx1"/>
            </w14:solidFill>
          </w14:textFill>
        </w:rPr>
        <w:t>。工艺路线生成、工艺参数多方案推优任务需要同时整合三维模型属性、BOM物料清单、历史加工案例、设备产能约束、质量标准多类异构文本数据，多源信息拼接后形成超长输入上下文，单次推理Token消耗量级极高；而单条工艺参数查询、简易合规核验仅需简短提问与局部标准比对，单次Token体量极低。轻量化查询与多源融合生成任务随机穿插执行，两类任务Token规模差距显著，整体Token负载波动分化特征突出。</w:t>
      </w:r>
    </w:p>
    <w:p>
      <w:pPr>
        <w:numPr>
          <w:ilvl w:val="255"/>
          <w:numId w:val="0"/>
        </w:numPr>
        <w:ind w:firstLine="642" w:firstLineChars="200"/>
        <w:rPr>
          <w:color w:val="000000" w:themeColor="text1"/>
          <w14:textFill>
            <w14:solidFill>
              <w14:schemeClr w14:val="tx1"/>
            </w14:solidFill>
          </w14:textFill>
        </w:rPr>
      </w:pPr>
      <w:r>
        <w:rPr>
          <w:rFonts w:hint="eastAsia"/>
          <w:b/>
          <w:bCs/>
          <w:color w:val="000000" w:themeColor="text1"/>
          <w14:textFill>
            <w14:solidFill>
              <w14:schemeClr w14:val="tx1"/>
            </w14:solidFill>
          </w14:textFill>
        </w:rPr>
        <w:t>三是输出Token远大于输入的消耗失衡特征。</w:t>
      </w:r>
      <w:r>
        <w:rPr>
          <w:rFonts w:hint="eastAsia"/>
          <w:color w:val="000000" w:themeColor="text1"/>
          <w14:textFill>
            <w14:solidFill>
              <w14:schemeClr w14:val="tx1"/>
            </w14:solidFill>
          </w14:textFill>
        </w:rPr>
        <w:t>用户仅输入BOM、基础产品属性等简短输入信息，模型需要输出完整工序排布、设备选型、工时测算、操作步骤、质量检验要求等结构化长文本方案，输出文本篇幅、Token总量数倍于输入内容，形成“短输入、长输出”的失衡消耗结构，拉高单任务整体Token占用。</w:t>
      </w:r>
    </w:p>
    <w:p>
      <w:pPr>
        <w:numPr>
          <w:ilvl w:val="255"/>
          <w:numId w:val="0"/>
        </w:numPr>
        <w:ind w:firstLine="642" w:firstLineChars="200"/>
      </w:pPr>
      <w:r>
        <w:rPr>
          <w:rFonts w:hint="eastAsia"/>
          <w:b/>
          <w:bCs/>
          <w:color w:val="000000" w:themeColor="text1"/>
          <w14:textFill>
            <w14:solidFill>
              <w14:schemeClr w14:val="tx1"/>
            </w14:solidFill>
          </w14:textFill>
        </w:rPr>
        <w:t>四是常规交互流量平缓，无突发瞬时并发Token尖峰。</w:t>
      </w:r>
      <w:r>
        <w:rPr>
          <w:rFonts w:hint="eastAsia"/>
          <w:color w:val="000000" w:themeColor="text1"/>
          <w14:textFill>
            <w14:solidFill>
              <w14:schemeClr w14:val="tx1"/>
            </w14:solidFill>
          </w14:textFill>
        </w:rPr>
        <w:t>日常工艺查标准、单参数咨询、简易工艺微调等常规操作由工艺工程师手动按需发起，请求节奏跟随研发工作时段均匀分散，不存在事件驱动的海量同步推理需求。仅项目批量工艺标准化、工艺集中变更阶段出现Token消耗小幅抬升，无秒级海量并发请求，流量曲线整体平稳，不存在重尾分布的极端峰值负载。</w:t>
      </w:r>
    </w:p>
    <w:p>
      <w:pPr>
        <w:numPr>
          <w:ilvl w:val="255"/>
          <w:numId w:val="0"/>
        </w:numPr>
        <w:ind w:firstLine="642" w:firstLineChars="200"/>
        <w:rPr>
          <w:b/>
          <w:bCs/>
          <w:color w:val="000000" w:themeColor="text1"/>
          <w14:textFill>
            <w14:solidFill>
              <w14:schemeClr w14:val="tx1"/>
            </w14:solidFill>
          </w14:textFill>
        </w:rPr>
      </w:pPr>
      <w:r>
        <w:rPr>
          <w:rFonts w:hint="eastAsia"/>
          <w:b/>
          <w:bCs/>
          <w:color w:val="000000" w:themeColor="text1"/>
          <w14:textFill>
            <w14:solidFill>
              <w14:schemeClr w14:val="tx1"/>
            </w14:solidFill>
          </w14:textFill>
        </w:rPr>
        <w:t>（2）Token管理侧重点</w:t>
      </w:r>
    </w:p>
    <w:p>
      <w:pPr>
        <w:numPr>
          <w:ilvl w:val="255"/>
          <w:numId w:val="0"/>
        </w:numPr>
        <w:ind w:firstLine="642" w:firstLineChars="200"/>
      </w:pPr>
      <w:r>
        <w:rPr>
          <w:rFonts w:hint="eastAsia"/>
          <w:b/>
          <w:bCs/>
        </w:rPr>
        <w:t>搭建知识库分层缓存与切片检索轻量化管控机制</w:t>
      </w:r>
      <w:r>
        <w:rPr>
          <w:rFonts w:hint="eastAsia"/>
        </w:rPr>
        <w:t>。区分知识检索、合规校验、工艺路线生成、SOP生成、变更影响分析等场景，采用精简工程术语与标准化输出格式，统一字段顺序与表格结构，压缩输入输出文本Token体量。定期基于工艺人员反馈与运行日志淘汰低效模板。</w:t>
      </w:r>
    </w:p>
    <w:p>
      <w:pPr>
        <w:numPr>
          <w:ilvl w:val="255"/>
          <w:numId w:val="0"/>
        </w:numPr>
        <w:ind w:firstLine="642" w:firstLineChars="200"/>
      </w:pPr>
      <w:r>
        <w:rPr>
          <w:rFonts w:hint="eastAsia"/>
          <w:b/>
          <w:bCs/>
        </w:rPr>
        <w:t>建立任务分级路由与独立配额隔离机制</w:t>
      </w:r>
      <w:r>
        <w:rPr>
          <w:rFonts w:hint="eastAsia"/>
        </w:rPr>
        <w:t>。一是单参数查询、简易合规核验下沉至轻量化小模型，仅工艺路线生成、多参数方案推优等多源融合任务调度高阶大模型，消除低复杂度任务调用大模型产生的无效Token损耗。二是公有云架构下为两类任务分配独立月度Token预算，本地部署架构设置专属算力资源池，限制批量工艺生成任务的并发上限。三是超长上下文自动分片拆分，对整合BOM、三维模型、历史案例的超长推理请求分段执行，降低单次推理峰值Token负载，平衡整体资源波动。</w:t>
      </w:r>
    </w:p>
    <w:p>
      <w:pPr>
        <w:numPr>
          <w:ilvl w:val="255"/>
          <w:numId w:val="0"/>
        </w:numPr>
        <w:ind w:firstLine="642" w:firstLineChars="200"/>
      </w:pPr>
      <w:r>
        <w:rPr>
          <w:rFonts w:hint="eastAsia"/>
          <w:b/>
          <w:bCs/>
        </w:rPr>
        <w:t>设置生成式任务自适应输出约束策略。</w:t>
      </w:r>
      <w:r>
        <w:rPr>
          <w:rFonts w:hint="eastAsia"/>
        </w:rPr>
        <w:t>一是配置任务差异化输出Token上限，为工艺路线生成、参数推优任务设置自适应输出长度阈值，避免无限制生成冗余工序描述、重复检验条款；二是统一工艺输出结构化模板，固化工序、工时、设备参数的标准化表述格式，剔除输出文本中非必要修饰语句，压缩输出文本体量；三是搭建输出Token预警机制，公有云场景用于控制大额计费消耗，本地部署场景缓解长文本推理带来的显存占用，缩短模型推理时延。</w:t>
      </w:r>
    </w:p>
    <w:p>
      <w:pPr>
        <w:numPr>
          <w:ilvl w:val="255"/>
          <w:numId w:val="0"/>
        </w:numPr>
        <w:ind w:firstLine="642" w:firstLineChars="200"/>
      </w:pPr>
      <w:r>
        <w:rPr>
          <w:rFonts w:hint="eastAsia"/>
          <w:b/>
          <w:bCs/>
        </w:rPr>
        <w:t>简化限流规则，聚焦批量变更任务错峰调度。</w:t>
      </w:r>
      <w:r>
        <w:rPr>
          <w:rFonts w:hint="eastAsia"/>
        </w:rPr>
        <w:t>一是放开日常工程师零散查询的并发限制，保障工艺参数检索、简易微调操作的实时响应。二是针对项目批量标准化、集中工艺改版等高Token消耗工作，公有云架构下调度至夜间低峰时段执行，平抑日间计费峰值；本地部署架构可在批量任务时段临时扩容算力配额，无需长期预留冗余硬件资源。三是取消重尾流量应急熔断机制，仅设置批量任务总量阈值，兼顾研发操作流畅性与资源使用效率。</w:t>
      </w:r>
    </w:p>
    <w:p>
      <w:pPr>
        <w:pStyle w:val="4"/>
        <w:numPr>
          <w:ilvl w:val="0"/>
          <w:numId w:val="3"/>
        </w:numPr>
        <w:ind w:left="-3" w:firstLine="643" w:firstLineChars="0"/>
      </w:pPr>
      <w:bookmarkStart w:id="109" w:name="_Toc16259"/>
      <w:bookmarkStart w:id="110" w:name="_Toc2046"/>
      <w:r>
        <w:rPr>
          <w:rFonts w:hint="eastAsia"/>
        </w:rPr>
        <w:t>数字孪生工厂建设</w:t>
      </w:r>
      <w:bookmarkEnd w:id="109"/>
      <w:bookmarkEnd w:id="110"/>
    </w:p>
    <w:p>
      <w:pPr>
        <w:ind w:firstLine="640"/>
        <w:rPr>
          <w:b/>
          <w:bCs/>
        </w:rPr>
      </w:pPr>
      <w:r>
        <w:rPr>
          <w:rFonts w:hint="eastAsia"/>
        </w:rPr>
        <w:t>数字孪生工厂建设模型应用主要包括以下场景</w:t>
      </w:r>
      <w:r>
        <w:t>：</w:t>
      </w:r>
      <w:r>
        <w:rPr>
          <w:rFonts w:hint="eastAsia"/>
        </w:rPr>
        <w:t>一是设备级数字孪生。通过设备级数字孪生模型，可以实现物理设备的动态映射，实时展示设备的三维定位、运行状态及关键运行参数，不仅可实现设备健康度评估、设备预测性维护、设备异常预警和根因溯源等效果，还能与工艺参数联动，实现工艺参数根据设备状态的自适应优化。二是产线级数字孪生。通过构建产线级数字孪生模型，可以实现在虚拟环境中模拟真实的生产节拍、物流动线和人员配置，实现智能物流调度、虚拟试产与产线规划验证、生产调度优化等效果。三是工厂级数字孪生。新建工厂通过数字化交付，现役工厂通过激光扫描智能重建构建工厂级数字孪生，可以实现工厂真实竣工几何基准，消除图纸与现场的偏差，把几何模型和机理模型叠加实现OTS培训应对操作员代际更替，同时通过数字孪生体的进化实现智能工厂的进化。</w:t>
      </w:r>
    </w:p>
    <w:p>
      <w:pPr>
        <w:ind w:firstLine="643"/>
        <w:rPr>
          <w:b/>
          <w:bCs/>
        </w:rPr>
      </w:pPr>
      <w:r>
        <w:rPr>
          <w:rFonts w:hint="eastAsia"/>
          <w:b/>
          <w:bCs/>
        </w:rPr>
        <w:t>（1）Token消耗特征</w:t>
      </w:r>
    </w:p>
    <w:p>
      <w:pPr>
        <w:ind w:firstLine="643"/>
      </w:pPr>
      <w:r>
        <w:rPr>
          <w:rFonts w:hint="eastAsia"/>
          <w:b/>
          <w:bCs/>
        </w:rPr>
        <w:t>一是ReAct推理</w:t>
      </w:r>
      <w:r>
        <w:rPr>
          <w:rFonts w:hint="eastAsia"/>
          <w:b/>
          <w:bCs/>
          <w:vertAlign w:val="superscript"/>
        </w:rPr>
        <w:t>22</w:t>
      </w:r>
      <w:r>
        <w:rPr>
          <w:rFonts w:hint="eastAsia"/>
          <w:b/>
          <w:bCs/>
        </w:rPr>
        <w:t>范式导致单次任务Token消耗量大。</w:t>
      </w:r>
      <w:r>
        <w:rPr>
          <w:rFonts w:hint="eastAsia"/>
        </w:rPr>
        <w:t>与传统大语言模型的“一问一答”不同，数字孪生工厂建设侧重于任务执行，模型需采用“思考—行动—观察”的ReAct循环架构。即模型或Agent需在分析当前状态的基础上，决定下一步做什么，并调用外部工具，再读取工具返回的结果，作为下一轮思考的依据。在此架构下，排产优化、故障根因分析等高度复杂的系统工程需经数十轮“读取数据—机理仿真—方案评估—冲突调整”的迭代循环，并且频繁调用ERP、MES、IoT传感器等外部系统，才可实现效果。同时，由于每一轮的操作记录与报错信息均会作为上下文传入下一轮推理，Token消耗随循环深度持续累积；加之循环终止条件高度依赖任务复杂度，导致单次任务的消耗量难以提前预估。</w:t>
      </w:r>
    </w:p>
    <w:p>
      <w:pPr>
        <w:ind w:firstLine="643"/>
      </w:pPr>
      <w:r>
        <w:rPr>
          <w:rFonts w:hint="eastAsia"/>
          <w:b/>
          <w:bCs/>
        </w:rPr>
        <w:t>二是IT与OT异构数据融合驱动长链路推演下的Token消耗</w:t>
      </w:r>
      <w:r>
        <w:rPr>
          <w:rFonts w:hint="eastAsia"/>
        </w:rPr>
        <w:t>。数字孪生的核心价值之一就是建立“数字主线”，实现全生命周期的数据追溯。在此过程中，大模型面临的不是单一维度的问答，而是跨模态、跨系统的复杂逻辑对齐。模型需要将ERP中的结构化数据、OT层的时序数据以及工程侧的非结构化文本进行深度关联。由于这种跨域关联无法通过简单的检索完成，模型必须进行长链路的逻辑推演，以在异构数据间建立起严密的因果链条。这种深度的思维过程会产生海量的中间推理步骤，从而导致单次构建数字主线任务的推理Token消耗量呈指数级上升。</w:t>
      </w:r>
    </w:p>
    <w:p>
      <w:pPr>
        <w:ind w:firstLine="643"/>
      </w:pPr>
      <w:r>
        <w:rPr>
          <w:rFonts w:hint="eastAsia"/>
          <w:b/>
          <w:bCs/>
        </w:rPr>
        <w:t>三是多智能体协同带来Token消耗量大</w:t>
      </w:r>
      <w:r>
        <w:rPr>
          <w:rFonts w:hint="eastAsia"/>
        </w:rPr>
        <w:t>。工厂级数字孪生往往不是单一模型在工作，而是调度Agent、质检Agent、物流Agent等多个智能体协同。在多智能体工作流中，任务分配、状态同步等额外流程使成本进一步放大。完成标准任务时，多智能体系统的Token消耗量可达单智能体的15倍以上。</w:t>
      </w:r>
    </w:p>
    <w:p>
      <w:pPr>
        <w:ind w:firstLine="643" w:firstLineChars="0"/>
        <w:rPr>
          <w:b/>
          <w:bCs/>
        </w:rPr>
      </w:pPr>
      <w:r>
        <w:rPr>
          <w:rFonts w:hint="eastAsia"/>
          <w:b/>
          <w:bCs/>
        </w:rPr>
        <w:t>（2）Token管理侧重点</w:t>
      </w:r>
    </w:p>
    <w:p>
      <w:pPr>
        <w:numPr>
          <w:ilvl w:val="255"/>
          <w:numId w:val="0"/>
        </w:numPr>
        <w:ind w:firstLine="643"/>
      </w:pPr>
      <w:r>
        <w:rPr>
          <w:rFonts w:hint="eastAsia"/>
          <w:b/>
          <w:bCs/>
        </w:rPr>
        <w:t>实施推理循环截断与上下文动态裁剪。</w:t>
      </w:r>
      <w:r>
        <w:rPr>
          <w:rFonts w:hint="eastAsia"/>
        </w:rPr>
        <w:t>一是针对排产优化、故障诊断等长链路任务，在系统层设定最大ReAct循环轮数上限与Token消耗预算熔断机制。当循环超过预设阈值仍未收敛时，强制触发人工介入或降级为传统规则引擎，防止因任务复杂度不可预估导致的Token无上限消耗。二是摒弃全量历史消息拼接模式，采用“摘要+关键状态”的增量上下文管理。仅将当前步骤的核心观察结果与决策依据传入下一轮推理，对过往的操作记录、报错信息进行语义压缩或归档，阻断Token随循环深度的滚雪球式累积。三是ERP、MES等系统返回的海量JSON或报表数据，严禁全量塞入Prompt，必须经中间件提取关键字段后再喂给模型，从源头降低单次推理的输入Token基数。</w:t>
      </w:r>
    </w:p>
    <w:p>
      <w:pPr>
        <w:numPr>
          <w:ilvl w:val="255"/>
          <w:numId w:val="0"/>
        </w:numPr>
        <w:ind w:firstLine="643"/>
      </w:pPr>
      <w:r>
        <w:rPr>
          <w:rFonts w:hint="eastAsia"/>
          <w:b/>
          <w:bCs/>
        </w:rPr>
        <w:t>前置数据对齐与固化推理路径</w:t>
      </w:r>
      <w:r>
        <w:rPr>
          <w:rFonts w:hint="eastAsia"/>
        </w:rPr>
        <w:t>。一是将ERP物料编码、OT设备点位、工程文档等非结构化数据的关联关系，在推理前通过知识图谱或矢量数据库完成预映射。大模型在构建数字主线时，直接调用预对齐的实体关系，避免在推理过程中消耗海量Token进行跨模态的逻辑对齐。二是针对数字主线构建等高频长链路任务，设置固化标准的推演路径与输出格式，限制模型在异构数据对齐时的自由发挥空间，减少因发散性思考产生的无效中间Token，确保推理过程聚焦于核心因果验证。</w:t>
      </w:r>
    </w:p>
    <w:p>
      <w:pPr>
        <w:numPr>
          <w:ilvl w:val="255"/>
          <w:numId w:val="0"/>
        </w:numPr>
        <w:ind w:firstLine="643"/>
      </w:pPr>
      <w:r>
        <w:rPr>
          <w:rFonts w:hint="eastAsia"/>
          <w:b/>
          <w:bCs/>
        </w:rPr>
        <w:t>优化多Agent协作通信与分层路由机制</w:t>
      </w:r>
      <w:r>
        <w:rPr>
          <w:rFonts w:hint="eastAsia"/>
        </w:rPr>
        <w:t>。一是在多智能体工作流中，摒弃自然语言作为Agent间交互的载体，改用精简的结构化指令进行任务分配与状态同步。大幅压缩协同过程中的通信Token，使多智能体系统的额外开销控制在合理区间。二是建立“大模型统筹+小模型/规则执行”的分层架构。将调度、质检、物流等Agent中的标准化、高频次任务下沉至边缘侧小模型或传统控制算法，大模型仅作为“异常接管”与“跨域协调”的兜底节点，从架构上降低多智能体协同对大模型Token的依赖度。</w:t>
      </w:r>
    </w:p>
    <w:bookmarkEnd w:id="106"/>
    <w:p>
      <w:pPr>
        <w:pStyle w:val="2"/>
        <w:ind w:firstLine="640"/>
      </w:pPr>
      <w:bookmarkStart w:id="111" w:name="_Toc4001"/>
      <w:bookmarkStart w:id="112" w:name="_Toc12723"/>
      <w:bookmarkStart w:id="113" w:name="_Toc2458"/>
      <w:r>
        <w:rPr>
          <w:rFonts w:hint="eastAsia"/>
        </w:rPr>
        <w:t>四、企业Token管理制度建议</w:t>
      </w:r>
      <w:bookmarkEnd w:id="111"/>
      <w:bookmarkEnd w:id="112"/>
      <w:bookmarkEnd w:id="113"/>
    </w:p>
    <w:p>
      <w:pPr>
        <w:pStyle w:val="3"/>
        <w:numPr>
          <w:ilvl w:val="0"/>
          <w:numId w:val="5"/>
        </w:numPr>
        <w:ind w:firstLineChars="0"/>
        <w:rPr>
          <w:color w:val="000000" w:themeColor="text1"/>
          <w:lang w:bidi="ar"/>
          <w14:textFill>
            <w14:solidFill>
              <w14:schemeClr w14:val="tx1"/>
            </w14:solidFill>
          </w14:textFill>
        </w:rPr>
      </w:pPr>
      <w:bookmarkStart w:id="114" w:name="_Toc22718"/>
      <w:bookmarkStart w:id="115" w:name="_Toc11080"/>
      <w:bookmarkStart w:id="116" w:name="_Toc26309"/>
      <w:r>
        <w:rPr>
          <w:rFonts w:hint="eastAsia"/>
          <w:color w:val="000000" w:themeColor="text1"/>
          <w:lang w:bidi="ar"/>
          <w14:textFill>
            <w14:solidFill>
              <w14:schemeClr w14:val="tx1"/>
            </w14:solidFill>
          </w14:textFill>
        </w:rPr>
        <w:t>构建跨部门协同管理架构</w:t>
      </w:r>
      <w:bookmarkEnd w:id="114"/>
      <w:bookmarkEnd w:id="115"/>
      <w:bookmarkEnd w:id="116"/>
    </w:p>
    <w:p>
      <w:pPr>
        <w:ind w:firstLine="640"/>
        <w:rPr>
          <w:color w:val="000000" w:themeColor="text1"/>
          <w:lang w:bidi="ar"/>
          <w14:textFill>
            <w14:solidFill>
              <w14:schemeClr w14:val="tx1"/>
            </w14:solidFill>
          </w14:textFill>
        </w:rPr>
      </w:pPr>
      <w:r>
        <w:rPr>
          <w:rFonts w:hint="eastAsia"/>
          <w:color w:val="000000" w:themeColor="text1"/>
          <w:lang w:bidi="ar"/>
          <w14:textFill>
            <w14:solidFill>
              <w14:schemeClr w14:val="tx1"/>
            </w14:solidFill>
          </w14:textFill>
        </w:rPr>
        <w:t>鼓励企业结合自身经营规模、模型应用风险等级搭建适配的Token协同管理组织体系。</w:t>
      </w:r>
      <w:r>
        <w:rPr>
          <w:rFonts w:hint="eastAsia"/>
          <w:b/>
          <w:bCs/>
          <w:color w:val="000000" w:themeColor="text1"/>
          <w:lang w:bidi="ar"/>
          <w14:textFill>
            <w14:solidFill>
              <w14:schemeClr w14:val="tx1"/>
            </w14:solidFill>
          </w14:textFill>
        </w:rPr>
        <w:t>建议大型制造企业搭建完整跨部门协同治理架构</w:t>
      </w:r>
      <w:r>
        <w:rPr>
          <w:rFonts w:hint="eastAsia"/>
          <w:color w:val="000000" w:themeColor="text1"/>
          <w:lang w:bidi="ar"/>
          <w14:textFill>
            <w14:solidFill>
              <w14:schemeClr w14:val="tx1"/>
            </w14:solidFill>
          </w14:textFill>
        </w:rPr>
        <w:t>。由企业经营管理层牵头设置Token管理委员会，统筹算力资源、成本管控、数据安全全维度工作。下设技术架构、业务运营和安全合规三个专职工作组，同步吸纳生产工艺部门作为常设协同单位，建立月度例会、风险专项评审、安全事故联合复盘常态化协同机制。其中，技术架构组由数字化或IT部门主导，负责搭建Token运营管控平台、配置智能模型路由、管控系统权限，保障底层算力集群、外部配额API稳定运行，落地限流、熔断、应急算力预热等技术管控策略。业务运营组由财务及各业务部门协同，负责制定业务ROI评估标准，统筹日常Token配额的审批、分发与绩效考核。安全合规组由法务或信息安全部门等相关部门组成，负责制定数据分类分级标准，严格审核调用场景的数据出域与隐私合规风险，管理审计日志。</w:t>
      </w:r>
    </w:p>
    <w:p>
      <w:pPr>
        <w:ind w:firstLine="643"/>
        <w:rPr>
          <w:color w:val="000000" w:themeColor="text1"/>
          <w:lang w:bidi="ar"/>
          <w14:textFill>
            <w14:solidFill>
              <w14:schemeClr w14:val="tx1"/>
            </w14:solidFill>
          </w14:textFill>
        </w:rPr>
      </w:pPr>
      <w:r>
        <w:rPr>
          <w:rFonts w:hint="eastAsia"/>
          <w:b/>
          <w:bCs/>
          <w:color w:val="000000" w:themeColor="text1"/>
          <w:lang w:bidi="ar"/>
          <w14:textFill>
            <w14:solidFill>
              <w14:schemeClr w14:val="tx1"/>
            </w14:solidFill>
          </w14:textFill>
        </w:rPr>
        <w:t>建议中小企业实施风险分层轻量化管理模式</w:t>
      </w:r>
      <w:r>
        <w:rPr>
          <w:rFonts w:hint="eastAsia"/>
          <w:color w:val="000000" w:themeColor="text1"/>
          <w:lang w:bidi="ar"/>
          <w14:textFill>
            <w14:solidFill>
              <w14:schemeClr w14:val="tx1"/>
            </w14:solidFill>
          </w14:textFill>
        </w:rPr>
        <w:t>。若企业内部只涉及低风险应用场景，可采用简化组织模式，需搭建专项协同组织，明确数字化部门为归口管理主体，采用简化Token消耗台账、线上极简审批流程，聚焦基础用量统计与通用数据防护；若内部涉及中风险应用场景，建立数字化、财务、安全岗位常态化沟通机制，按需组建跨部门兼职工作小组，完善Token消耗明细台账、调用额度审批流程，每季度开展成本、使用效能复盘；若内部涉及高风险应用场景，不简化管控流程，参照大型企业全流程管理标准落地，可依托现有岗位人员组成兼职工作小组，落实分级配额审批、全量消耗台账、持续性安全审计、定期工业数据风险核查，严格管控Token交互过程中敏感工艺、工控数据泄露风险。</w:t>
      </w:r>
    </w:p>
    <w:p>
      <w:pPr>
        <w:pStyle w:val="3"/>
        <w:numPr>
          <w:ilvl w:val="0"/>
          <w:numId w:val="5"/>
        </w:numPr>
        <w:ind w:firstLineChars="0"/>
        <w:rPr>
          <w:color w:val="000000" w:themeColor="text1"/>
          <w:lang w:bidi="ar"/>
          <w14:textFill>
            <w14:solidFill>
              <w14:schemeClr w14:val="tx1"/>
            </w14:solidFill>
          </w14:textFill>
        </w:rPr>
      </w:pPr>
      <w:bookmarkStart w:id="117" w:name="_Toc22812"/>
      <w:bookmarkStart w:id="118" w:name="_Toc20873"/>
      <w:bookmarkStart w:id="119" w:name="_Toc23472"/>
      <w:r>
        <w:rPr>
          <w:rFonts w:hint="eastAsia"/>
          <w:color w:val="000000" w:themeColor="text1"/>
          <w:lang w:bidi="ar"/>
          <w14:textFill>
            <w14:solidFill>
              <w14:schemeClr w14:val="tx1"/>
            </w14:solidFill>
          </w14:textFill>
        </w:rPr>
        <w:t>实施基于角色的访问控制</w:t>
      </w:r>
      <w:bookmarkEnd w:id="117"/>
      <w:bookmarkEnd w:id="118"/>
      <w:bookmarkEnd w:id="119"/>
    </w:p>
    <w:p>
      <w:pPr>
        <w:ind w:firstLine="640"/>
        <w:rPr>
          <w:color w:val="000000" w:themeColor="text1"/>
          <w:lang w:bidi="ar"/>
          <w14:textFill>
            <w14:solidFill>
              <w14:schemeClr w14:val="tx1"/>
            </w14:solidFill>
          </w14:textFill>
        </w:rPr>
      </w:pPr>
      <w:r>
        <w:rPr>
          <w:rFonts w:hint="eastAsia"/>
          <w:color w:val="000000" w:themeColor="text1"/>
          <w:lang w:bidi="ar"/>
          <w14:textFill>
            <w14:solidFill>
              <w14:schemeClr w14:val="tx1"/>
            </w14:solidFill>
          </w14:textFill>
        </w:rPr>
        <w:t>实现调用、审批、治理的权责分离。普通员工仅分配基础配额，开放常规任务调用权限并设置月度消耗上限；业务管理者分配进阶配额，开放复杂推理权限，并赋予部门内部额度调配权；系统管理员拥有全局管控权限，负责配置路由策略与熔断机制，但需遵循职责分离原则，不直接发起业务调用。同时，设置临时提权审批，普通员工因突发任务需突破配额时，需通过系统发起申请，经直属主管与安全合规审批后，系统发放有明确有效期的Token配额。</w:t>
      </w:r>
    </w:p>
    <w:p>
      <w:pPr>
        <w:pStyle w:val="3"/>
        <w:numPr>
          <w:ilvl w:val="0"/>
          <w:numId w:val="5"/>
        </w:numPr>
        <w:ind w:firstLineChars="0"/>
        <w:rPr>
          <w:color w:val="000000" w:themeColor="text1"/>
          <w:lang w:bidi="ar"/>
          <w14:textFill>
            <w14:solidFill>
              <w14:schemeClr w14:val="tx1"/>
            </w14:solidFill>
          </w14:textFill>
        </w:rPr>
      </w:pPr>
      <w:bookmarkStart w:id="120" w:name="_Toc28765"/>
      <w:bookmarkStart w:id="121" w:name="_Toc10551"/>
      <w:r>
        <w:rPr>
          <w:rFonts w:hint="eastAsia"/>
          <w:color w:val="000000" w:themeColor="text1"/>
          <w:lang w:bidi="ar"/>
          <w14:textFill>
            <w14:solidFill>
              <w14:schemeClr w14:val="tx1"/>
            </w14:solidFill>
          </w14:textFill>
        </w:rPr>
        <w:t>构建动态的配额管控体系</w:t>
      </w:r>
      <w:bookmarkEnd w:id="120"/>
      <w:bookmarkEnd w:id="121"/>
    </w:p>
    <w:p>
      <w:pPr>
        <w:ind w:firstLine="640"/>
        <w:rPr>
          <w:color w:val="000000" w:themeColor="text1"/>
          <w:lang w:bidi="ar"/>
          <w14:textFill>
            <w14:solidFill>
              <w14:schemeClr w14:val="tx1"/>
            </w14:solidFill>
          </w14:textFill>
        </w:rPr>
      </w:pPr>
      <w:r>
        <w:rPr>
          <w:rFonts w:hint="eastAsia"/>
          <w:color w:val="000000" w:themeColor="text1"/>
          <w:lang w:bidi="ar"/>
          <w14:textFill>
            <w14:solidFill>
              <w14:schemeClr w14:val="tx1"/>
            </w14:solidFill>
          </w14:textFill>
        </w:rPr>
        <w:t>建立标准化消耗测算与基准核定。依托Token预算分析工具，对各类任务进行基准测试，测算标准Token消耗量作为核定依据，并预留一定规模的配额作为安全缓冲。针对突发任务，建立临时提权审批流，经直属主管与安全合规审批后，发放有明确有效期的临时配额。建立基于业务优先级的动态配额调度。摒弃单纯以技术指标考核配额的做法，将Token配额与产线节拍、业务波峰波谷动态绑定。对直接影响生产连续性的核心任务赋予最高优先级并设立专属Token池；对非实时任务实行弹性配额与错峰调度，防止资源挤兑。</w:t>
      </w:r>
    </w:p>
    <w:p>
      <w:pPr>
        <w:pStyle w:val="3"/>
        <w:numPr>
          <w:ilvl w:val="0"/>
          <w:numId w:val="5"/>
        </w:numPr>
        <w:ind w:firstLineChars="0"/>
        <w:rPr>
          <w:color w:val="000000" w:themeColor="text1"/>
          <w:lang w:bidi="ar"/>
          <w14:textFill>
            <w14:solidFill>
              <w14:schemeClr w14:val="tx1"/>
            </w14:solidFill>
          </w14:textFill>
        </w:rPr>
      </w:pPr>
      <w:bookmarkStart w:id="122" w:name="_Toc15855"/>
      <w:bookmarkStart w:id="123" w:name="_Toc2887"/>
      <w:bookmarkStart w:id="124" w:name="_Toc28860"/>
      <w:r>
        <w:rPr>
          <w:rFonts w:hint="eastAsia"/>
          <w:color w:val="000000" w:themeColor="text1"/>
          <w:lang w:bidi="ar"/>
          <w14:textFill>
            <w14:solidFill>
              <w14:schemeClr w14:val="tx1"/>
            </w14:solidFill>
          </w14:textFill>
        </w:rPr>
        <w:t>建立标准化管理闭环流程</w:t>
      </w:r>
      <w:bookmarkEnd w:id="122"/>
      <w:bookmarkEnd w:id="123"/>
      <w:bookmarkEnd w:id="124"/>
    </w:p>
    <w:p>
      <w:pPr>
        <w:ind w:firstLine="640"/>
        <w:rPr>
          <w:color w:val="C00000"/>
          <w:lang w:bidi="ar"/>
        </w:rPr>
      </w:pPr>
      <w:r>
        <w:rPr>
          <w:rFonts w:hint="eastAsia"/>
          <w:color w:val="000000" w:themeColor="text1"/>
          <w:lang w:bidi="ar"/>
          <w14:textFill>
            <w14:solidFill>
              <w14:schemeClr w14:val="tx1"/>
            </w14:solidFill>
          </w14:textFill>
        </w:rPr>
        <w:t>在事前申请阶段，</w:t>
      </w:r>
      <w:r>
        <w:rPr>
          <w:color w:val="000000" w:themeColor="text1"/>
          <w:lang w:bidi="ar"/>
          <w14:textFill>
            <w14:solidFill>
              <w14:schemeClr w14:val="tx1"/>
            </w14:solidFill>
          </w14:textFill>
        </w:rPr>
        <w:t>业务部门提交</w:t>
      </w:r>
      <w:r>
        <w:rPr>
          <w:rFonts w:hint="eastAsia"/>
          <w:color w:val="000000" w:themeColor="text1"/>
          <w:lang w:bidi="ar"/>
          <w14:textFill>
            <w14:solidFill>
              <w14:schemeClr w14:val="tx1"/>
            </w14:solidFill>
          </w14:textFill>
        </w:rPr>
        <w:t>含场景说明、预期ROI、预估消耗等信息的</w:t>
      </w:r>
      <w:r>
        <w:rPr>
          <w:color w:val="000000" w:themeColor="text1"/>
          <w:lang w:bidi="ar"/>
          <w14:textFill>
            <w14:solidFill>
              <w14:schemeClr w14:val="tx1"/>
            </w14:solidFill>
          </w14:textFill>
        </w:rPr>
        <w:t>调用申请</w:t>
      </w:r>
      <w:r>
        <w:rPr>
          <w:rFonts w:hint="eastAsia"/>
          <w:color w:val="000000" w:themeColor="text1"/>
          <w:lang w:bidi="ar"/>
          <w14:textFill>
            <w14:solidFill>
              <w14:schemeClr w14:val="tx1"/>
            </w14:solidFill>
          </w14:textFill>
        </w:rPr>
        <w:t>，</w:t>
      </w:r>
      <w:r>
        <w:rPr>
          <w:color w:val="000000" w:themeColor="text1"/>
          <w:lang w:bidi="ar"/>
          <w14:textFill>
            <w14:solidFill>
              <w14:schemeClr w14:val="tx1"/>
            </w14:solidFill>
          </w14:textFill>
        </w:rPr>
        <w:t>安全合规组审核数据风险</w:t>
      </w:r>
      <w:r>
        <w:rPr>
          <w:rFonts w:hint="eastAsia"/>
          <w:color w:val="000000" w:themeColor="text1"/>
          <w:lang w:bidi="ar"/>
          <w14:textFill>
            <w14:solidFill>
              <w14:schemeClr w14:val="tx1"/>
            </w14:solidFill>
          </w14:textFill>
        </w:rPr>
        <w:t>，</w:t>
      </w:r>
      <w:r>
        <w:rPr>
          <w:color w:val="000000" w:themeColor="text1"/>
          <w:lang w:bidi="ar"/>
          <w14:textFill>
            <w14:solidFill>
              <w14:schemeClr w14:val="tx1"/>
            </w14:solidFill>
          </w14:textFill>
        </w:rPr>
        <w:t>业务运营组核定配额</w:t>
      </w:r>
      <w:r>
        <w:rPr>
          <w:rFonts w:hint="eastAsia"/>
          <w:color w:val="000000" w:themeColor="text1"/>
          <w:lang w:bidi="ar"/>
          <w14:textFill>
            <w14:solidFill>
              <w14:schemeClr w14:val="tx1"/>
            </w14:solidFill>
          </w14:textFill>
        </w:rPr>
        <w:t>，</w:t>
      </w:r>
      <w:r>
        <w:rPr>
          <w:color w:val="000000" w:themeColor="text1"/>
          <w:lang w:bidi="ar"/>
          <w14:textFill>
            <w14:solidFill>
              <w14:schemeClr w14:val="tx1"/>
            </w14:solidFill>
          </w14:textFill>
        </w:rPr>
        <w:t>技术架构组分配专属API Key</w:t>
      </w:r>
      <w:r>
        <w:rPr>
          <w:rFonts w:hint="eastAsia"/>
          <w:color w:val="000000" w:themeColor="text1"/>
          <w:lang w:bidi="ar"/>
          <w14:textFill>
            <w14:solidFill>
              <w14:schemeClr w14:val="tx1"/>
            </w14:solidFill>
          </w14:textFill>
        </w:rPr>
        <w:t>，从源头控制Token体量与合规风险</w:t>
      </w:r>
      <w:r>
        <w:rPr>
          <w:color w:val="000000" w:themeColor="text1"/>
          <w:lang w:bidi="ar"/>
          <w14:textFill>
            <w14:solidFill>
              <w14:schemeClr w14:val="tx1"/>
            </w14:solidFill>
          </w14:textFill>
        </w:rPr>
        <w:t>。</w:t>
      </w:r>
      <w:r>
        <w:rPr>
          <w:rFonts w:hint="eastAsia"/>
          <w:color w:val="000000" w:themeColor="text1"/>
          <w:lang w:bidi="ar"/>
          <w14:textFill>
            <w14:solidFill>
              <w14:schemeClr w14:val="tx1"/>
            </w14:solidFill>
          </w14:textFill>
        </w:rPr>
        <w:t>在事中监控阶段，</w:t>
      </w:r>
      <w:r>
        <w:rPr>
          <w:color w:val="000000" w:themeColor="text1"/>
          <w:lang w:bidi="ar"/>
          <w14:textFill>
            <w14:solidFill>
              <w14:schemeClr w14:val="tx1"/>
            </w14:solidFill>
          </w14:textFill>
        </w:rPr>
        <w:t>系统实时监控Token消耗流，一旦逼近预算红线</w:t>
      </w:r>
      <w:r>
        <w:rPr>
          <w:rFonts w:hint="eastAsia"/>
          <w:color w:val="000000" w:themeColor="text1"/>
          <w:lang w:bidi="ar"/>
          <w14:textFill>
            <w14:solidFill>
              <w14:schemeClr w14:val="tx1"/>
            </w14:solidFill>
          </w14:textFill>
        </w:rPr>
        <w:t>、触发单次调用超限或出现短时并发突增，自动触发熔断机制中断请求，并向项目负责人推送告警，坚决杜绝成本失控</w:t>
      </w:r>
      <w:r>
        <w:rPr>
          <w:color w:val="000000" w:themeColor="text1"/>
          <w:lang w:bidi="ar"/>
          <w14:textFill>
            <w14:solidFill>
              <w14:schemeClr w14:val="tx1"/>
            </w14:solidFill>
          </w14:textFill>
        </w:rPr>
        <w:t>。</w:t>
      </w:r>
      <w:r>
        <w:rPr>
          <w:rFonts w:hint="eastAsia"/>
          <w:color w:val="000000" w:themeColor="text1"/>
          <w:lang w:bidi="ar"/>
          <w14:textFill>
            <w14:solidFill>
              <w14:schemeClr w14:val="tx1"/>
            </w14:solidFill>
          </w14:textFill>
        </w:rPr>
        <w:t>在事后审计阶段，</w:t>
      </w:r>
      <w:r>
        <w:rPr>
          <w:color w:val="000000" w:themeColor="text1"/>
          <w:lang w:bidi="ar"/>
          <w14:textFill>
            <w14:solidFill>
              <w14:schemeClr w14:val="tx1"/>
            </w14:solidFill>
          </w14:textFill>
        </w:rPr>
        <w:t>建立请求级成本归因体系，</w:t>
      </w:r>
      <w:r>
        <w:rPr>
          <w:rFonts w:hint="eastAsia"/>
          <w:color w:val="000000" w:themeColor="text1"/>
          <w:lang w:bidi="ar"/>
          <w14:textFill>
            <w14:solidFill>
              <w14:schemeClr w14:val="tx1"/>
            </w14:solidFill>
          </w14:textFill>
        </w:rPr>
        <w:t>将Token消耗精细分摊至具体任务、工段或部门，每月输出Token消耗账单。将Token消耗与真实业务产出挂钩，构建“单位业务效能Token成本”指标，对高耗低效场景强制要求整改、降级模型或关停，确保Token投入转化为实际业务价值。</w:t>
      </w:r>
    </w:p>
    <w:p>
      <w:pPr>
        <w:ind w:firstLine="0" w:firstLineChars="0"/>
      </w:pPr>
    </w:p>
    <w:p>
      <w:pPr>
        <w:ind w:firstLine="0" w:firstLineChars="0"/>
        <w:sectPr>
          <w:footerReference r:id="rId12" w:type="default"/>
          <w:endnotePr>
            <w:numFmt w:val="decimal"/>
          </w:endnotePr>
          <w:pgSz w:w="11906" w:h="16838"/>
          <w:pgMar w:top="1814" w:right="1531" w:bottom="1985" w:left="1531" w:header="851" w:footer="992" w:gutter="0"/>
          <w:pgNumType w:start="1"/>
          <w:cols w:space="425" w:num="1"/>
          <w:docGrid w:type="lines" w:linePitch="312" w:charSpace="0"/>
        </w:sectPr>
      </w:pPr>
    </w:p>
    <w:p>
      <w:pPr>
        <w:pStyle w:val="2"/>
        <w:ind w:firstLine="0" w:firstLineChars="0"/>
        <w:jc w:val="left"/>
      </w:pPr>
      <w:bookmarkStart w:id="125" w:name="_Toc18100"/>
      <w:bookmarkStart w:id="126" w:name="_Toc11660"/>
      <w:bookmarkStart w:id="127" w:name="_Toc10848"/>
      <w:r>
        <w:rPr>
          <w:rFonts w:hint="eastAsia"/>
        </w:rPr>
        <w:t>附件</w:t>
      </w:r>
    </w:p>
    <w:p>
      <w:pPr>
        <w:pStyle w:val="2"/>
        <w:ind w:firstLine="0" w:firstLineChars="0"/>
        <w:jc w:val="center"/>
      </w:pPr>
      <w:r>
        <w:rPr>
          <w:rFonts w:hint="eastAsia" w:ascii="方正小标宋_GBK" w:hAnsi="方正小标宋_GBK" w:eastAsia="方正小标宋_GBK" w:cs="方正小标宋_GBK"/>
          <w:sz w:val="44"/>
          <w:szCs w:val="44"/>
        </w:rPr>
        <w:t>技术名词介绍</w:t>
      </w:r>
      <w:bookmarkEnd w:id="125"/>
      <w:bookmarkEnd w:id="126"/>
      <w:bookmarkEnd w:id="127"/>
    </w:p>
    <w:tbl>
      <w:tblPr>
        <w:tblStyle w:val="25"/>
        <w:tblW w:w="8630" w:type="dxa"/>
        <w:jc w:val="center"/>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777"/>
        <w:gridCol w:w="1206"/>
        <w:gridCol w:w="2045"/>
        <w:gridCol w:w="4602"/>
      </w:tblGrid>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30" w:hRule="atLeast"/>
          <w:jc w:val="center"/>
        </w:trPr>
        <w:tc>
          <w:tcPr>
            <w:tcW w:w="777" w:type="dxa"/>
            <w:tcBorders>
              <w:top w:val="single" w:color="auto" w:sz="4" w:space="0"/>
              <w:left w:val="single" w:color="auto" w:sz="4" w:space="0"/>
              <w:bottom w:val="single" w:color="auto" w:sz="4" w:space="0"/>
              <w:right w:val="single" w:color="auto" w:sz="4" w:space="0"/>
              <w:tl2br w:val="nil"/>
              <w:tr2bl w:val="nil"/>
            </w:tcBorders>
            <w:vAlign w:val="center"/>
          </w:tcPr>
          <w:p>
            <w:pPr>
              <w:spacing w:line="400" w:lineRule="exact"/>
              <w:ind w:firstLine="0" w:firstLineChars="0"/>
              <w:jc w:val="center"/>
              <w:textAlignment w:val="center"/>
              <w:rPr>
                <w:rFonts w:ascii="方正黑体_GBK" w:eastAsia="方正黑体_GBK" w:cs="Times New Roman"/>
                <w:color w:val="000000"/>
                <w:sz w:val="24"/>
              </w:rPr>
            </w:pPr>
            <w:r>
              <w:rPr>
                <w:rFonts w:hint="eastAsia" w:ascii="方正黑体_GBK" w:eastAsia="方正黑体_GBK" w:cs="Times New Roman"/>
                <w:color w:val="000000"/>
                <w:kern w:val="0"/>
                <w:sz w:val="24"/>
                <w:lang w:bidi="ar"/>
              </w:rPr>
              <w:t>序号</w:t>
            </w:r>
          </w:p>
        </w:tc>
        <w:tc>
          <w:tcPr>
            <w:tcW w:w="1206" w:type="dxa"/>
            <w:tcBorders>
              <w:top w:val="single" w:color="auto" w:sz="4" w:space="0"/>
              <w:left w:val="single" w:color="auto" w:sz="4" w:space="0"/>
              <w:bottom w:val="single" w:color="auto" w:sz="4" w:space="0"/>
              <w:right w:val="single" w:color="auto" w:sz="4" w:space="0"/>
              <w:tl2br w:val="nil"/>
              <w:tr2bl w:val="nil"/>
            </w:tcBorders>
            <w:vAlign w:val="center"/>
          </w:tcPr>
          <w:p>
            <w:pPr>
              <w:spacing w:line="400" w:lineRule="exact"/>
              <w:ind w:firstLine="0" w:firstLineChars="0"/>
              <w:jc w:val="center"/>
              <w:textAlignment w:val="center"/>
              <w:rPr>
                <w:rFonts w:ascii="方正黑体_GBK" w:eastAsia="方正黑体_GBK" w:cs="Times New Roman"/>
                <w:color w:val="000000"/>
                <w:sz w:val="24"/>
              </w:rPr>
            </w:pPr>
            <w:r>
              <w:rPr>
                <w:rFonts w:hint="eastAsia" w:ascii="方正黑体_GBK" w:eastAsia="方正黑体_GBK" w:cs="Times New Roman"/>
                <w:color w:val="000000"/>
                <w:kern w:val="0"/>
                <w:sz w:val="24"/>
                <w:lang w:bidi="ar"/>
              </w:rPr>
              <w:t>专业名词</w:t>
            </w:r>
          </w:p>
        </w:tc>
        <w:tc>
          <w:tcPr>
            <w:tcW w:w="2045" w:type="dxa"/>
            <w:tcBorders>
              <w:top w:val="single" w:color="auto" w:sz="4" w:space="0"/>
              <w:left w:val="single" w:color="auto" w:sz="4" w:space="0"/>
              <w:bottom w:val="single" w:color="auto" w:sz="4" w:space="0"/>
              <w:right w:val="single" w:color="auto" w:sz="4" w:space="0"/>
              <w:tl2br w:val="nil"/>
              <w:tr2bl w:val="nil"/>
            </w:tcBorders>
            <w:vAlign w:val="center"/>
          </w:tcPr>
          <w:p>
            <w:pPr>
              <w:spacing w:line="400" w:lineRule="exact"/>
              <w:ind w:firstLine="0" w:firstLineChars="0"/>
              <w:jc w:val="center"/>
              <w:textAlignment w:val="center"/>
              <w:rPr>
                <w:rFonts w:ascii="方正黑体_GBK" w:eastAsia="方正黑体_GBK" w:cs="Times New Roman"/>
                <w:color w:val="000000"/>
                <w:sz w:val="24"/>
              </w:rPr>
            </w:pPr>
            <w:r>
              <w:rPr>
                <w:rFonts w:hint="eastAsia" w:ascii="方正黑体_GBK" w:eastAsia="方正黑体_GBK" w:cs="Times New Roman"/>
                <w:color w:val="000000"/>
                <w:kern w:val="0"/>
                <w:sz w:val="24"/>
                <w:lang w:bidi="ar"/>
              </w:rPr>
              <w:t>中文/英文</w:t>
            </w:r>
          </w:p>
        </w:tc>
        <w:tc>
          <w:tcPr>
            <w:tcW w:w="4602" w:type="dxa"/>
            <w:tcBorders>
              <w:top w:val="single" w:color="auto" w:sz="4" w:space="0"/>
              <w:left w:val="single" w:color="auto" w:sz="4" w:space="0"/>
              <w:bottom w:val="single" w:color="auto" w:sz="4" w:space="0"/>
              <w:right w:val="single" w:color="auto" w:sz="4" w:space="0"/>
              <w:tl2br w:val="nil"/>
              <w:tr2bl w:val="nil"/>
            </w:tcBorders>
            <w:vAlign w:val="center"/>
          </w:tcPr>
          <w:p>
            <w:pPr>
              <w:spacing w:line="400" w:lineRule="exact"/>
              <w:ind w:firstLine="0" w:firstLineChars="0"/>
              <w:jc w:val="center"/>
              <w:textAlignment w:val="center"/>
              <w:rPr>
                <w:rFonts w:hint="eastAsia" w:ascii="方正黑体_GBK" w:hAnsi="宋体" w:eastAsia="方正黑体_GBK"/>
                <w:color w:val="000000"/>
                <w:sz w:val="24"/>
              </w:rPr>
            </w:pPr>
            <w:r>
              <w:rPr>
                <w:rFonts w:hint="eastAsia" w:ascii="方正黑体_GBK" w:hAnsi="宋体" w:eastAsia="方正黑体_GBK"/>
                <w:color w:val="000000"/>
                <w:kern w:val="0"/>
                <w:sz w:val="24"/>
                <w:lang w:bidi="ar"/>
              </w:rPr>
              <w:t>释义解释</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645" w:hRule="atLeast"/>
          <w:jc w:val="center"/>
        </w:trPr>
        <w:tc>
          <w:tcPr>
            <w:tcW w:w="777" w:type="dxa"/>
            <w:tcBorders>
              <w:top w:val="single" w:color="auto" w:sz="4" w:space="0"/>
              <w:left w:val="single" w:color="auto" w:sz="4" w:space="0"/>
              <w:bottom w:val="single" w:color="auto" w:sz="4" w:space="0"/>
              <w:right w:val="single" w:color="auto" w:sz="4" w:space="0"/>
              <w:tl2br w:val="nil"/>
              <w:tr2bl w:val="nil"/>
            </w:tcBorders>
            <w:vAlign w:val="center"/>
          </w:tcPr>
          <w:p>
            <w:pPr>
              <w:spacing w:line="400" w:lineRule="exact"/>
              <w:ind w:firstLine="0" w:firstLineChars="0"/>
              <w:jc w:val="center"/>
              <w:textAlignment w:val="center"/>
              <w:rPr>
                <w:rFonts w:cs="Times New Roman"/>
                <w:color w:val="000000"/>
                <w:sz w:val="24"/>
              </w:rPr>
            </w:pPr>
            <w:r>
              <w:rPr>
                <w:rFonts w:cs="Times New Roman"/>
                <w:color w:val="000000"/>
                <w:kern w:val="0"/>
                <w:sz w:val="24"/>
                <w:lang w:bidi="ar"/>
              </w:rPr>
              <w:t>1</w:t>
            </w:r>
          </w:p>
        </w:tc>
        <w:tc>
          <w:tcPr>
            <w:tcW w:w="1206" w:type="dxa"/>
            <w:tcBorders>
              <w:top w:val="single" w:color="auto" w:sz="4" w:space="0"/>
              <w:left w:val="single" w:color="auto" w:sz="4" w:space="0"/>
              <w:bottom w:val="single" w:color="auto" w:sz="4" w:space="0"/>
              <w:right w:val="single" w:color="auto" w:sz="4" w:space="0"/>
              <w:tl2br w:val="nil"/>
              <w:tr2bl w:val="nil"/>
            </w:tcBorders>
            <w:vAlign w:val="center"/>
          </w:tcPr>
          <w:p>
            <w:pPr>
              <w:spacing w:line="400" w:lineRule="exact"/>
              <w:ind w:firstLine="0" w:firstLineChars="0"/>
              <w:jc w:val="center"/>
              <w:textAlignment w:val="center"/>
              <w:rPr>
                <w:rFonts w:cs="Times New Roman"/>
                <w:color w:val="000000"/>
                <w:sz w:val="24"/>
              </w:rPr>
            </w:pPr>
            <w:r>
              <w:rPr>
                <w:rFonts w:cs="Times New Roman"/>
                <w:color w:val="000000"/>
                <w:kern w:val="0"/>
                <w:sz w:val="24"/>
                <w:lang w:bidi="ar"/>
              </w:rPr>
              <w:t>Token</w:t>
            </w:r>
          </w:p>
        </w:tc>
        <w:tc>
          <w:tcPr>
            <w:tcW w:w="2045" w:type="dxa"/>
            <w:tcBorders>
              <w:top w:val="single" w:color="auto" w:sz="4" w:space="0"/>
              <w:left w:val="single" w:color="auto" w:sz="4" w:space="0"/>
              <w:bottom w:val="single" w:color="auto" w:sz="4" w:space="0"/>
              <w:right w:val="single" w:color="auto" w:sz="4" w:space="0"/>
              <w:tl2br w:val="nil"/>
              <w:tr2bl w:val="nil"/>
            </w:tcBorders>
            <w:vAlign w:val="center"/>
          </w:tcPr>
          <w:p>
            <w:pPr>
              <w:spacing w:line="400" w:lineRule="exact"/>
              <w:ind w:firstLine="0" w:firstLineChars="0"/>
              <w:jc w:val="center"/>
              <w:textAlignment w:val="center"/>
              <w:rPr>
                <w:rFonts w:cs="Times New Roman"/>
                <w:color w:val="000000"/>
                <w:sz w:val="24"/>
              </w:rPr>
            </w:pPr>
            <w:r>
              <w:rPr>
                <w:rFonts w:cs="Times New Roman"/>
                <w:color w:val="000000"/>
                <w:kern w:val="0"/>
                <w:sz w:val="24"/>
                <w:lang w:bidi="ar"/>
              </w:rPr>
              <w:t>词元</w:t>
            </w:r>
          </w:p>
        </w:tc>
        <w:tc>
          <w:tcPr>
            <w:tcW w:w="4602" w:type="dxa"/>
            <w:tcBorders>
              <w:top w:val="single" w:color="auto" w:sz="4" w:space="0"/>
              <w:left w:val="single" w:color="auto" w:sz="4" w:space="0"/>
              <w:bottom w:val="single" w:color="auto" w:sz="4" w:space="0"/>
              <w:right w:val="single" w:color="auto" w:sz="4" w:space="0"/>
              <w:tl2br w:val="nil"/>
              <w:tr2bl w:val="nil"/>
            </w:tcBorders>
            <w:vAlign w:val="center"/>
          </w:tcPr>
          <w:p>
            <w:pPr>
              <w:spacing w:line="340" w:lineRule="exact"/>
              <w:ind w:firstLine="0" w:firstLineChars="0"/>
              <w:textAlignment w:val="center"/>
              <w:rPr>
                <w:rFonts w:cs="Times New Roman"/>
                <w:color w:val="000000"/>
                <w:sz w:val="24"/>
              </w:rPr>
            </w:pPr>
            <w:r>
              <w:rPr>
                <w:rFonts w:cs="Times New Roman"/>
                <w:color w:val="000000"/>
                <w:kern w:val="0"/>
                <w:sz w:val="24"/>
                <w:lang w:bidi="ar"/>
              </w:rPr>
              <w:t>大语言模型处理文本的基本单位，通常对应一个词、词的一部分或一个字符。模型将输入文本切分为</w:t>
            </w:r>
            <w:r>
              <w:rPr>
                <w:rStyle w:val="53"/>
                <w:lang w:bidi="ar"/>
              </w:rPr>
              <w:t>Token</w:t>
            </w:r>
            <w:r>
              <w:rPr>
                <w:rStyle w:val="54"/>
                <w:rFonts w:hint="default" w:ascii="Times New Roman" w:hAnsi="Times New Roman" w:eastAsia="方正仿宋_GBK" w:cs="Times New Roman"/>
                <w:lang w:bidi="ar"/>
              </w:rPr>
              <w:t>后进行理解和生成，一个中文汉字通常对应</w:t>
            </w:r>
            <w:r>
              <w:rPr>
                <w:rStyle w:val="53"/>
                <w:lang w:bidi="ar"/>
              </w:rPr>
              <w:t>1~2</w:t>
            </w:r>
            <w:r>
              <w:rPr>
                <w:rStyle w:val="54"/>
                <w:rFonts w:hint="default" w:ascii="Times New Roman" w:hAnsi="Times New Roman" w:eastAsia="方正仿宋_GBK" w:cs="Times New Roman"/>
                <w:lang w:bidi="ar"/>
              </w:rPr>
              <w:t>个</w:t>
            </w:r>
            <w:r>
              <w:rPr>
                <w:rStyle w:val="53"/>
                <w:lang w:bidi="ar"/>
              </w:rPr>
              <w:t>Token</w:t>
            </w:r>
            <w:r>
              <w:rPr>
                <w:rStyle w:val="54"/>
                <w:rFonts w:hint="default" w:ascii="Times New Roman" w:hAnsi="Times New Roman" w:eastAsia="方正仿宋_GBK" w:cs="Times New Roman"/>
                <w:lang w:bidi="ar"/>
              </w:rPr>
              <w:t>。</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645" w:hRule="atLeast"/>
          <w:jc w:val="center"/>
        </w:trPr>
        <w:tc>
          <w:tcPr>
            <w:tcW w:w="777" w:type="dxa"/>
            <w:tcBorders>
              <w:top w:val="single" w:color="auto" w:sz="4" w:space="0"/>
              <w:left w:val="single" w:color="auto" w:sz="4" w:space="0"/>
              <w:bottom w:val="single" w:color="auto" w:sz="4" w:space="0"/>
              <w:right w:val="single" w:color="auto" w:sz="4" w:space="0"/>
              <w:tl2br w:val="nil"/>
              <w:tr2bl w:val="nil"/>
            </w:tcBorders>
            <w:vAlign w:val="center"/>
          </w:tcPr>
          <w:p>
            <w:pPr>
              <w:spacing w:line="400" w:lineRule="exact"/>
              <w:ind w:firstLine="0" w:firstLineChars="0"/>
              <w:jc w:val="center"/>
              <w:textAlignment w:val="center"/>
              <w:rPr>
                <w:rFonts w:cs="Times New Roman"/>
                <w:color w:val="000000"/>
                <w:sz w:val="24"/>
              </w:rPr>
            </w:pPr>
            <w:r>
              <w:rPr>
                <w:rFonts w:cs="Times New Roman"/>
                <w:color w:val="000000"/>
                <w:kern w:val="0"/>
                <w:sz w:val="24"/>
                <w:lang w:bidi="ar"/>
              </w:rPr>
              <w:t>2</w:t>
            </w:r>
          </w:p>
        </w:tc>
        <w:tc>
          <w:tcPr>
            <w:tcW w:w="1206" w:type="dxa"/>
            <w:tcBorders>
              <w:top w:val="single" w:color="auto" w:sz="4" w:space="0"/>
              <w:left w:val="single" w:color="auto" w:sz="4" w:space="0"/>
              <w:bottom w:val="single" w:color="auto" w:sz="4" w:space="0"/>
              <w:right w:val="single" w:color="auto" w:sz="4" w:space="0"/>
              <w:tl2br w:val="nil"/>
              <w:tr2bl w:val="nil"/>
            </w:tcBorders>
            <w:vAlign w:val="center"/>
          </w:tcPr>
          <w:p>
            <w:pPr>
              <w:spacing w:line="400" w:lineRule="exact"/>
              <w:ind w:firstLine="0" w:firstLineChars="0"/>
              <w:jc w:val="center"/>
              <w:textAlignment w:val="center"/>
              <w:rPr>
                <w:rFonts w:cs="Times New Roman"/>
                <w:color w:val="000000"/>
                <w:sz w:val="24"/>
              </w:rPr>
            </w:pPr>
            <w:r>
              <w:rPr>
                <w:rFonts w:cs="Times New Roman"/>
                <w:color w:val="000000"/>
                <w:kern w:val="0"/>
                <w:sz w:val="24"/>
                <w:lang w:bidi="ar"/>
              </w:rPr>
              <w:t>Agent</w:t>
            </w:r>
          </w:p>
        </w:tc>
        <w:tc>
          <w:tcPr>
            <w:tcW w:w="2045" w:type="dxa"/>
            <w:tcBorders>
              <w:top w:val="single" w:color="auto" w:sz="4" w:space="0"/>
              <w:left w:val="single" w:color="auto" w:sz="4" w:space="0"/>
              <w:bottom w:val="single" w:color="auto" w:sz="4" w:space="0"/>
              <w:right w:val="single" w:color="auto" w:sz="4" w:space="0"/>
              <w:tl2br w:val="nil"/>
              <w:tr2bl w:val="nil"/>
            </w:tcBorders>
            <w:vAlign w:val="center"/>
          </w:tcPr>
          <w:p>
            <w:pPr>
              <w:spacing w:line="400" w:lineRule="exact"/>
              <w:ind w:firstLine="0" w:firstLineChars="0"/>
              <w:jc w:val="center"/>
              <w:textAlignment w:val="center"/>
              <w:rPr>
                <w:rFonts w:cs="Times New Roman"/>
                <w:color w:val="000000"/>
                <w:sz w:val="24"/>
              </w:rPr>
            </w:pPr>
            <w:r>
              <w:rPr>
                <w:rFonts w:cs="Times New Roman"/>
                <w:color w:val="000000"/>
                <w:kern w:val="0"/>
                <w:sz w:val="24"/>
                <w:lang w:bidi="ar"/>
              </w:rPr>
              <w:t>智能体</w:t>
            </w:r>
          </w:p>
        </w:tc>
        <w:tc>
          <w:tcPr>
            <w:tcW w:w="4602" w:type="dxa"/>
            <w:tcBorders>
              <w:top w:val="single" w:color="auto" w:sz="4" w:space="0"/>
              <w:left w:val="single" w:color="auto" w:sz="4" w:space="0"/>
              <w:bottom w:val="single" w:color="auto" w:sz="4" w:space="0"/>
              <w:right w:val="single" w:color="auto" w:sz="4" w:space="0"/>
              <w:tl2br w:val="nil"/>
              <w:tr2bl w:val="nil"/>
            </w:tcBorders>
            <w:vAlign w:val="center"/>
          </w:tcPr>
          <w:p>
            <w:pPr>
              <w:spacing w:line="340" w:lineRule="exact"/>
              <w:ind w:firstLine="0" w:firstLineChars="0"/>
              <w:textAlignment w:val="center"/>
              <w:rPr>
                <w:rFonts w:cs="Times New Roman"/>
                <w:color w:val="000000"/>
                <w:sz w:val="24"/>
              </w:rPr>
            </w:pPr>
            <w:r>
              <w:rPr>
                <w:rFonts w:cs="Times New Roman"/>
                <w:color w:val="000000"/>
                <w:kern w:val="0"/>
                <w:sz w:val="24"/>
                <w:lang w:bidi="ar"/>
              </w:rPr>
              <w:t>能够感知环境、自主决策并采取行动以达成目标的智能系统。在AI领域，Agent可以理解为具备规划、记忆、工具使用等能力的智能程序，能自动完成复杂任务。</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645" w:hRule="atLeast"/>
          <w:jc w:val="center"/>
        </w:trPr>
        <w:tc>
          <w:tcPr>
            <w:tcW w:w="777" w:type="dxa"/>
            <w:tcBorders>
              <w:top w:val="single" w:color="auto" w:sz="4" w:space="0"/>
              <w:left w:val="single" w:color="auto" w:sz="4" w:space="0"/>
              <w:bottom w:val="single" w:color="auto" w:sz="4" w:space="0"/>
              <w:right w:val="single" w:color="auto" w:sz="4" w:space="0"/>
              <w:tl2br w:val="nil"/>
              <w:tr2bl w:val="nil"/>
            </w:tcBorders>
            <w:vAlign w:val="center"/>
          </w:tcPr>
          <w:p>
            <w:pPr>
              <w:spacing w:line="400" w:lineRule="exact"/>
              <w:ind w:firstLine="0" w:firstLineChars="0"/>
              <w:jc w:val="center"/>
              <w:textAlignment w:val="center"/>
              <w:rPr>
                <w:rFonts w:cs="Times New Roman"/>
                <w:color w:val="000000"/>
                <w:sz w:val="24"/>
              </w:rPr>
            </w:pPr>
            <w:r>
              <w:rPr>
                <w:rFonts w:cs="Times New Roman"/>
                <w:color w:val="000000"/>
                <w:kern w:val="0"/>
                <w:sz w:val="24"/>
                <w:lang w:bidi="ar"/>
              </w:rPr>
              <w:t>3</w:t>
            </w:r>
          </w:p>
        </w:tc>
        <w:tc>
          <w:tcPr>
            <w:tcW w:w="1206" w:type="dxa"/>
            <w:tcBorders>
              <w:top w:val="single" w:color="auto" w:sz="4" w:space="0"/>
              <w:left w:val="single" w:color="auto" w:sz="4" w:space="0"/>
              <w:bottom w:val="single" w:color="auto" w:sz="4" w:space="0"/>
              <w:right w:val="single" w:color="auto" w:sz="4" w:space="0"/>
              <w:tl2br w:val="nil"/>
              <w:tr2bl w:val="nil"/>
            </w:tcBorders>
            <w:vAlign w:val="center"/>
          </w:tcPr>
          <w:p>
            <w:pPr>
              <w:spacing w:line="400" w:lineRule="exact"/>
              <w:ind w:firstLine="0" w:firstLineChars="0"/>
              <w:jc w:val="center"/>
              <w:textAlignment w:val="center"/>
              <w:rPr>
                <w:rFonts w:cs="Times New Roman"/>
                <w:color w:val="000000"/>
                <w:sz w:val="24"/>
              </w:rPr>
            </w:pPr>
            <w:r>
              <w:rPr>
                <w:rFonts w:cs="Times New Roman"/>
                <w:color w:val="000000"/>
                <w:kern w:val="0"/>
                <w:sz w:val="24"/>
                <w:lang w:bidi="ar"/>
              </w:rPr>
              <w:t>负载均衡</w:t>
            </w:r>
          </w:p>
        </w:tc>
        <w:tc>
          <w:tcPr>
            <w:tcW w:w="2045" w:type="dxa"/>
            <w:tcBorders>
              <w:top w:val="single" w:color="auto" w:sz="4" w:space="0"/>
              <w:left w:val="single" w:color="auto" w:sz="4" w:space="0"/>
              <w:bottom w:val="single" w:color="auto" w:sz="4" w:space="0"/>
              <w:right w:val="single" w:color="auto" w:sz="4" w:space="0"/>
              <w:tl2br w:val="nil"/>
              <w:tr2bl w:val="nil"/>
            </w:tcBorders>
            <w:vAlign w:val="center"/>
          </w:tcPr>
          <w:p>
            <w:pPr>
              <w:spacing w:line="400" w:lineRule="exact"/>
              <w:ind w:firstLine="0" w:firstLineChars="0"/>
              <w:jc w:val="center"/>
              <w:textAlignment w:val="center"/>
              <w:rPr>
                <w:rFonts w:cs="Times New Roman"/>
                <w:color w:val="000000"/>
                <w:sz w:val="24"/>
              </w:rPr>
            </w:pPr>
            <w:r>
              <w:rPr>
                <w:rFonts w:cs="Times New Roman"/>
                <w:color w:val="000000"/>
                <w:kern w:val="0"/>
                <w:sz w:val="24"/>
                <w:lang w:bidi="ar"/>
              </w:rPr>
              <w:t>/</w:t>
            </w:r>
          </w:p>
        </w:tc>
        <w:tc>
          <w:tcPr>
            <w:tcW w:w="4602" w:type="dxa"/>
            <w:tcBorders>
              <w:top w:val="single" w:color="auto" w:sz="4" w:space="0"/>
              <w:left w:val="single" w:color="auto" w:sz="4" w:space="0"/>
              <w:bottom w:val="single" w:color="auto" w:sz="4" w:space="0"/>
              <w:right w:val="single" w:color="auto" w:sz="4" w:space="0"/>
              <w:tl2br w:val="nil"/>
              <w:tr2bl w:val="nil"/>
            </w:tcBorders>
            <w:vAlign w:val="center"/>
          </w:tcPr>
          <w:p>
            <w:pPr>
              <w:spacing w:line="340" w:lineRule="exact"/>
              <w:ind w:firstLine="0" w:firstLineChars="0"/>
              <w:textAlignment w:val="center"/>
              <w:rPr>
                <w:rFonts w:cs="Times New Roman"/>
                <w:color w:val="000000"/>
                <w:sz w:val="24"/>
              </w:rPr>
            </w:pPr>
            <w:r>
              <w:rPr>
                <w:rFonts w:cs="Times New Roman"/>
                <w:color w:val="000000"/>
                <w:kern w:val="0"/>
                <w:sz w:val="24"/>
                <w:lang w:bidi="ar"/>
              </w:rPr>
              <w:t>将网络请求或计算任务合理分配到多台服务器上，避免单点过载，提升系统整体性能、可用性和可靠性。</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960" w:hRule="atLeast"/>
          <w:jc w:val="center"/>
        </w:trPr>
        <w:tc>
          <w:tcPr>
            <w:tcW w:w="777" w:type="dxa"/>
            <w:tcBorders>
              <w:top w:val="single" w:color="auto" w:sz="4" w:space="0"/>
              <w:left w:val="single" w:color="auto" w:sz="4" w:space="0"/>
              <w:bottom w:val="single" w:color="auto" w:sz="4" w:space="0"/>
              <w:right w:val="single" w:color="auto" w:sz="4" w:space="0"/>
              <w:tl2br w:val="nil"/>
              <w:tr2bl w:val="nil"/>
            </w:tcBorders>
            <w:vAlign w:val="center"/>
          </w:tcPr>
          <w:p>
            <w:pPr>
              <w:spacing w:line="400" w:lineRule="exact"/>
              <w:ind w:firstLine="0" w:firstLineChars="0"/>
              <w:jc w:val="center"/>
              <w:textAlignment w:val="center"/>
              <w:rPr>
                <w:rFonts w:cs="Times New Roman"/>
                <w:color w:val="000000"/>
                <w:sz w:val="24"/>
              </w:rPr>
            </w:pPr>
            <w:r>
              <w:rPr>
                <w:rFonts w:cs="Times New Roman"/>
                <w:color w:val="000000"/>
                <w:kern w:val="0"/>
                <w:sz w:val="24"/>
                <w:lang w:bidi="ar"/>
              </w:rPr>
              <w:t>4</w:t>
            </w:r>
          </w:p>
        </w:tc>
        <w:tc>
          <w:tcPr>
            <w:tcW w:w="1206" w:type="dxa"/>
            <w:tcBorders>
              <w:top w:val="single" w:color="auto" w:sz="4" w:space="0"/>
              <w:left w:val="single" w:color="auto" w:sz="4" w:space="0"/>
              <w:bottom w:val="single" w:color="auto" w:sz="4" w:space="0"/>
              <w:right w:val="single" w:color="auto" w:sz="4" w:space="0"/>
              <w:tl2br w:val="nil"/>
              <w:tr2bl w:val="nil"/>
            </w:tcBorders>
            <w:vAlign w:val="center"/>
          </w:tcPr>
          <w:p>
            <w:pPr>
              <w:spacing w:line="400" w:lineRule="exact"/>
              <w:ind w:firstLine="0" w:firstLineChars="0"/>
              <w:jc w:val="center"/>
              <w:textAlignment w:val="center"/>
              <w:rPr>
                <w:rFonts w:cs="Times New Roman"/>
                <w:color w:val="000000"/>
                <w:sz w:val="24"/>
              </w:rPr>
            </w:pPr>
            <w:r>
              <w:rPr>
                <w:rFonts w:cs="Times New Roman"/>
                <w:color w:val="000000"/>
                <w:kern w:val="0"/>
                <w:sz w:val="24"/>
                <w:lang w:bidi="ar"/>
              </w:rPr>
              <w:t>容灾降级</w:t>
            </w:r>
          </w:p>
        </w:tc>
        <w:tc>
          <w:tcPr>
            <w:tcW w:w="2045" w:type="dxa"/>
            <w:tcBorders>
              <w:top w:val="single" w:color="auto" w:sz="4" w:space="0"/>
              <w:left w:val="single" w:color="auto" w:sz="4" w:space="0"/>
              <w:bottom w:val="single" w:color="auto" w:sz="4" w:space="0"/>
              <w:right w:val="single" w:color="auto" w:sz="4" w:space="0"/>
              <w:tl2br w:val="nil"/>
              <w:tr2bl w:val="nil"/>
            </w:tcBorders>
            <w:vAlign w:val="center"/>
          </w:tcPr>
          <w:p>
            <w:pPr>
              <w:spacing w:line="400" w:lineRule="exact"/>
              <w:ind w:firstLine="0" w:firstLineChars="0"/>
              <w:jc w:val="center"/>
              <w:textAlignment w:val="center"/>
              <w:rPr>
                <w:rFonts w:cs="Times New Roman"/>
                <w:color w:val="000000"/>
                <w:sz w:val="24"/>
              </w:rPr>
            </w:pPr>
            <w:r>
              <w:rPr>
                <w:rFonts w:cs="Times New Roman"/>
                <w:color w:val="000000"/>
                <w:kern w:val="0"/>
                <w:sz w:val="24"/>
                <w:lang w:bidi="ar"/>
              </w:rPr>
              <w:t>/</w:t>
            </w:r>
          </w:p>
        </w:tc>
        <w:tc>
          <w:tcPr>
            <w:tcW w:w="4602" w:type="dxa"/>
            <w:tcBorders>
              <w:top w:val="single" w:color="auto" w:sz="4" w:space="0"/>
              <w:left w:val="single" w:color="auto" w:sz="4" w:space="0"/>
              <w:bottom w:val="single" w:color="auto" w:sz="4" w:space="0"/>
              <w:right w:val="single" w:color="auto" w:sz="4" w:space="0"/>
              <w:tl2br w:val="nil"/>
              <w:tr2bl w:val="nil"/>
            </w:tcBorders>
            <w:vAlign w:val="center"/>
          </w:tcPr>
          <w:p>
            <w:pPr>
              <w:spacing w:line="340" w:lineRule="exact"/>
              <w:ind w:firstLine="0" w:firstLineChars="0"/>
              <w:textAlignment w:val="center"/>
              <w:rPr>
                <w:rFonts w:cs="Times New Roman"/>
                <w:color w:val="000000"/>
                <w:sz w:val="24"/>
              </w:rPr>
            </w:pPr>
            <w:r>
              <w:rPr>
                <w:rFonts w:cs="Times New Roman"/>
                <w:color w:val="000000"/>
                <w:kern w:val="0"/>
                <w:sz w:val="24"/>
                <w:lang w:bidi="ar"/>
              </w:rPr>
              <w:t>容灾是指在发生故障或灾难时，通过备用系统快速切换以保障业务连续性；降级是指在系统负载过高时，暂时关闭非核心功能以释放资源保障核心服务的可用性。两者共同构成系统的弹性保障机制。</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645" w:hRule="atLeast"/>
          <w:jc w:val="center"/>
        </w:trPr>
        <w:tc>
          <w:tcPr>
            <w:tcW w:w="777" w:type="dxa"/>
            <w:tcBorders>
              <w:top w:val="single" w:color="auto" w:sz="4" w:space="0"/>
              <w:left w:val="single" w:color="auto" w:sz="4" w:space="0"/>
              <w:bottom w:val="single" w:color="auto" w:sz="4" w:space="0"/>
              <w:right w:val="single" w:color="auto" w:sz="4" w:space="0"/>
              <w:tl2br w:val="nil"/>
              <w:tr2bl w:val="nil"/>
            </w:tcBorders>
            <w:vAlign w:val="center"/>
          </w:tcPr>
          <w:p>
            <w:pPr>
              <w:spacing w:line="400" w:lineRule="exact"/>
              <w:ind w:firstLine="0" w:firstLineChars="0"/>
              <w:jc w:val="center"/>
              <w:textAlignment w:val="center"/>
              <w:rPr>
                <w:rFonts w:cs="Times New Roman"/>
                <w:color w:val="000000"/>
                <w:sz w:val="24"/>
              </w:rPr>
            </w:pPr>
            <w:r>
              <w:rPr>
                <w:rFonts w:cs="Times New Roman"/>
                <w:color w:val="000000"/>
                <w:kern w:val="0"/>
                <w:sz w:val="24"/>
                <w:lang w:bidi="ar"/>
              </w:rPr>
              <w:t>5</w:t>
            </w:r>
          </w:p>
        </w:tc>
        <w:tc>
          <w:tcPr>
            <w:tcW w:w="1206" w:type="dxa"/>
            <w:tcBorders>
              <w:top w:val="single" w:color="auto" w:sz="4" w:space="0"/>
              <w:left w:val="single" w:color="auto" w:sz="4" w:space="0"/>
              <w:bottom w:val="single" w:color="auto" w:sz="4" w:space="0"/>
              <w:right w:val="single" w:color="auto" w:sz="4" w:space="0"/>
              <w:tl2br w:val="nil"/>
              <w:tr2bl w:val="nil"/>
            </w:tcBorders>
            <w:vAlign w:val="center"/>
          </w:tcPr>
          <w:p>
            <w:pPr>
              <w:spacing w:line="400" w:lineRule="exact"/>
              <w:ind w:firstLine="0" w:firstLineChars="0"/>
              <w:jc w:val="center"/>
              <w:textAlignment w:val="center"/>
              <w:rPr>
                <w:rFonts w:cs="Times New Roman"/>
                <w:color w:val="000000"/>
                <w:sz w:val="24"/>
              </w:rPr>
            </w:pPr>
            <w:r>
              <w:rPr>
                <w:rFonts w:cs="Times New Roman"/>
                <w:color w:val="000000"/>
                <w:kern w:val="0"/>
                <w:sz w:val="24"/>
                <w:lang w:bidi="ar"/>
              </w:rPr>
              <w:t>隐式缓存</w:t>
            </w:r>
          </w:p>
        </w:tc>
        <w:tc>
          <w:tcPr>
            <w:tcW w:w="2045" w:type="dxa"/>
            <w:tcBorders>
              <w:top w:val="single" w:color="auto" w:sz="4" w:space="0"/>
              <w:left w:val="single" w:color="auto" w:sz="4" w:space="0"/>
              <w:bottom w:val="single" w:color="auto" w:sz="4" w:space="0"/>
              <w:right w:val="single" w:color="auto" w:sz="4" w:space="0"/>
              <w:tl2br w:val="nil"/>
              <w:tr2bl w:val="nil"/>
            </w:tcBorders>
            <w:vAlign w:val="center"/>
          </w:tcPr>
          <w:p>
            <w:pPr>
              <w:spacing w:line="400" w:lineRule="exact"/>
              <w:ind w:firstLine="0" w:firstLineChars="0"/>
              <w:jc w:val="center"/>
              <w:textAlignment w:val="center"/>
              <w:rPr>
                <w:rFonts w:cs="Times New Roman"/>
                <w:color w:val="000000"/>
                <w:sz w:val="24"/>
              </w:rPr>
            </w:pPr>
            <w:r>
              <w:rPr>
                <w:rFonts w:cs="Times New Roman"/>
                <w:color w:val="000000"/>
                <w:kern w:val="0"/>
                <w:sz w:val="24"/>
                <w:lang w:bidi="ar"/>
              </w:rPr>
              <w:t>/</w:t>
            </w:r>
          </w:p>
        </w:tc>
        <w:tc>
          <w:tcPr>
            <w:tcW w:w="4602" w:type="dxa"/>
            <w:tcBorders>
              <w:top w:val="single" w:color="auto" w:sz="4" w:space="0"/>
              <w:left w:val="single" w:color="auto" w:sz="4" w:space="0"/>
              <w:bottom w:val="single" w:color="auto" w:sz="4" w:space="0"/>
              <w:right w:val="single" w:color="auto" w:sz="4" w:space="0"/>
              <w:tl2br w:val="nil"/>
              <w:tr2bl w:val="nil"/>
            </w:tcBorders>
            <w:vAlign w:val="center"/>
          </w:tcPr>
          <w:p>
            <w:pPr>
              <w:spacing w:line="340" w:lineRule="exact"/>
              <w:ind w:firstLine="0" w:firstLineChars="0"/>
              <w:textAlignment w:val="center"/>
              <w:rPr>
                <w:rFonts w:cs="Times New Roman"/>
                <w:color w:val="000000"/>
                <w:sz w:val="24"/>
              </w:rPr>
            </w:pPr>
            <w:r>
              <w:rPr>
                <w:rFonts w:cs="Times New Roman"/>
                <w:color w:val="000000"/>
                <w:kern w:val="0"/>
                <w:sz w:val="24"/>
                <w:lang w:bidi="ar"/>
              </w:rPr>
              <w:t>系统自动将频繁访问的数据或计算结果存储在高速缓存中，对应用层透明（无需显式声明缓存逻辑），从而减少重复计算或数据库访问，提升响应速度。</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645" w:hRule="atLeast"/>
          <w:jc w:val="center"/>
        </w:trPr>
        <w:tc>
          <w:tcPr>
            <w:tcW w:w="777" w:type="dxa"/>
            <w:tcBorders>
              <w:top w:val="single" w:color="auto" w:sz="4" w:space="0"/>
              <w:left w:val="single" w:color="auto" w:sz="4" w:space="0"/>
              <w:bottom w:val="single" w:color="auto" w:sz="4" w:space="0"/>
              <w:right w:val="single" w:color="auto" w:sz="4" w:space="0"/>
              <w:tl2br w:val="nil"/>
              <w:tr2bl w:val="nil"/>
            </w:tcBorders>
            <w:vAlign w:val="center"/>
          </w:tcPr>
          <w:p>
            <w:pPr>
              <w:spacing w:line="400" w:lineRule="exact"/>
              <w:ind w:firstLine="0" w:firstLineChars="0"/>
              <w:jc w:val="center"/>
              <w:textAlignment w:val="center"/>
              <w:rPr>
                <w:rFonts w:cs="Times New Roman"/>
                <w:color w:val="000000"/>
                <w:sz w:val="24"/>
              </w:rPr>
            </w:pPr>
            <w:r>
              <w:rPr>
                <w:rFonts w:cs="Times New Roman"/>
                <w:color w:val="000000"/>
                <w:kern w:val="0"/>
                <w:sz w:val="24"/>
                <w:lang w:bidi="ar"/>
              </w:rPr>
              <w:t>6</w:t>
            </w:r>
          </w:p>
        </w:tc>
        <w:tc>
          <w:tcPr>
            <w:tcW w:w="1206" w:type="dxa"/>
            <w:tcBorders>
              <w:top w:val="single" w:color="auto" w:sz="4" w:space="0"/>
              <w:left w:val="single" w:color="auto" w:sz="4" w:space="0"/>
              <w:bottom w:val="single" w:color="auto" w:sz="4" w:space="0"/>
              <w:right w:val="single" w:color="auto" w:sz="4" w:space="0"/>
              <w:tl2br w:val="nil"/>
              <w:tr2bl w:val="nil"/>
            </w:tcBorders>
            <w:vAlign w:val="center"/>
          </w:tcPr>
          <w:p>
            <w:pPr>
              <w:spacing w:line="400" w:lineRule="exact"/>
              <w:ind w:firstLine="0" w:firstLineChars="0"/>
              <w:jc w:val="center"/>
              <w:textAlignment w:val="center"/>
              <w:rPr>
                <w:rFonts w:cs="Times New Roman"/>
                <w:color w:val="000000"/>
                <w:sz w:val="24"/>
              </w:rPr>
            </w:pPr>
            <w:r>
              <w:rPr>
                <w:rFonts w:cs="Times New Roman"/>
                <w:color w:val="000000"/>
                <w:kern w:val="0"/>
                <w:sz w:val="24"/>
                <w:lang w:bidi="ar"/>
              </w:rPr>
              <w:t>KV Cache</w:t>
            </w:r>
          </w:p>
        </w:tc>
        <w:tc>
          <w:tcPr>
            <w:tcW w:w="2045" w:type="dxa"/>
            <w:tcBorders>
              <w:top w:val="single" w:color="auto" w:sz="4" w:space="0"/>
              <w:left w:val="single" w:color="auto" w:sz="4" w:space="0"/>
              <w:bottom w:val="single" w:color="auto" w:sz="4" w:space="0"/>
              <w:right w:val="single" w:color="auto" w:sz="4" w:space="0"/>
              <w:tl2br w:val="nil"/>
              <w:tr2bl w:val="nil"/>
            </w:tcBorders>
            <w:vAlign w:val="center"/>
          </w:tcPr>
          <w:p>
            <w:pPr>
              <w:spacing w:line="400" w:lineRule="exact"/>
              <w:ind w:firstLine="0" w:firstLineChars="0"/>
              <w:jc w:val="center"/>
              <w:textAlignment w:val="center"/>
              <w:rPr>
                <w:rFonts w:cs="Times New Roman"/>
                <w:color w:val="000000"/>
                <w:sz w:val="24"/>
              </w:rPr>
            </w:pPr>
            <w:r>
              <w:rPr>
                <w:rFonts w:cs="Times New Roman"/>
                <w:color w:val="000000"/>
                <w:kern w:val="0"/>
                <w:sz w:val="24"/>
                <w:lang w:bidi="ar"/>
              </w:rPr>
              <w:t>Key-Value Cache（键值缓存）</w:t>
            </w:r>
          </w:p>
        </w:tc>
        <w:tc>
          <w:tcPr>
            <w:tcW w:w="4602" w:type="dxa"/>
            <w:tcBorders>
              <w:top w:val="single" w:color="auto" w:sz="4" w:space="0"/>
              <w:left w:val="single" w:color="auto" w:sz="4" w:space="0"/>
              <w:bottom w:val="single" w:color="auto" w:sz="4" w:space="0"/>
              <w:right w:val="single" w:color="auto" w:sz="4" w:space="0"/>
              <w:tl2br w:val="nil"/>
              <w:tr2bl w:val="nil"/>
            </w:tcBorders>
            <w:vAlign w:val="center"/>
          </w:tcPr>
          <w:p>
            <w:pPr>
              <w:spacing w:line="340" w:lineRule="exact"/>
              <w:ind w:firstLine="0" w:firstLineChars="0"/>
              <w:textAlignment w:val="center"/>
              <w:rPr>
                <w:rFonts w:cs="Times New Roman"/>
                <w:color w:val="000000"/>
                <w:sz w:val="24"/>
              </w:rPr>
            </w:pPr>
            <w:r>
              <w:rPr>
                <w:rFonts w:cs="Times New Roman"/>
                <w:color w:val="000000"/>
                <w:kern w:val="0"/>
                <w:sz w:val="24"/>
                <w:lang w:bidi="ar"/>
              </w:rPr>
              <w:t>在大语言模型推理过程中，将注意力机制（Attention）计算得到的Key和Value矩阵缓存起来，避免在生成每个新Token时重复计算历史Token的注意力信息，大幅提升自回归生成的效率。</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645" w:hRule="atLeast"/>
          <w:jc w:val="center"/>
        </w:trPr>
        <w:tc>
          <w:tcPr>
            <w:tcW w:w="777" w:type="dxa"/>
            <w:tcBorders>
              <w:top w:val="single" w:color="auto" w:sz="4" w:space="0"/>
              <w:left w:val="single" w:color="auto" w:sz="4" w:space="0"/>
              <w:bottom w:val="single" w:color="auto" w:sz="4" w:space="0"/>
              <w:right w:val="single" w:color="auto" w:sz="4" w:space="0"/>
              <w:tl2br w:val="nil"/>
              <w:tr2bl w:val="nil"/>
            </w:tcBorders>
            <w:vAlign w:val="center"/>
          </w:tcPr>
          <w:p>
            <w:pPr>
              <w:spacing w:line="400" w:lineRule="exact"/>
              <w:ind w:firstLine="0" w:firstLineChars="0"/>
              <w:jc w:val="center"/>
              <w:textAlignment w:val="center"/>
              <w:rPr>
                <w:rFonts w:cs="Times New Roman"/>
                <w:color w:val="000000"/>
                <w:sz w:val="24"/>
              </w:rPr>
            </w:pPr>
            <w:r>
              <w:rPr>
                <w:rFonts w:cs="Times New Roman"/>
                <w:color w:val="000000"/>
                <w:kern w:val="0"/>
                <w:sz w:val="24"/>
                <w:lang w:bidi="ar"/>
              </w:rPr>
              <w:t>7</w:t>
            </w:r>
          </w:p>
        </w:tc>
        <w:tc>
          <w:tcPr>
            <w:tcW w:w="1206" w:type="dxa"/>
            <w:tcBorders>
              <w:top w:val="single" w:color="auto" w:sz="4" w:space="0"/>
              <w:left w:val="single" w:color="auto" w:sz="4" w:space="0"/>
              <w:bottom w:val="single" w:color="auto" w:sz="4" w:space="0"/>
              <w:right w:val="single" w:color="auto" w:sz="4" w:space="0"/>
              <w:tl2br w:val="nil"/>
              <w:tr2bl w:val="nil"/>
            </w:tcBorders>
            <w:vAlign w:val="center"/>
          </w:tcPr>
          <w:p>
            <w:pPr>
              <w:spacing w:line="400" w:lineRule="exact"/>
              <w:ind w:firstLine="0" w:firstLineChars="0"/>
              <w:jc w:val="center"/>
              <w:textAlignment w:val="center"/>
              <w:rPr>
                <w:rFonts w:cs="Times New Roman"/>
                <w:color w:val="000000"/>
                <w:sz w:val="24"/>
              </w:rPr>
            </w:pPr>
            <w:r>
              <w:rPr>
                <w:rFonts w:cs="Times New Roman"/>
                <w:color w:val="000000"/>
                <w:kern w:val="0"/>
                <w:sz w:val="24"/>
                <w:lang w:bidi="ar"/>
              </w:rPr>
              <w:t>TTL</w:t>
            </w:r>
          </w:p>
        </w:tc>
        <w:tc>
          <w:tcPr>
            <w:tcW w:w="2045" w:type="dxa"/>
            <w:tcBorders>
              <w:top w:val="single" w:color="auto" w:sz="4" w:space="0"/>
              <w:left w:val="single" w:color="auto" w:sz="4" w:space="0"/>
              <w:bottom w:val="single" w:color="auto" w:sz="4" w:space="0"/>
              <w:right w:val="single" w:color="auto" w:sz="4" w:space="0"/>
              <w:tl2br w:val="nil"/>
              <w:tr2bl w:val="nil"/>
            </w:tcBorders>
            <w:vAlign w:val="center"/>
          </w:tcPr>
          <w:p>
            <w:pPr>
              <w:spacing w:line="400" w:lineRule="exact"/>
              <w:ind w:firstLine="0" w:firstLineChars="0"/>
              <w:jc w:val="center"/>
              <w:textAlignment w:val="center"/>
              <w:rPr>
                <w:rFonts w:cs="Times New Roman"/>
                <w:color w:val="000000"/>
                <w:sz w:val="24"/>
              </w:rPr>
            </w:pPr>
            <w:r>
              <w:rPr>
                <w:rFonts w:cs="Times New Roman"/>
                <w:color w:val="000000"/>
                <w:kern w:val="0"/>
                <w:sz w:val="24"/>
                <w:lang w:bidi="ar"/>
              </w:rPr>
              <w:t>生存时间</w:t>
            </w:r>
          </w:p>
        </w:tc>
        <w:tc>
          <w:tcPr>
            <w:tcW w:w="4602" w:type="dxa"/>
            <w:tcBorders>
              <w:top w:val="single" w:color="auto" w:sz="4" w:space="0"/>
              <w:left w:val="single" w:color="auto" w:sz="4" w:space="0"/>
              <w:bottom w:val="single" w:color="auto" w:sz="4" w:space="0"/>
              <w:right w:val="single" w:color="auto" w:sz="4" w:space="0"/>
              <w:tl2br w:val="nil"/>
              <w:tr2bl w:val="nil"/>
            </w:tcBorders>
            <w:vAlign w:val="center"/>
          </w:tcPr>
          <w:p>
            <w:pPr>
              <w:spacing w:line="340" w:lineRule="exact"/>
              <w:ind w:firstLine="0" w:firstLineChars="0"/>
              <w:textAlignment w:val="center"/>
              <w:rPr>
                <w:rFonts w:cs="Times New Roman"/>
                <w:color w:val="000000"/>
                <w:sz w:val="24"/>
              </w:rPr>
            </w:pPr>
            <w:r>
              <w:rPr>
                <w:rFonts w:cs="Times New Roman"/>
                <w:color w:val="000000"/>
                <w:kern w:val="0"/>
                <w:sz w:val="24"/>
                <w:lang w:bidi="ar"/>
              </w:rPr>
              <w:t>指定数据在缓存或存储中存活的时间长度。到期后数据自动失效或被清除，常用于缓存管理，确保数据的时效性并防止过期数据占用存储空间。</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30" w:hRule="atLeast"/>
          <w:jc w:val="center"/>
        </w:trPr>
        <w:tc>
          <w:tcPr>
            <w:tcW w:w="777" w:type="dxa"/>
            <w:tcBorders>
              <w:top w:val="single" w:color="auto" w:sz="4" w:space="0"/>
              <w:left w:val="single" w:color="auto" w:sz="4" w:space="0"/>
              <w:bottom w:val="single" w:color="auto" w:sz="4" w:space="0"/>
              <w:right w:val="single" w:color="auto" w:sz="4" w:space="0"/>
              <w:tl2br w:val="nil"/>
              <w:tr2bl w:val="nil"/>
            </w:tcBorders>
            <w:vAlign w:val="center"/>
          </w:tcPr>
          <w:p>
            <w:pPr>
              <w:spacing w:line="400" w:lineRule="exact"/>
              <w:ind w:firstLine="0" w:firstLineChars="0"/>
              <w:jc w:val="center"/>
              <w:textAlignment w:val="center"/>
              <w:rPr>
                <w:rFonts w:cs="Times New Roman"/>
                <w:color w:val="000000"/>
                <w:sz w:val="24"/>
              </w:rPr>
            </w:pPr>
            <w:r>
              <w:rPr>
                <w:rFonts w:cs="Times New Roman"/>
                <w:color w:val="000000"/>
                <w:kern w:val="0"/>
                <w:sz w:val="24"/>
                <w:lang w:bidi="ar"/>
              </w:rPr>
              <w:t>8</w:t>
            </w:r>
          </w:p>
        </w:tc>
        <w:tc>
          <w:tcPr>
            <w:tcW w:w="1206" w:type="dxa"/>
            <w:tcBorders>
              <w:top w:val="single" w:color="auto" w:sz="4" w:space="0"/>
              <w:left w:val="single" w:color="auto" w:sz="4" w:space="0"/>
              <w:bottom w:val="single" w:color="auto" w:sz="4" w:space="0"/>
              <w:right w:val="single" w:color="auto" w:sz="4" w:space="0"/>
              <w:tl2br w:val="nil"/>
              <w:tr2bl w:val="nil"/>
            </w:tcBorders>
            <w:vAlign w:val="center"/>
          </w:tcPr>
          <w:p>
            <w:pPr>
              <w:spacing w:line="400" w:lineRule="exact"/>
              <w:ind w:firstLine="0" w:firstLineChars="0"/>
              <w:jc w:val="center"/>
              <w:textAlignment w:val="center"/>
              <w:rPr>
                <w:rFonts w:cs="Times New Roman"/>
                <w:color w:val="000000"/>
                <w:sz w:val="24"/>
              </w:rPr>
            </w:pPr>
            <w:r>
              <w:rPr>
                <w:rFonts w:cs="Times New Roman"/>
                <w:color w:val="000000"/>
                <w:kern w:val="0"/>
                <w:sz w:val="24"/>
                <w:lang w:bidi="ar"/>
              </w:rPr>
              <w:t>Prompt</w:t>
            </w:r>
          </w:p>
        </w:tc>
        <w:tc>
          <w:tcPr>
            <w:tcW w:w="2045" w:type="dxa"/>
            <w:tcBorders>
              <w:top w:val="single" w:color="auto" w:sz="4" w:space="0"/>
              <w:left w:val="single" w:color="auto" w:sz="4" w:space="0"/>
              <w:bottom w:val="single" w:color="auto" w:sz="4" w:space="0"/>
              <w:right w:val="single" w:color="auto" w:sz="4" w:space="0"/>
              <w:tl2br w:val="nil"/>
              <w:tr2bl w:val="nil"/>
            </w:tcBorders>
            <w:vAlign w:val="center"/>
          </w:tcPr>
          <w:p>
            <w:pPr>
              <w:spacing w:line="400" w:lineRule="exact"/>
              <w:ind w:firstLine="0" w:firstLineChars="0"/>
              <w:jc w:val="center"/>
              <w:textAlignment w:val="center"/>
              <w:rPr>
                <w:rFonts w:cs="Times New Roman"/>
                <w:color w:val="000000"/>
                <w:sz w:val="24"/>
              </w:rPr>
            </w:pPr>
            <w:r>
              <w:rPr>
                <w:rFonts w:cs="Times New Roman"/>
                <w:color w:val="000000"/>
                <w:kern w:val="0"/>
                <w:sz w:val="24"/>
                <w:lang w:bidi="ar"/>
              </w:rPr>
              <w:t>提示词</w:t>
            </w:r>
          </w:p>
        </w:tc>
        <w:tc>
          <w:tcPr>
            <w:tcW w:w="4602" w:type="dxa"/>
            <w:tcBorders>
              <w:top w:val="single" w:color="auto" w:sz="4" w:space="0"/>
              <w:left w:val="single" w:color="auto" w:sz="4" w:space="0"/>
              <w:bottom w:val="single" w:color="auto" w:sz="4" w:space="0"/>
              <w:right w:val="single" w:color="auto" w:sz="4" w:space="0"/>
              <w:tl2br w:val="nil"/>
              <w:tr2bl w:val="nil"/>
            </w:tcBorders>
            <w:vAlign w:val="center"/>
          </w:tcPr>
          <w:p>
            <w:pPr>
              <w:spacing w:line="340" w:lineRule="exact"/>
              <w:ind w:firstLine="0" w:firstLineChars="0"/>
              <w:textAlignment w:val="center"/>
              <w:rPr>
                <w:rFonts w:cs="Times New Roman"/>
                <w:color w:val="000000"/>
                <w:sz w:val="24"/>
              </w:rPr>
            </w:pPr>
            <w:r>
              <w:rPr>
                <w:rFonts w:cs="Times New Roman"/>
                <w:color w:val="000000"/>
                <w:kern w:val="0"/>
                <w:sz w:val="24"/>
                <w:lang w:bidi="ar"/>
              </w:rPr>
              <w:t>用户输入给大语言模型的文本指令或问题，用于引导模型生成符合预期的特定输出或响应。</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645" w:hRule="atLeast"/>
          <w:jc w:val="center"/>
        </w:trPr>
        <w:tc>
          <w:tcPr>
            <w:tcW w:w="777" w:type="dxa"/>
            <w:tcBorders>
              <w:top w:val="single" w:color="auto" w:sz="4" w:space="0"/>
              <w:left w:val="single" w:color="auto" w:sz="4" w:space="0"/>
              <w:bottom w:val="single" w:color="auto" w:sz="4" w:space="0"/>
              <w:right w:val="single" w:color="auto" w:sz="4" w:space="0"/>
              <w:tl2br w:val="nil"/>
              <w:tr2bl w:val="nil"/>
            </w:tcBorders>
            <w:vAlign w:val="center"/>
          </w:tcPr>
          <w:p>
            <w:pPr>
              <w:spacing w:line="400" w:lineRule="exact"/>
              <w:ind w:firstLine="0" w:firstLineChars="0"/>
              <w:jc w:val="center"/>
              <w:textAlignment w:val="center"/>
              <w:rPr>
                <w:rFonts w:cs="Times New Roman"/>
                <w:color w:val="000000"/>
                <w:sz w:val="24"/>
              </w:rPr>
            </w:pPr>
            <w:r>
              <w:rPr>
                <w:rFonts w:cs="Times New Roman"/>
                <w:color w:val="000000"/>
                <w:kern w:val="0"/>
                <w:sz w:val="24"/>
                <w:lang w:bidi="ar"/>
              </w:rPr>
              <w:t>9</w:t>
            </w:r>
          </w:p>
        </w:tc>
        <w:tc>
          <w:tcPr>
            <w:tcW w:w="1206" w:type="dxa"/>
            <w:tcBorders>
              <w:top w:val="single" w:color="auto" w:sz="4" w:space="0"/>
              <w:left w:val="single" w:color="auto" w:sz="4" w:space="0"/>
              <w:bottom w:val="single" w:color="auto" w:sz="4" w:space="0"/>
              <w:right w:val="single" w:color="auto" w:sz="4" w:space="0"/>
              <w:tl2br w:val="nil"/>
              <w:tr2bl w:val="nil"/>
            </w:tcBorders>
            <w:vAlign w:val="center"/>
          </w:tcPr>
          <w:p>
            <w:pPr>
              <w:spacing w:line="400" w:lineRule="exact"/>
              <w:ind w:firstLine="0" w:firstLineChars="0"/>
              <w:jc w:val="center"/>
              <w:textAlignment w:val="center"/>
              <w:rPr>
                <w:rFonts w:cs="Times New Roman"/>
                <w:color w:val="000000"/>
                <w:sz w:val="24"/>
              </w:rPr>
            </w:pPr>
            <w:r>
              <w:rPr>
                <w:rFonts w:cs="Times New Roman"/>
                <w:color w:val="000000"/>
                <w:kern w:val="0"/>
                <w:sz w:val="24"/>
                <w:lang w:bidi="ar"/>
              </w:rPr>
              <w:t>System Prompt</w:t>
            </w:r>
          </w:p>
        </w:tc>
        <w:tc>
          <w:tcPr>
            <w:tcW w:w="2045" w:type="dxa"/>
            <w:tcBorders>
              <w:top w:val="single" w:color="auto" w:sz="4" w:space="0"/>
              <w:left w:val="single" w:color="auto" w:sz="4" w:space="0"/>
              <w:bottom w:val="single" w:color="auto" w:sz="4" w:space="0"/>
              <w:right w:val="single" w:color="auto" w:sz="4" w:space="0"/>
              <w:tl2br w:val="nil"/>
              <w:tr2bl w:val="nil"/>
            </w:tcBorders>
            <w:vAlign w:val="center"/>
          </w:tcPr>
          <w:p>
            <w:pPr>
              <w:spacing w:line="400" w:lineRule="exact"/>
              <w:ind w:firstLine="0" w:firstLineChars="0"/>
              <w:jc w:val="center"/>
              <w:textAlignment w:val="center"/>
              <w:rPr>
                <w:rFonts w:cs="Times New Roman"/>
                <w:color w:val="000000"/>
                <w:sz w:val="24"/>
              </w:rPr>
            </w:pPr>
            <w:r>
              <w:rPr>
                <w:rFonts w:cs="Times New Roman"/>
                <w:color w:val="000000"/>
                <w:kern w:val="0"/>
                <w:sz w:val="24"/>
                <w:lang w:bidi="ar"/>
              </w:rPr>
              <w:t>系统提示词</w:t>
            </w:r>
          </w:p>
        </w:tc>
        <w:tc>
          <w:tcPr>
            <w:tcW w:w="4602" w:type="dxa"/>
            <w:tcBorders>
              <w:top w:val="single" w:color="auto" w:sz="4" w:space="0"/>
              <w:left w:val="single" w:color="auto" w:sz="4" w:space="0"/>
              <w:bottom w:val="single" w:color="auto" w:sz="4" w:space="0"/>
              <w:right w:val="single" w:color="auto" w:sz="4" w:space="0"/>
              <w:tl2br w:val="nil"/>
              <w:tr2bl w:val="nil"/>
            </w:tcBorders>
            <w:vAlign w:val="center"/>
          </w:tcPr>
          <w:p>
            <w:pPr>
              <w:spacing w:line="340" w:lineRule="exact"/>
              <w:ind w:firstLine="0" w:firstLineChars="0"/>
              <w:textAlignment w:val="center"/>
              <w:rPr>
                <w:rFonts w:cs="Times New Roman"/>
                <w:color w:val="000000"/>
                <w:sz w:val="24"/>
              </w:rPr>
            </w:pPr>
            <w:r>
              <w:rPr>
                <w:rFonts w:cs="Times New Roman"/>
                <w:color w:val="000000"/>
                <w:kern w:val="0"/>
                <w:sz w:val="24"/>
                <w:lang w:bidi="ar"/>
              </w:rPr>
              <w:t>由开发者预设的指令文本，用于在对话开始前设定模型的角色、行为准则和输出规范。它隐式地影响模型对所有用户输入的理解和响应方式，是控制AI行为的核心机制。</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645" w:hRule="atLeast"/>
          <w:jc w:val="center"/>
        </w:trPr>
        <w:tc>
          <w:tcPr>
            <w:tcW w:w="777" w:type="dxa"/>
            <w:tcBorders>
              <w:top w:val="single" w:color="auto" w:sz="4" w:space="0"/>
              <w:left w:val="single" w:color="auto" w:sz="4" w:space="0"/>
              <w:bottom w:val="single" w:color="auto" w:sz="4" w:space="0"/>
              <w:right w:val="single" w:color="auto" w:sz="4" w:space="0"/>
              <w:tl2br w:val="nil"/>
              <w:tr2bl w:val="nil"/>
            </w:tcBorders>
            <w:vAlign w:val="center"/>
          </w:tcPr>
          <w:p>
            <w:pPr>
              <w:spacing w:line="400" w:lineRule="exact"/>
              <w:ind w:firstLine="0" w:firstLineChars="0"/>
              <w:jc w:val="center"/>
              <w:textAlignment w:val="center"/>
              <w:rPr>
                <w:rFonts w:cs="Times New Roman"/>
                <w:color w:val="000000"/>
                <w:sz w:val="24"/>
              </w:rPr>
            </w:pPr>
            <w:r>
              <w:rPr>
                <w:rFonts w:cs="Times New Roman"/>
                <w:color w:val="000000"/>
                <w:kern w:val="0"/>
                <w:sz w:val="24"/>
                <w:lang w:bidi="ar"/>
              </w:rPr>
              <w:t>10</w:t>
            </w:r>
          </w:p>
        </w:tc>
        <w:tc>
          <w:tcPr>
            <w:tcW w:w="1206" w:type="dxa"/>
            <w:tcBorders>
              <w:top w:val="single" w:color="auto" w:sz="4" w:space="0"/>
              <w:left w:val="single" w:color="auto" w:sz="4" w:space="0"/>
              <w:bottom w:val="single" w:color="auto" w:sz="4" w:space="0"/>
              <w:right w:val="single" w:color="auto" w:sz="4" w:space="0"/>
              <w:tl2br w:val="nil"/>
              <w:tr2bl w:val="nil"/>
            </w:tcBorders>
            <w:vAlign w:val="center"/>
          </w:tcPr>
          <w:p>
            <w:pPr>
              <w:spacing w:line="400" w:lineRule="exact"/>
              <w:ind w:firstLine="0" w:firstLineChars="0"/>
              <w:jc w:val="center"/>
              <w:textAlignment w:val="center"/>
              <w:rPr>
                <w:rFonts w:cs="Times New Roman"/>
                <w:color w:val="000000"/>
                <w:sz w:val="24"/>
              </w:rPr>
            </w:pPr>
            <w:r>
              <w:rPr>
                <w:rFonts w:cs="Times New Roman"/>
                <w:color w:val="000000"/>
                <w:kern w:val="0"/>
                <w:sz w:val="24"/>
                <w:lang w:bidi="ar"/>
              </w:rPr>
              <w:t>prefill</w:t>
            </w:r>
          </w:p>
        </w:tc>
        <w:tc>
          <w:tcPr>
            <w:tcW w:w="2045" w:type="dxa"/>
            <w:tcBorders>
              <w:top w:val="single" w:color="auto" w:sz="4" w:space="0"/>
              <w:left w:val="single" w:color="auto" w:sz="4" w:space="0"/>
              <w:bottom w:val="single" w:color="auto" w:sz="4" w:space="0"/>
              <w:right w:val="single" w:color="auto" w:sz="4" w:space="0"/>
              <w:tl2br w:val="nil"/>
              <w:tr2bl w:val="nil"/>
            </w:tcBorders>
            <w:vAlign w:val="center"/>
          </w:tcPr>
          <w:p>
            <w:pPr>
              <w:spacing w:line="400" w:lineRule="exact"/>
              <w:ind w:firstLine="0" w:firstLineChars="0"/>
              <w:jc w:val="center"/>
              <w:textAlignment w:val="center"/>
              <w:rPr>
                <w:rFonts w:cs="Times New Roman"/>
                <w:color w:val="000000"/>
                <w:sz w:val="24"/>
              </w:rPr>
            </w:pPr>
            <w:r>
              <w:rPr>
                <w:rFonts w:cs="Times New Roman"/>
                <w:color w:val="000000"/>
                <w:kern w:val="0"/>
                <w:sz w:val="24"/>
                <w:lang w:bidi="ar"/>
              </w:rPr>
              <w:t>预填充/预填</w:t>
            </w:r>
          </w:p>
        </w:tc>
        <w:tc>
          <w:tcPr>
            <w:tcW w:w="4602" w:type="dxa"/>
            <w:tcBorders>
              <w:top w:val="single" w:color="auto" w:sz="4" w:space="0"/>
              <w:left w:val="single" w:color="auto" w:sz="4" w:space="0"/>
              <w:bottom w:val="single" w:color="auto" w:sz="4" w:space="0"/>
              <w:right w:val="single" w:color="auto" w:sz="4" w:space="0"/>
              <w:tl2br w:val="nil"/>
              <w:tr2bl w:val="nil"/>
            </w:tcBorders>
            <w:vAlign w:val="center"/>
          </w:tcPr>
          <w:p>
            <w:pPr>
              <w:spacing w:line="340" w:lineRule="exact"/>
              <w:ind w:firstLine="0" w:firstLineChars="0"/>
              <w:textAlignment w:val="center"/>
              <w:rPr>
                <w:rFonts w:cs="Times New Roman"/>
                <w:color w:val="000000"/>
                <w:sz w:val="24"/>
              </w:rPr>
            </w:pPr>
            <w:r>
              <w:rPr>
                <w:rFonts w:cs="Times New Roman"/>
                <w:color w:val="000000"/>
                <w:kern w:val="0"/>
                <w:sz w:val="24"/>
                <w:lang w:bidi="ar"/>
              </w:rPr>
              <w:t>大语言模型推理的第一步，指将用户输入的完整Prompt一次性并行处理，计算出对应的KV Cache等中间状态，为后续的自回归Token生成做准备。</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30" w:hRule="atLeast"/>
          <w:jc w:val="center"/>
        </w:trPr>
        <w:tc>
          <w:tcPr>
            <w:tcW w:w="777" w:type="dxa"/>
            <w:tcBorders>
              <w:top w:val="single" w:color="auto" w:sz="4" w:space="0"/>
              <w:left w:val="single" w:color="auto" w:sz="4" w:space="0"/>
              <w:bottom w:val="single" w:color="auto" w:sz="4" w:space="0"/>
              <w:right w:val="single" w:color="auto" w:sz="4" w:space="0"/>
              <w:tl2br w:val="nil"/>
              <w:tr2bl w:val="nil"/>
            </w:tcBorders>
            <w:vAlign w:val="center"/>
          </w:tcPr>
          <w:p>
            <w:pPr>
              <w:spacing w:line="400" w:lineRule="exact"/>
              <w:ind w:firstLine="0" w:firstLineChars="0"/>
              <w:jc w:val="center"/>
              <w:textAlignment w:val="center"/>
              <w:rPr>
                <w:rFonts w:cs="Times New Roman"/>
                <w:color w:val="000000"/>
                <w:sz w:val="24"/>
              </w:rPr>
            </w:pPr>
            <w:r>
              <w:rPr>
                <w:rFonts w:cs="Times New Roman"/>
                <w:color w:val="000000"/>
                <w:kern w:val="0"/>
                <w:sz w:val="24"/>
                <w:lang w:bidi="ar"/>
              </w:rPr>
              <w:t>11</w:t>
            </w:r>
          </w:p>
        </w:tc>
        <w:tc>
          <w:tcPr>
            <w:tcW w:w="1206" w:type="dxa"/>
            <w:tcBorders>
              <w:top w:val="single" w:color="auto" w:sz="4" w:space="0"/>
              <w:left w:val="single" w:color="auto" w:sz="4" w:space="0"/>
              <w:bottom w:val="single" w:color="auto" w:sz="4" w:space="0"/>
              <w:right w:val="single" w:color="auto" w:sz="4" w:space="0"/>
              <w:tl2br w:val="nil"/>
              <w:tr2bl w:val="nil"/>
            </w:tcBorders>
            <w:vAlign w:val="center"/>
          </w:tcPr>
          <w:p>
            <w:pPr>
              <w:spacing w:line="400" w:lineRule="exact"/>
              <w:ind w:firstLine="0" w:firstLineChars="0"/>
              <w:jc w:val="center"/>
              <w:textAlignment w:val="center"/>
              <w:rPr>
                <w:rFonts w:cs="Times New Roman"/>
                <w:color w:val="000000"/>
                <w:sz w:val="24"/>
              </w:rPr>
            </w:pPr>
            <w:r>
              <w:rPr>
                <w:rFonts w:cs="Times New Roman"/>
                <w:color w:val="000000"/>
                <w:kern w:val="0"/>
                <w:sz w:val="24"/>
                <w:lang w:bidi="ar"/>
              </w:rPr>
              <w:t>ROI</w:t>
            </w:r>
          </w:p>
        </w:tc>
        <w:tc>
          <w:tcPr>
            <w:tcW w:w="2045" w:type="dxa"/>
            <w:tcBorders>
              <w:top w:val="single" w:color="auto" w:sz="4" w:space="0"/>
              <w:left w:val="single" w:color="auto" w:sz="4" w:space="0"/>
              <w:bottom w:val="single" w:color="auto" w:sz="4" w:space="0"/>
              <w:right w:val="single" w:color="auto" w:sz="4" w:space="0"/>
              <w:tl2br w:val="nil"/>
              <w:tr2bl w:val="nil"/>
            </w:tcBorders>
            <w:vAlign w:val="center"/>
          </w:tcPr>
          <w:p>
            <w:pPr>
              <w:spacing w:line="400" w:lineRule="exact"/>
              <w:ind w:firstLine="0" w:firstLineChars="0"/>
              <w:jc w:val="center"/>
              <w:textAlignment w:val="center"/>
              <w:rPr>
                <w:rFonts w:cs="Times New Roman"/>
                <w:color w:val="000000"/>
                <w:sz w:val="24"/>
              </w:rPr>
            </w:pPr>
            <w:r>
              <w:rPr>
                <w:rFonts w:cs="Times New Roman"/>
                <w:color w:val="000000"/>
                <w:kern w:val="0"/>
                <w:sz w:val="24"/>
                <w:lang w:bidi="ar"/>
              </w:rPr>
              <w:t>投资回报率</w:t>
            </w:r>
          </w:p>
        </w:tc>
        <w:tc>
          <w:tcPr>
            <w:tcW w:w="4602" w:type="dxa"/>
            <w:tcBorders>
              <w:top w:val="single" w:color="auto" w:sz="4" w:space="0"/>
              <w:left w:val="single" w:color="auto" w:sz="4" w:space="0"/>
              <w:bottom w:val="single" w:color="auto" w:sz="4" w:space="0"/>
              <w:right w:val="single" w:color="auto" w:sz="4" w:space="0"/>
              <w:tl2br w:val="nil"/>
              <w:tr2bl w:val="nil"/>
            </w:tcBorders>
            <w:vAlign w:val="center"/>
          </w:tcPr>
          <w:p>
            <w:pPr>
              <w:spacing w:line="340" w:lineRule="exact"/>
              <w:ind w:firstLine="0" w:firstLineChars="0"/>
              <w:textAlignment w:val="center"/>
              <w:rPr>
                <w:rFonts w:cs="Times New Roman"/>
                <w:color w:val="000000"/>
                <w:sz w:val="24"/>
              </w:rPr>
            </w:pPr>
            <w:r>
              <w:rPr>
                <w:rFonts w:cs="Times New Roman"/>
                <w:color w:val="000000"/>
                <w:kern w:val="0"/>
                <w:sz w:val="24"/>
                <w:lang w:bidi="ar"/>
              </w:rPr>
              <w:t>衡量投入产出比的指标，在</w:t>
            </w:r>
            <w:r>
              <w:rPr>
                <w:rStyle w:val="53"/>
                <w:lang w:bidi="ar"/>
              </w:rPr>
              <w:t>AI</w:t>
            </w:r>
            <w:r>
              <w:rPr>
                <w:rStyle w:val="54"/>
                <w:rFonts w:hint="default" w:ascii="Times New Roman" w:hAnsi="Times New Roman" w:eastAsia="方正仿宋_GBK" w:cs="Times New Roman"/>
                <w:lang w:bidi="ar"/>
              </w:rPr>
              <w:t>项目中用于评估技术投入所带来的业务价值是否值得。</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645" w:hRule="atLeast"/>
          <w:jc w:val="center"/>
        </w:trPr>
        <w:tc>
          <w:tcPr>
            <w:tcW w:w="777" w:type="dxa"/>
            <w:tcBorders>
              <w:top w:val="single" w:color="auto" w:sz="4" w:space="0"/>
              <w:left w:val="single" w:color="auto" w:sz="4" w:space="0"/>
              <w:bottom w:val="single" w:color="auto" w:sz="4" w:space="0"/>
              <w:right w:val="single" w:color="auto" w:sz="4" w:space="0"/>
              <w:tl2br w:val="nil"/>
              <w:tr2bl w:val="nil"/>
            </w:tcBorders>
            <w:vAlign w:val="center"/>
          </w:tcPr>
          <w:p>
            <w:pPr>
              <w:spacing w:line="400" w:lineRule="exact"/>
              <w:ind w:firstLine="0" w:firstLineChars="0"/>
              <w:jc w:val="center"/>
              <w:textAlignment w:val="center"/>
              <w:rPr>
                <w:rFonts w:cs="Times New Roman"/>
                <w:color w:val="000000"/>
                <w:sz w:val="24"/>
              </w:rPr>
            </w:pPr>
            <w:r>
              <w:rPr>
                <w:rFonts w:cs="Times New Roman"/>
                <w:color w:val="000000"/>
                <w:kern w:val="0"/>
                <w:sz w:val="24"/>
                <w:lang w:bidi="ar"/>
              </w:rPr>
              <w:t>12</w:t>
            </w:r>
          </w:p>
        </w:tc>
        <w:tc>
          <w:tcPr>
            <w:tcW w:w="1206" w:type="dxa"/>
            <w:tcBorders>
              <w:top w:val="single" w:color="auto" w:sz="4" w:space="0"/>
              <w:left w:val="single" w:color="auto" w:sz="4" w:space="0"/>
              <w:bottom w:val="single" w:color="auto" w:sz="4" w:space="0"/>
              <w:right w:val="single" w:color="auto" w:sz="4" w:space="0"/>
              <w:tl2br w:val="nil"/>
              <w:tr2bl w:val="nil"/>
            </w:tcBorders>
            <w:vAlign w:val="center"/>
          </w:tcPr>
          <w:p>
            <w:pPr>
              <w:spacing w:line="400" w:lineRule="exact"/>
              <w:ind w:firstLine="0" w:firstLineChars="0"/>
              <w:jc w:val="center"/>
              <w:textAlignment w:val="center"/>
              <w:rPr>
                <w:rFonts w:cs="Times New Roman"/>
                <w:color w:val="000000"/>
                <w:sz w:val="24"/>
              </w:rPr>
            </w:pPr>
            <w:r>
              <w:rPr>
                <w:rFonts w:cs="Times New Roman"/>
                <w:color w:val="000000"/>
                <w:kern w:val="0"/>
                <w:sz w:val="24"/>
                <w:lang w:bidi="ar"/>
              </w:rPr>
              <w:t>显存溢出</w:t>
            </w:r>
          </w:p>
        </w:tc>
        <w:tc>
          <w:tcPr>
            <w:tcW w:w="2045" w:type="dxa"/>
            <w:tcBorders>
              <w:top w:val="single" w:color="auto" w:sz="4" w:space="0"/>
              <w:left w:val="single" w:color="auto" w:sz="4" w:space="0"/>
              <w:bottom w:val="single" w:color="auto" w:sz="4" w:space="0"/>
              <w:right w:val="single" w:color="auto" w:sz="4" w:space="0"/>
              <w:tl2br w:val="nil"/>
              <w:tr2bl w:val="nil"/>
            </w:tcBorders>
            <w:vAlign w:val="center"/>
          </w:tcPr>
          <w:p>
            <w:pPr>
              <w:spacing w:line="400" w:lineRule="exact"/>
              <w:ind w:firstLine="0" w:firstLineChars="0"/>
              <w:jc w:val="center"/>
              <w:textAlignment w:val="center"/>
              <w:rPr>
                <w:rFonts w:cs="Times New Roman"/>
                <w:color w:val="000000"/>
                <w:sz w:val="24"/>
              </w:rPr>
            </w:pPr>
            <w:r>
              <w:rPr>
                <w:rFonts w:cs="Times New Roman"/>
                <w:color w:val="000000"/>
                <w:kern w:val="0"/>
                <w:sz w:val="24"/>
                <w:lang w:bidi="ar"/>
              </w:rPr>
              <w:t>GPU OOM</w:t>
            </w:r>
          </w:p>
        </w:tc>
        <w:tc>
          <w:tcPr>
            <w:tcW w:w="4602" w:type="dxa"/>
            <w:tcBorders>
              <w:top w:val="single" w:color="auto" w:sz="4" w:space="0"/>
              <w:left w:val="single" w:color="auto" w:sz="4" w:space="0"/>
              <w:bottom w:val="single" w:color="auto" w:sz="4" w:space="0"/>
              <w:right w:val="single" w:color="auto" w:sz="4" w:space="0"/>
              <w:tl2br w:val="nil"/>
              <w:tr2bl w:val="nil"/>
            </w:tcBorders>
            <w:vAlign w:val="center"/>
          </w:tcPr>
          <w:p>
            <w:pPr>
              <w:spacing w:line="340" w:lineRule="exact"/>
              <w:ind w:firstLine="0" w:firstLineChars="0"/>
              <w:textAlignment w:val="center"/>
              <w:rPr>
                <w:rFonts w:cs="Times New Roman"/>
                <w:color w:val="000000"/>
                <w:sz w:val="24"/>
              </w:rPr>
            </w:pPr>
            <w:r>
              <w:rPr>
                <w:rFonts w:cs="Times New Roman"/>
                <w:color w:val="000000"/>
                <w:kern w:val="0"/>
                <w:sz w:val="24"/>
                <w:lang w:bidi="ar"/>
              </w:rPr>
              <w:t>GPU显存容量不足以容纳当前模型参数、激活值或批处理数据，导致程序崩溃或训练/推理失败。常见于大模型部署时，需通过模型量化、分批推理等手段解决。</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645" w:hRule="atLeast"/>
          <w:jc w:val="center"/>
        </w:trPr>
        <w:tc>
          <w:tcPr>
            <w:tcW w:w="777" w:type="dxa"/>
            <w:tcBorders>
              <w:top w:val="single" w:color="auto" w:sz="4" w:space="0"/>
              <w:left w:val="single" w:color="auto" w:sz="4" w:space="0"/>
              <w:bottom w:val="single" w:color="auto" w:sz="4" w:space="0"/>
              <w:right w:val="single" w:color="auto" w:sz="4" w:space="0"/>
              <w:tl2br w:val="nil"/>
              <w:tr2bl w:val="nil"/>
            </w:tcBorders>
            <w:vAlign w:val="center"/>
          </w:tcPr>
          <w:p>
            <w:pPr>
              <w:spacing w:line="400" w:lineRule="exact"/>
              <w:ind w:firstLine="0" w:firstLineChars="0"/>
              <w:jc w:val="center"/>
              <w:textAlignment w:val="center"/>
              <w:rPr>
                <w:rFonts w:cs="Times New Roman"/>
                <w:color w:val="000000"/>
                <w:sz w:val="24"/>
              </w:rPr>
            </w:pPr>
            <w:r>
              <w:rPr>
                <w:rFonts w:cs="Times New Roman"/>
                <w:color w:val="000000"/>
                <w:kern w:val="0"/>
                <w:sz w:val="24"/>
                <w:lang w:bidi="ar"/>
              </w:rPr>
              <w:t>13</w:t>
            </w:r>
          </w:p>
        </w:tc>
        <w:tc>
          <w:tcPr>
            <w:tcW w:w="1206" w:type="dxa"/>
            <w:tcBorders>
              <w:top w:val="single" w:color="auto" w:sz="4" w:space="0"/>
              <w:left w:val="single" w:color="auto" w:sz="4" w:space="0"/>
              <w:bottom w:val="single" w:color="auto" w:sz="4" w:space="0"/>
              <w:right w:val="single" w:color="auto" w:sz="4" w:space="0"/>
              <w:tl2br w:val="nil"/>
              <w:tr2bl w:val="nil"/>
            </w:tcBorders>
            <w:vAlign w:val="center"/>
          </w:tcPr>
          <w:p>
            <w:pPr>
              <w:spacing w:line="400" w:lineRule="exact"/>
              <w:ind w:firstLine="0" w:firstLineChars="0"/>
              <w:jc w:val="center"/>
              <w:textAlignment w:val="center"/>
              <w:rPr>
                <w:rFonts w:cs="Times New Roman"/>
                <w:color w:val="000000"/>
                <w:sz w:val="24"/>
              </w:rPr>
            </w:pPr>
            <w:r>
              <w:rPr>
                <w:rFonts w:cs="Times New Roman"/>
                <w:color w:val="000000"/>
                <w:kern w:val="0"/>
                <w:sz w:val="24"/>
                <w:lang w:bidi="ar"/>
              </w:rPr>
              <w:t>P99延迟</w:t>
            </w:r>
          </w:p>
        </w:tc>
        <w:tc>
          <w:tcPr>
            <w:tcW w:w="2045" w:type="dxa"/>
            <w:tcBorders>
              <w:top w:val="single" w:color="auto" w:sz="4" w:space="0"/>
              <w:left w:val="single" w:color="auto" w:sz="4" w:space="0"/>
              <w:bottom w:val="single" w:color="auto" w:sz="4" w:space="0"/>
              <w:right w:val="single" w:color="auto" w:sz="4" w:space="0"/>
              <w:tl2br w:val="nil"/>
              <w:tr2bl w:val="nil"/>
            </w:tcBorders>
            <w:vAlign w:val="center"/>
          </w:tcPr>
          <w:p>
            <w:pPr>
              <w:spacing w:line="400" w:lineRule="exact"/>
              <w:ind w:firstLine="0" w:firstLineChars="0"/>
              <w:jc w:val="center"/>
              <w:textAlignment w:val="center"/>
              <w:rPr>
                <w:rFonts w:cs="Times New Roman"/>
                <w:color w:val="000000"/>
                <w:sz w:val="24"/>
              </w:rPr>
            </w:pPr>
            <w:r>
              <w:rPr>
                <w:rFonts w:cs="Times New Roman"/>
                <w:color w:val="000000"/>
                <w:kern w:val="0"/>
                <w:sz w:val="24"/>
                <w:lang w:bidi="ar"/>
              </w:rPr>
              <w:t>第99百分位延迟</w:t>
            </w:r>
          </w:p>
        </w:tc>
        <w:tc>
          <w:tcPr>
            <w:tcW w:w="4602" w:type="dxa"/>
            <w:tcBorders>
              <w:top w:val="single" w:color="auto" w:sz="4" w:space="0"/>
              <w:left w:val="single" w:color="auto" w:sz="4" w:space="0"/>
              <w:bottom w:val="single" w:color="auto" w:sz="4" w:space="0"/>
              <w:right w:val="single" w:color="auto" w:sz="4" w:space="0"/>
              <w:tl2br w:val="nil"/>
              <w:tr2bl w:val="nil"/>
            </w:tcBorders>
            <w:vAlign w:val="center"/>
          </w:tcPr>
          <w:p>
            <w:pPr>
              <w:spacing w:line="340" w:lineRule="exact"/>
              <w:ind w:firstLine="0" w:firstLineChars="0"/>
              <w:textAlignment w:val="center"/>
              <w:rPr>
                <w:rFonts w:cs="Times New Roman"/>
                <w:color w:val="000000"/>
                <w:sz w:val="24"/>
              </w:rPr>
            </w:pPr>
            <w:r>
              <w:rPr>
                <w:rFonts w:cs="Times New Roman"/>
                <w:color w:val="000000"/>
                <w:kern w:val="0"/>
                <w:sz w:val="24"/>
                <w:lang w:bidi="ar"/>
              </w:rPr>
              <w:t>表示99%的请求响应时间低于该值，仅最慢的1%请求会超过此延迟。是衡量系统性能尾延迟（Tail Latency）的关键指标，比平均延迟更能反映用户体验。</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645" w:hRule="atLeast"/>
          <w:jc w:val="center"/>
        </w:trPr>
        <w:tc>
          <w:tcPr>
            <w:tcW w:w="777" w:type="dxa"/>
            <w:tcBorders>
              <w:top w:val="single" w:color="auto" w:sz="4" w:space="0"/>
              <w:left w:val="single" w:color="auto" w:sz="4" w:space="0"/>
              <w:bottom w:val="single" w:color="auto" w:sz="4" w:space="0"/>
              <w:right w:val="single" w:color="auto" w:sz="4" w:space="0"/>
              <w:tl2br w:val="nil"/>
              <w:tr2bl w:val="nil"/>
            </w:tcBorders>
            <w:vAlign w:val="center"/>
          </w:tcPr>
          <w:p>
            <w:pPr>
              <w:spacing w:line="400" w:lineRule="exact"/>
              <w:ind w:firstLine="0" w:firstLineChars="0"/>
              <w:jc w:val="center"/>
              <w:textAlignment w:val="center"/>
              <w:rPr>
                <w:rFonts w:cs="Times New Roman"/>
                <w:color w:val="000000"/>
                <w:sz w:val="24"/>
              </w:rPr>
            </w:pPr>
            <w:r>
              <w:rPr>
                <w:rFonts w:cs="Times New Roman"/>
                <w:color w:val="000000"/>
                <w:kern w:val="0"/>
                <w:sz w:val="24"/>
                <w:lang w:bidi="ar"/>
              </w:rPr>
              <w:t>14</w:t>
            </w:r>
          </w:p>
        </w:tc>
        <w:tc>
          <w:tcPr>
            <w:tcW w:w="1206" w:type="dxa"/>
            <w:tcBorders>
              <w:top w:val="single" w:color="auto" w:sz="4" w:space="0"/>
              <w:left w:val="single" w:color="auto" w:sz="4" w:space="0"/>
              <w:bottom w:val="single" w:color="auto" w:sz="4" w:space="0"/>
              <w:right w:val="single" w:color="auto" w:sz="4" w:space="0"/>
              <w:tl2br w:val="nil"/>
              <w:tr2bl w:val="nil"/>
            </w:tcBorders>
            <w:vAlign w:val="center"/>
          </w:tcPr>
          <w:p>
            <w:pPr>
              <w:spacing w:line="400" w:lineRule="exact"/>
              <w:ind w:firstLine="0" w:firstLineChars="0"/>
              <w:jc w:val="center"/>
              <w:textAlignment w:val="center"/>
              <w:rPr>
                <w:rFonts w:cs="Times New Roman"/>
                <w:color w:val="000000"/>
                <w:sz w:val="24"/>
              </w:rPr>
            </w:pPr>
            <w:r>
              <w:rPr>
                <w:rFonts w:cs="Times New Roman"/>
                <w:color w:val="000000"/>
                <w:kern w:val="0"/>
                <w:sz w:val="24"/>
                <w:lang w:bidi="ar"/>
              </w:rPr>
              <w:t>显存碎片化</w:t>
            </w:r>
          </w:p>
        </w:tc>
        <w:tc>
          <w:tcPr>
            <w:tcW w:w="2045" w:type="dxa"/>
            <w:tcBorders>
              <w:top w:val="single" w:color="auto" w:sz="4" w:space="0"/>
              <w:left w:val="single" w:color="auto" w:sz="4" w:space="0"/>
              <w:bottom w:val="single" w:color="auto" w:sz="4" w:space="0"/>
              <w:right w:val="single" w:color="auto" w:sz="4" w:space="0"/>
              <w:tl2br w:val="nil"/>
              <w:tr2bl w:val="nil"/>
            </w:tcBorders>
            <w:vAlign w:val="center"/>
          </w:tcPr>
          <w:p>
            <w:pPr>
              <w:spacing w:line="400" w:lineRule="exact"/>
              <w:ind w:firstLine="0" w:firstLineChars="0"/>
              <w:jc w:val="center"/>
              <w:textAlignment w:val="center"/>
              <w:rPr>
                <w:rFonts w:cs="Times New Roman"/>
                <w:color w:val="000000"/>
                <w:sz w:val="24"/>
              </w:rPr>
            </w:pPr>
            <w:r>
              <w:rPr>
                <w:rFonts w:cs="Times New Roman"/>
                <w:color w:val="000000"/>
                <w:kern w:val="0"/>
                <w:sz w:val="24"/>
                <w:lang w:bidi="ar"/>
              </w:rPr>
              <w:t>/</w:t>
            </w:r>
          </w:p>
        </w:tc>
        <w:tc>
          <w:tcPr>
            <w:tcW w:w="4602" w:type="dxa"/>
            <w:tcBorders>
              <w:top w:val="single" w:color="auto" w:sz="4" w:space="0"/>
              <w:left w:val="single" w:color="auto" w:sz="4" w:space="0"/>
              <w:bottom w:val="single" w:color="auto" w:sz="4" w:space="0"/>
              <w:right w:val="single" w:color="auto" w:sz="4" w:space="0"/>
              <w:tl2br w:val="nil"/>
              <w:tr2bl w:val="nil"/>
            </w:tcBorders>
            <w:vAlign w:val="center"/>
          </w:tcPr>
          <w:p>
            <w:pPr>
              <w:spacing w:line="340" w:lineRule="exact"/>
              <w:ind w:firstLine="0" w:firstLineChars="0"/>
              <w:textAlignment w:val="center"/>
              <w:rPr>
                <w:rFonts w:cs="Times New Roman"/>
                <w:color w:val="000000"/>
                <w:sz w:val="24"/>
              </w:rPr>
            </w:pPr>
            <w:r>
              <w:rPr>
                <w:rFonts w:cs="Times New Roman"/>
                <w:color w:val="000000"/>
                <w:kern w:val="0"/>
                <w:sz w:val="24"/>
                <w:lang w:bidi="ar"/>
              </w:rPr>
              <w:t>GPU显存被分割成许多不连续的小块，虽然总空闲显存充足，但无法分配出足够大的连续内存空间来满足请求，导致显存利用率低下甚至OOM。</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645" w:hRule="atLeast"/>
          <w:jc w:val="center"/>
        </w:trPr>
        <w:tc>
          <w:tcPr>
            <w:tcW w:w="777" w:type="dxa"/>
            <w:tcBorders>
              <w:top w:val="single" w:color="auto" w:sz="4" w:space="0"/>
              <w:left w:val="single" w:color="auto" w:sz="4" w:space="0"/>
              <w:bottom w:val="single" w:color="auto" w:sz="4" w:space="0"/>
              <w:right w:val="single" w:color="auto" w:sz="4" w:space="0"/>
              <w:tl2br w:val="nil"/>
              <w:tr2bl w:val="nil"/>
            </w:tcBorders>
            <w:vAlign w:val="center"/>
          </w:tcPr>
          <w:p>
            <w:pPr>
              <w:spacing w:line="400" w:lineRule="exact"/>
              <w:ind w:firstLine="0" w:firstLineChars="0"/>
              <w:jc w:val="center"/>
              <w:textAlignment w:val="center"/>
              <w:rPr>
                <w:rFonts w:cs="Times New Roman"/>
                <w:color w:val="000000"/>
                <w:sz w:val="24"/>
              </w:rPr>
            </w:pPr>
            <w:r>
              <w:rPr>
                <w:rFonts w:cs="Times New Roman"/>
                <w:color w:val="000000"/>
                <w:kern w:val="0"/>
                <w:sz w:val="24"/>
                <w:lang w:bidi="ar"/>
              </w:rPr>
              <w:t>15</w:t>
            </w:r>
          </w:p>
        </w:tc>
        <w:tc>
          <w:tcPr>
            <w:tcW w:w="1206" w:type="dxa"/>
            <w:tcBorders>
              <w:top w:val="single" w:color="auto" w:sz="4" w:space="0"/>
              <w:left w:val="single" w:color="auto" w:sz="4" w:space="0"/>
              <w:bottom w:val="single" w:color="auto" w:sz="4" w:space="0"/>
              <w:right w:val="single" w:color="auto" w:sz="4" w:space="0"/>
              <w:tl2br w:val="nil"/>
              <w:tr2bl w:val="nil"/>
            </w:tcBorders>
            <w:vAlign w:val="center"/>
          </w:tcPr>
          <w:p>
            <w:pPr>
              <w:spacing w:line="400" w:lineRule="exact"/>
              <w:ind w:firstLine="0" w:firstLineChars="0"/>
              <w:jc w:val="center"/>
              <w:textAlignment w:val="center"/>
              <w:rPr>
                <w:rFonts w:cs="Times New Roman"/>
                <w:color w:val="000000"/>
                <w:sz w:val="24"/>
              </w:rPr>
            </w:pPr>
            <w:r>
              <w:rPr>
                <w:rFonts w:cs="Times New Roman"/>
                <w:color w:val="000000"/>
                <w:kern w:val="0"/>
                <w:sz w:val="24"/>
                <w:lang w:bidi="ar"/>
              </w:rPr>
              <w:t>FAQ机器人</w:t>
            </w:r>
          </w:p>
        </w:tc>
        <w:tc>
          <w:tcPr>
            <w:tcW w:w="2045" w:type="dxa"/>
            <w:tcBorders>
              <w:top w:val="single" w:color="auto" w:sz="4" w:space="0"/>
              <w:left w:val="single" w:color="auto" w:sz="4" w:space="0"/>
              <w:bottom w:val="single" w:color="auto" w:sz="4" w:space="0"/>
              <w:right w:val="single" w:color="auto" w:sz="4" w:space="0"/>
              <w:tl2br w:val="nil"/>
              <w:tr2bl w:val="nil"/>
            </w:tcBorders>
            <w:vAlign w:val="center"/>
          </w:tcPr>
          <w:p>
            <w:pPr>
              <w:spacing w:line="400" w:lineRule="exact"/>
              <w:ind w:firstLine="0" w:firstLineChars="0"/>
              <w:jc w:val="center"/>
              <w:textAlignment w:val="center"/>
              <w:rPr>
                <w:rFonts w:cs="Times New Roman"/>
                <w:color w:val="000000"/>
                <w:sz w:val="24"/>
              </w:rPr>
            </w:pPr>
            <w:r>
              <w:rPr>
                <w:rFonts w:cs="Times New Roman"/>
                <w:color w:val="000000"/>
                <w:kern w:val="0"/>
                <w:sz w:val="24"/>
                <w:lang w:bidi="ar"/>
              </w:rPr>
              <w:t>常见问题机器人</w:t>
            </w:r>
          </w:p>
        </w:tc>
        <w:tc>
          <w:tcPr>
            <w:tcW w:w="4602" w:type="dxa"/>
            <w:tcBorders>
              <w:top w:val="single" w:color="auto" w:sz="4" w:space="0"/>
              <w:left w:val="single" w:color="auto" w:sz="4" w:space="0"/>
              <w:bottom w:val="single" w:color="auto" w:sz="4" w:space="0"/>
              <w:right w:val="single" w:color="auto" w:sz="4" w:space="0"/>
              <w:tl2br w:val="nil"/>
              <w:tr2bl w:val="nil"/>
            </w:tcBorders>
            <w:vAlign w:val="center"/>
          </w:tcPr>
          <w:p>
            <w:pPr>
              <w:spacing w:line="340" w:lineRule="exact"/>
              <w:ind w:firstLine="0" w:firstLineChars="0"/>
              <w:textAlignment w:val="center"/>
              <w:rPr>
                <w:rFonts w:cs="Times New Roman"/>
                <w:color w:val="000000"/>
                <w:sz w:val="24"/>
              </w:rPr>
            </w:pPr>
            <w:r>
              <w:rPr>
                <w:rFonts w:cs="Times New Roman"/>
                <w:color w:val="000000"/>
                <w:kern w:val="0"/>
                <w:sz w:val="24"/>
                <w:lang w:bidi="ar"/>
              </w:rPr>
              <w:t>基于预定义的常见问题与答案库，自动识别用户意图并返回对应答案的客服系统。常用于企业知识库场景，快速响应高频重复性问题，降低人工客服压力。</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645" w:hRule="atLeast"/>
          <w:jc w:val="center"/>
        </w:trPr>
        <w:tc>
          <w:tcPr>
            <w:tcW w:w="777" w:type="dxa"/>
            <w:tcBorders>
              <w:top w:val="single" w:color="auto" w:sz="4" w:space="0"/>
              <w:left w:val="single" w:color="auto" w:sz="4" w:space="0"/>
              <w:bottom w:val="single" w:color="auto" w:sz="4" w:space="0"/>
              <w:right w:val="single" w:color="auto" w:sz="4" w:space="0"/>
              <w:tl2br w:val="nil"/>
              <w:tr2bl w:val="nil"/>
            </w:tcBorders>
            <w:vAlign w:val="center"/>
          </w:tcPr>
          <w:p>
            <w:pPr>
              <w:spacing w:line="400" w:lineRule="exact"/>
              <w:ind w:firstLine="0" w:firstLineChars="0"/>
              <w:jc w:val="center"/>
              <w:textAlignment w:val="center"/>
              <w:rPr>
                <w:rFonts w:cs="Times New Roman"/>
                <w:color w:val="000000"/>
                <w:sz w:val="24"/>
              </w:rPr>
            </w:pPr>
            <w:r>
              <w:rPr>
                <w:rFonts w:cs="Times New Roman"/>
                <w:color w:val="000000"/>
                <w:kern w:val="0"/>
                <w:sz w:val="24"/>
                <w:lang w:bidi="ar"/>
              </w:rPr>
              <w:t>16</w:t>
            </w:r>
          </w:p>
        </w:tc>
        <w:tc>
          <w:tcPr>
            <w:tcW w:w="1206" w:type="dxa"/>
            <w:tcBorders>
              <w:top w:val="single" w:color="auto" w:sz="4" w:space="0"/>
              <w:left w:val="single" w:color="auto" w:sz="4" w:space="0"/>
              <w:bottom w:val="single" w:color="auto" w:sz="4" w:space="0"/>
              <w:right w:val="single" w:color="auto" w:sz="4" w:space="0"/>
              <w:tl2br w:val="nil"/>
              <w:tr2bl w:val="nil"/>
            </w:tcBorders>
            <w:vAlign w:val="center"/>
          </w:tcPr>
          <w:p>
            <w:pPr>
              <w:spacing w:line="400" w:lineRule="exact"/>
              <w:ind w:firstLine="0" w:firstLineChars="0"/>
              <w:jc w:val="center"/>
              <w:textAlignment w:val="center"/>
              <w:rPr>
                <w:rFonts w:cs="Times New Roman"/>
                <w:color w:val="000000"/>
                <w:sz w:val="24"/>
              </w:rPr>
            </w:pPr>
            <w:r>
              <w:rPr>
                <w:rFonts w:cs="Times New Roman"/>
                <w:color w:val="000000"/>
                <w:kern w:val="0"/>
                <w:sz w:val="24"/>
                <w:lang w:bidi="ar"/>
              </w:rPr>
              <w:t>POC试点</w:t>
            </w:r>
          </w:p>
        </w:tc>
        <w:tc>
          <w:tcPr>
            <w:tcW w:w="2045" w:type="dxa"/>
            <w:tcBorders>
              <w:top w:val="single" w:color="auto" w:sz="4" w:space="0"/>
              <w:left w:val="single" w:color="auto" w:sz="4" w:space="0"/>
              <w:bottom w:val="single" w:color="auto" w:sz="4" w:space="0"/>
              <w:right w:val="single" w:color="auto" w:sz="4" w:space="0"/>
              <w:tl2br w:val="nil"/>
              <w:tr2bl w:val="nil"/>
            </w:tcBorders>
            <w:vAlign w:val="center"/>
          </w:tcPr>
          <w:p>
            <w:pPr>
              <w:spacing w:line="400" w:lineRule="exact"/>
              <w:ind w:firstLine="0" w:firstLineChars="0"/>
              <w:jc w:val="center"/>
              <w:textAlignment w:val="center"/>
              <w:rPr>
                <w:rFonts w:cs="Times New Roman"/>
                <w:color w:val="000000"/>
                <w:sz w:val="24"/>
              </w:rPr>
            </w:pPr>
            <w:r>
              <w:rPr>
                <w:rFonts w:cs="Times New Roman"/>
                <w:color w:val="000000"/>
                <w:kern w:val="0"/>
                <w:sz w:val="24"/>
                <w:lang w:bidi="ar"/>
              </w:rPr>
              <w:t>概念验证试点</w:t>
            </w:r>
          </w:p>
        </w:tc>
        <w:tc>
          <w:tcPr>
            <w:tcW w:w="4602" w:type="dxa"/>
            <w:tcBorders>
              <w:top w:val="single" w:color="auto" w:sz="4" w:space="0"/>
              <w:left w:val="single" w:color="auto" w:sz="4" w:space="0"/>
              <w:bottom w:val="single" w:color="auto" w:sz="4" w:space="0"/>
              <w:right w:val="single" w:color="auto" w:sz="4" w:space="0"/>
              <w:tl2br w:val="nil"/>
              <w:tr2bl w:val="nil"/>
            </w:tcBorders>
            <w:vAlign w:val="center"/>
          </w:tcPr>
          <w:p>
            <w:pPr>
              <w:spacing w:line="340" w:lineRule="exact"/>
              <w:ind w:firstLine="0" w:firstLineChars="0"/>
              <w:textAlignment w:val="center"/>
              <w:rPr>
                <w:rFonts w:cs="Times New Roman"/>
                <w:color w:val="000000"/>
                <w:sz w:val="24"/>
              </w:rPr>
            </w:pPr>
            <w:r>
              <w:rPr>
                <w:rFonts w:cs="Times New Roman"/>
                <w:color w:val="000000"/>
                <w:kern w:val="0"/>
                <w:sz w:val="24"/>
                <w:lang w:bidi="ar"/>
              </w:rPr>
              <w:t>在正式项目启动前，通过小规模的技术验证来证明方案的可行性，评估技术风险与预期效果，为后续决策提供依据。</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960" w:hRule="atLeast"/>
          <w:jc w:val="center"/>
        </w:trPr>
        <w:tc>
          <w:tcPr>
            <w:tcW w:w="777" w:type="dxa"/>
            <w:tcBorders>
              <w:top w:val="single" w:color="auto" w:sz="4" w:space="0"/>
              <w:left w:val="single" w:color="auto" w:sz="4" w:space="0"/>
              <w:bottom w:val="single" w:color="auto" w:sz="4" w:space="0"/>
              <w:right w:val="single" w:color="auto" w:sz="4" w:space="0"/>
              <w:tl2br w:val="nil"/>
              <w:tr2bl w:val="nil"/>
            </w:tcBorders>
            <w:vAlign w:val="center"/>
          </w:tcPr>
          <w:p>
            <w:pPr>
              <w:spacing w:line="400" w:lineRule="exact"/>
              <w:ind w:firstLine="0" w:firstLineChars="0"/>
              <w:jc w:val="center"/>
              <w:textAlignment w:val="center"/>
              <w:rPr>
                <w:rFonts w:cs="Times New Roman"/>
                <w:color w:val="000000"/>
                <w:sz w:val="24"/>
              </w:rPr>
            </w:pPr>
            <w:r>
              <w:rPr>
                <w:rFonts w:cs="Times New Roman"/>
                <w:color w:val="000000"/>
                <w:kern w:val="0"/>
                <w:sz w:val="24"/>
                <w:lang w:bidi="ar"/>
              </w:rPr>
              <w:t>17</w:t>
            </w:r>
          </w:p>
        </w:tc>
        <w:tc>
          <w:tcPr>
            <w:tcW w:w="1206" w:type="dxa"/>
            <w:tcBorders>
              <w:top w:val="single" w:color="auto" w:sz="4" w:space="0"/>
              <w:left w:val="single" w:color="auto" w:sz="4" w:space="0"/>
              <w:bottom w:val="single" w:color="auto" w:sz="4" w:space="0"/>
              <w:right w:val="single" w:color="auto" w:sz="4" w:space="0"/>
              <w:tl2br w:val="nil"/>
              <w:tr2bl w:val="nil"/>
            </w:tcBorders>
            <w:vAlign w:val="center"/>
          </w:tcPr>
          <w:p>
            <w:pPr>
              <w:spacing w:line="400" w:lineRule="exact"/>
              <w:ind w:firstLine="0" w:firstLineChars="0"/>
              <w:jc w:val="center"/>
              <w:textAlignment w:val="center"/>
              <w:rPr>
                <w:rFonts w:cs="Times New Roman"/>
                <w:color w:val="000000"/>
                <w:sz w:val="24"/>
              </w:rPr>
            </w:pPr>
            <w:r>
              <w:rPr>
                <w:rFonts w:cs="Times New Roman"/>
                <w:color w:val="000000"/>
                <w:kern w:val="0"/>
                <w:sz w:val="24"/>
                <w:lang w:bidi="ar"/>
              </w:rPr>
              <w:t>INT8/INT4</w:t>
            </w:r>
          </w:p>
        </w:tc>
        <w:tc>
          <w:tcPr>
            <w:tcW w:w="2045" w:type="dxa"/>
            <w:tcBorders>
              <w:top w:val="single" w:color="auto" w:sz="4" w:space="0"/>
              <w:left w:val="single" w:color="auto" w:sz="4" w:space="0"/>
              <w:bottom w:val="single" w:color="auto" w:sz="4" w:space="0"/>
              <w:right w:val="single" w:color="auto" w:sz="4" w:space="0"/>
              <w:tl2br w:val="nil"/>
              <w:tr2bl w:val="nil"/>
            </w:tcBorders>
            <w:vAlign w:val="center"/>
          </w:tcPr>
          <w:p>
            <w:pPr>
              <w:spacing w:line="400" w:lineRule="exact"/>
              <w:ind w:firstLine="0" w:firstLineChars="0"/>
              <w:jc w:val="center"/>
              <w:textAlignment w:val="center"/>
              <w:rPr>
                <w:rFonts w:cs="Times New Roman"/>
                <w:color w:val="000000"/>
                <w:sz w:val="24"/>
              </w:rPr>
            </w:pPr>
            <w:r>
              <w:rPr>
                <w:rFonts w:cs="Times New Roman"/>
                <w:color w:val="000000"/>
                <w:kern w:val="0"/>
                <w:sz w:val="24"/>
                <w:lang w:bidi="ar"/>
              </w:rPr>
              <w:t>8位/4位整数量化</w:t>
            </w:r>
          </w:p>
        </w:tc>
        <w:tc>
          <w:tcPr>
            <w:tcW w:w="4602" w:type="dxa"/>
            <w:tcBorders>
              <w:top w:val="single" w:color="auto" w:sz="4" w:space="0"/>
              <w:left w:val="single" w:color="auto" w:sz="4" w:space="0"/>
              <w:bottom w:val="single" w:color="auto" w:sz="4" w:space="0"/>
              <w:right w:val="single" w:color="auto" w:sz="4" w:space="0"/>
              <w:tl2br w:val="nil"/>
              <w:tr2bl w:val="nil"/>
            </w:tcBorders>
            <w:vAlign w:val="center"/>
          </w:tcPr>
          <w:p>
            <w:pPr>
              <w:spacing w:line="340" w:lineRule="exact"/>
              <w:ind w:firstLine="0" w:firstLineChars="0"/>
              <w:textAlignment w:val="center"/>
              <w:rPr>
                <w:rFonts w:cs="Times New Roman"/>
                <w:color w:val="000000"/>
                <w:sz w:val="24"/>
              </w:rPr>
            </w:pPr>
            <w:r>
              <w:rPr>
                <w:rFonts w:cs="Times New Roman"/>
                <w:color w:val="000000"/>
                <w:kern w:val="0"/>
                <w:sz w:val="24"/>
                <w:lang w:bidi="ar"/>
              </w:rPr>
              <w:t>将模型中的浮点权重（如FP16/FP32）转换为低精度整数表示的技术。INT8将权重压缩为8位整数，INT4进一步压缩为4位整数，可显著减少模型体积和推理算力需求，是模型部署加速的重要手段。</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645" w:hRule="atLeast"/>
          <w:jc w:val="center"/>
        </w:trPr>
        <w:tc>
          <w:tcPr>
            <w:tcW w:w="777" w:type="dxa"/>
            <w:tcBorders>
              <w:top w:val="single" w:color="auto" w:sz="4" w:space="0"/>
              <w:left w:val="single" w:color="auto" w:sz="4" w:space="0"/>
              <w:bottom w:val="single" w:color="auto" w:sz="4" w:space="0"/>
              <w:right w:val="single" w:color="auto" w:sz="4" w:space="0"/>
              <w:tl2br w:val="nil"/>
              <w:tr2bl w:val="nil"/>
            </w:tcBorders>
            <w:vAlign w:val="center"/>
          </w:tcPr>
          <w:p>
            <w:pPr>
              <w:spacing w:line="400" w:lineRule="exact"/>
              <w:ind w:firstLine="0" w:firstLineChars="0"/>
              <w:jc w:val="center"/>
              <w:textAlignment w:val="center"/>
              <w:rPr>
                <w:rFonts w:cs="Times New Roman"/>
                <w:color w:val="000000"/>
                <w:sz w:val="24"/>
              </w:rPr>
            </w:pPr>
            <w:r>
              <w:rPr>
                <w:rFonts w:cs="Times New Roman"/>
                <w:color w:val="000000"/>
                <w:kern w:val="0"/>
                <w:sz w:val="24"/>
                <w:lang w:bidi="ar"/>
              </w:rPr>
              <w:t>18</w:t>
            </w:r>
          </w:p>
        </w:tc>
        <w:tc>
          <w:tcPr>
            <w:tcW w:w="1206" w:type="dxa"/>
            <w:tcBorders>
              <w:top w:val="single" w:color="auto" w:sz="4" w:space="0"/>
              <w:left w:val="single" w:color="auto" w:sz="4" w:space="0"/>
              <w:bottom w:val="single" w:color="auto" w:sz="4" w:space="0"/>
              <w:right w:val="single" w:color="auto" w:sz="4" w:space="0"/>
              <w:tl2br w:val="nil"/>
              <w:tr2bl w:val="nil"/>
            </w:tcBorders>
            <w:vAlign w:val="center"/>
          </w:tcPr>
          <w:p>
            <w:pPr>
              <w:spacing w:line="400" w:lineRule="exact"/>
              <w:ind w:firstLine="0" w:firstLineChars="0"/>
              <w:jc w:val="center"/>
              <w:textAlignment w:val="center"/>
              <w:rPr>
                <w:rFonts w:cs="Times New Roman"/>
                <w:color w:val="000000"/>
                <w:sz w:val="24"/>
              </w:rPr>
            </w:pPr>
            <w:r>
              <w:rPr>
                <w:rFonts w:cs="Times New Roman"/>
                <w:color w:val="000000"/>
                <w:kern w:val="0"/>
                <w:sz w:val="24"/>
                <w:lang w:bidi="ar"/>
              </w:rPr>
              <w:t>Docker容器化</w:t>
            </w:r>
          </w:p>
        </w:tc>
        <w:tc>
          <w:tcPr>
            <w:tcW w:w="2045" w:type="dxa"/>
            <w:tcBorders>
              <w:top w:val="single" w:color="auto" w:sz="4" w:space="0"/>
              <w:left w:val="single" w:color="auto" w:sz="4" w:space="0"/>
              <w:bottom w:val="single" w:color="auto" w:sz="4" w:space="0"/>
              <w:right w:val="single" w:color="auto" w:sz="4" w:space="0"/>
              <w:tl2br w:val="nil"/>
              <w:tr2bl w:val="nil"/>
            </w:tcBorders>
            <w:vAlign w:val="center"/>
          </w:tcPr>
          <w:p>
            <w:pPr>
              <w:spacing w:line="400" w:lineRule="exact"/>
              <w:ind w:firstLine="0" w:firstLineChars="0"/>
              <w:jc w:val="center"/>
              <w:textAlignment w:val="center"/>
              <w:rPr>
                <w:rFonts w:cs="Times New Roman"/>
                <w:color w:val="000000"/>
                <w:sz w:val="24"/>
              </w:rPr>
            </w:pPr>
            <w:r>
              <w:rPr>
                <w:rFonts w:cs="Times New Roman"/>
                <w:color w:val="000000"/>
                <w:kern w:val="0"/>
                <w:sz w:val="24"/>
                <w:lang w:bidi="ar"/>
              </w:rPr>
              <w:t>/</w:t>
            </w:r>
          </w:p>
        </w:tc>
        <w:tc>
          <w:tcPr>
            <w:tcW w:w="4602" w:type="dxa"/>
            <w:tcBorders>
              <w:top w:val="single" w:color="auto" w:sz="4" w:space="0"/>
              <w:left w:val="single" w:color="auto" w:sz="4" w:space="0"/>
              <w:bottom w:val="single" w:color="auto" w:sz="4" w:space="0"/>
              <w:right w:val="single" w:color="auto" w:sz="4" w:space="0"/>
              <w:tl2br w:val="nil"/>
              <w:tr2bl w:val="nil"/>
            </w:tcBorders>
            <w:vAlign w:val="center"/>
          </w:tcPr>
          <w:p>
            <w:pPr>
              <w:spacing w:line="340" w:lineRule="exact"/>
              <w:ind w:firstLine="0" w:firstLineChars="0"/>
              <w:textAlignment w:val="center"/>
              <w:rPr>
                <w:rFonts w:cs="Times New Roman"/>
                <w:color w:val="000000"/>
                <w:sz w:val="24"/>
              </w:rPr>
            </w:pPr>
            <w:r>
              <w:rPr>
                <w:rFonts w:cs="Times New Roman"/>
                <w:color w:val="000000"/>
                <w:kern w:val="0"/>
                <w:sz w:val="24"/>
                <w:lang w:bidi="ar"/>
              </w:rPr>
              <w:t>使用Docker容器技术将应用及其依赖环境打包为一个标准化的可执行单元，实现</w:t>
            </w:r>
            <w:r>
              <w:rPr>
                <w:rFonts w:hint="eastAsia" w:cs="Times New Roman"/>
                <w:color w:val="000000"/>
                <w:kern w:val="0"/>
                <w:sz w:val="24"/>
                <w:lang w:bidi="ar"/>
              </w:rPr>
              <w:t>“</w:t>
            </w:r>
            <w:r>
              <w:rPr>
                <w:rFonts w:cs="Times New Roman"/>
                <w:color w:val="000000"/>
                <w:kern w:val="0"/>
                <w:sz w:val="24"/>
                <w:lang w:bidi="ar"/>
              </w:rPr>
              <w:t>一次构建，到处运行</w:t>
            </w:r>
            <w:r>
              <w:rPr>
                <w:rFonts w:hint="eastAsia" w:cs="Times New Roman"/>
                <w:color w:val="000000"/>
                <w:kern w:val="0"/>
                <w:sz w:val="24"/>
                <w:lang w:bidi="ar"/>
              </w:rPr>
              <w:t>”</w:t>
            </w:r>
            <w:r>
              <w:rPr>
                <w:rFonts w:cs="Times New Roman"/>
                <w:color w:val="000000"/>
                <w:kern w:val="0"/>
                <w:sz w:val="24"/>
                <w:lang w:bidi="ar"/>
              </w:rPr>
              <w:t>。相比传统虚拟机更轻量、启动更快，便于应用的部署、扩展和管理。</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960" w:hRule="atLeast"/>
          <w:jc w:val="center"/>
        </w:trPr>
        <w:tc>
          <w:tcPr>
            <w:tcW w:w="777" w:type="dxa"/>
            <w:tcBorders>
              <w:top w:val="single" w:color="auto" w:sz="4" w:space="0"/>
              <w:left w:val="single" w:color="auto" w:sz="4" w:space="0"/>
              <w:bottom w:val="single" w:color="auto" w:sz="4" w:space="0"/>
              <w:right w:val="single" w:color="auto" w:sz="4" w:space="0"/>
              <w:tl2br w:val="nil"/>
              <w:tr2bl w:val="nil"/>
            </w:tcBorders>
            <w:vAlign w:val="center"/>
          </w:tcPr>
          <w:p>
            <w:pPr>
              <w:spacing w:line="400" w:lineRule="exact"/>
              <w:ind w:firstLine="0" w:firstLineChars="0"/>
              <w:jc w:val="center"/>
              <w:textAlignment w:val="center"/>
              <w:rPr>
                <w:rFonts w:cs="Times New Roman"/>
                <w:color w:val="000000"/>
                <w:sz w:val="24"/>
              </w:rPr>
            </w:pPr>
            <w:r>
              <w:rPr>
                <w:rFonts w:cs="Times New Roman"/>
                <w:color w:val="000000"/>
                <w:kern w:val="0"/>
                <w:sz w:val="24"/>
                <w:lang w:bidi="ar"/>
              </w:rPr>
              <w:t>19</w:t>
            </w:r>
          </w:p>
        </w:tc>
        <w:tc>
          <w:tcPr>
            <w:tcW w:w="1206" w:type="dxa"/>
            <w:tcBorders>
              <w:top w:val="single" w:color="auto" w:sz="4" w:space="0"/>
              <w:left w:val="single" w:color="auto" w:sz="4" w:space="0"/>
              <w:bottom w:val="single" w:color="auto" w:sz="4" w:space="0"/>
              <w:right w:val="single" w:color="auto" w:sz="4" w:space="0"/>
              <w:tl2br w:val="nil"/>
              <w:tr2bl w:val="nil"/>
            </w:tcBorders>
            <w:vAlign w:val="center"/>
          </w:tcPr>
          <w:p>
            <w:pPr>
              <w:spacing w:line="400" w:lineRule="exact"/>
              <w:ind w:firstLine="0" w:firstLineChars="0"/>
              <w:jc w:val="center"/>
              <w:textAlignment w:val="center"/>
              <w:rPr>
                <w:rFonts w:cs="Times New Roman"/>
                <w:color w:val="000000"/>
                <w:sz w:val="24"/>
              </w:rPr>
            </w:pPr>
            <w:r>
              <w:rPr>
                <w:rFonts w:cs="Times New Roman"/>
                <w:color w:val="000000"/>
                <w:kern w:val="0"/>
                <w:sz w:val="24"/>
                <w:lang w:bidi="ar"/>
              </w:rPr>
              <w:t>RAG</w:t>
            </w:r>
          </w:p>
        </w:tc>
        <w:tc>
          <w:tcPr>
            <w:tcW w:w="2045" w:type="dxa"/>
            <w:tcBorders>
              <w:top w:val="single" w:color="auto" w:sz="4" w:space="0"/>
              <w:left w:val="single" w:color="auto" w:sz="4" w:space="0"/>
              <w:bottom w:val="single" w:color="auto" w:sz="4" w:space="0"/>
              <w:right w:val="single" w:color="auto" w:sz="4" w:space="0"/>
              <w:tl2br w:val="nil"/>
              <w:tr2bl w:val="nil"/>
            </w:tcBorders>
            <w:vAlign w:val="center"/>
          </w:tcPr>
          <w:p>
            <w:pPr>
              <w:spacing w:line="400" w:lineRule="exact"/>
              <w:ind w:firstLine="0" w:firstLineChars="0"/>
              <w:jc w:val="center"/>
              <w:textAlignment w:val="center"/>
              <w:rPr>
                <w:rFonts w:cs="Times New Roman"/>
                <w:color w:val="000000"/>
                <w:sz w:val="24"/>
              </w:rPr>
            </w:pPr>
            <w:r>
              <w:rPr>
                <w:rFonts w:cs="Times New Roman"/>
                <w:color w:val="000000"/>
                <w:kern w:val="0"/>
                <w:sz w:val="24"/>
                <w:lang w:bidi="ar"/>
              </w:rPr>
              <w:t>检索增强生成</w:t>
            </w:r>
          </w:p>
        </w:tc>
        <w:tc>
          <w:tcPr>
            <w:tcW w:w="4602" w:type="dxa"/>
            <w:tcBorders>
              <w:top w:val="single" w:color="auto" w:sz="4" w:space="0"/>
              <w:left w:val="single" w:color="auto" w:sz="4" w:space="0"/>
              <w:bottom w:val="single" w:color="auto" w:sz="4" w:space="0"/>
              <w:right w:val="single" w:color="auto" w:sz="4" w:space="0"/>
              <w:tl2br w:val="nil"/>
              <w:tr2bl w:val="nil"/>
            </w:tcBorders>
            <w:vAlign w:val="center"/>
          </w:tcPr>
          <w:p>
            <w:pPr>
              <w:spacing w:line="340" w:lineRule="exact"/>
              <w:ind w:firstLine="0" w:firstLineChars="0"/>
              <w:textAlignment w:val="center"/>
              <w:rPr>
                <w:rFonts w:cs="Times New Roman"/>
                <w:color w:val="000000"/>
                <w:sz w:val="24"/>
              </w:rPr>
            </w:pPr>
            <w:r>
              <w:rPr>
                <w:rFonts w:cs="Times New Roman"/>
                <w:color w:val="000000"/>
                <w:kern w:val="0"/>
                <w:sz w:val="24"/>
                <w:lang w:bidi="ar"/>
              </w:rPr>
              <w:t>将外部知识库的检索能力与大语言模型的生成能力相结合的技术。当模型回答问题时，先从知识库中检索相关文档片段，再将检索结果与用户问题一起输入模型生成回答，有效提升回答的准确性和时效性。</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645" w:hRule="atLeast"/>
          <w:jc w:val="center"/>
        </w:trPr>
        <w:tc>
          <w:tcPr>
            <w:tcW w:w="777" w:type="dxa"/>
            <w:tcBorders>
              <w:top w:val="single" w:color="auto" w:sz="4" w:space="0"/>
              <w:left w:val="single" w:color="auto" w:sz="4" w:space="0"/>
              <w:bottom w:val="single" w:color="auto" w:sz="4" w:space="0"/>
              <w:right w:val="single" w:color="auto" w:sz="4" w:space="0"/>
              <w:tl2br w:val="nil"/>
              <w:tr2bl w:val="nil"/>
            </w:tcBorders>
            <w:vAlign w:val="center"/>
          </w:tcPr>
          <w:p>
            <w:pPr>
              <w:spacing w:line="400" w:lineRule="exact"/>
              <w:ind w:firstLine="0" w:firstLineChars="0"/>
              <w:jc w:val="center"/>
              <w:textAlignment w:val="center"/>
              <w:rPr>
                <w:rFonts w:cs="Times New Roman"/>
                <w:color w:val="000000"/>
                <w:sz w:val="24"/>
              </w:rPr>
            </w:pPr>
            <w:r>
              <w:rPr>
                <w:rFonts w:cs="Times New Roman"/>
                <w:color w:val="000000"/>
                <w:kern w:val="0"/>
                <w:sz w:val="24"/>
                <w:lang w:bidi="ar"/>
              </w:rPr>
              <w:t>20</w:t>
            </w:r>
          </w:p>
        </w:tc>
        <w:tc>
          <w:tcPr>
            <w:tcW w:w="1206" w:type="dxa"/>
            <w:tcBorders>
              <w:top w:val="single" w:color="auto" w:sz="4" w:space="0"/>
              <w:left w:val="single" w:color="auto" w:sz="4" w:space="0"/>
              <w:bottom w:val="single" w:color="auto" w:sz="4" w:space="0"/>
              <w:right w:val="single" w:color="auto" w:sz="4" w:space="0"/>
              <w:tl2br w:val="nil"/>
              <w:tr2bl w:val="nil"/>
            </w:tcBorders>
            <w:vAlign w:val="center"/>
          </w:tcPr>
          <w:p>
            <w:pPr>
              <w:spacing w:line="400" w:lineRule="exact"/>
              <w:ind w:firstLine="0" w:firstLineChars="0"/>
              <w:jc w:val="center"/>
              <w:textAlignment w:val="center"/>
              <w:rPr>
                <w:rFonts w:cs="Times New Roman"/>
                <w:color w:val="000000"/>
                <w:sz w:val="24"/>
              </w:rPr>
            </w:pPr>
            <w:r>
              <w:rPr>
                <w:rFonts w:cs="Times New Roman"/>
                <w:color w:val="000000"/>
                <w:kern w:val="0"/>
                <w:sz w:val="24"/>
                <w:lang w:bidi="ar"/>
              </w:rPr>
              <w:t>RMM</w:t>
            </w:r>
          </w:p>
        </w:tc>
        <w:tc>
          <w:tcPr>
            <w:tcW w:w="2045" w:type="dxa"/>
            <w:tcBorders>
              <w:top w:val="single" w:color="auto" w:sz="4" w:space="0"/>
              <w:left w:val="single" w:color="auto" w:sz="4" w:space="0"/>
              <w:bottom w:val="single" w:color="auto" w:sz="4" w:space="0"/>
              <w:right w:val="single" w:color="auto" w:sz="4" w:space="0"/>
              <w:tl2br w:val="nil"/>
              <w:tr2bl w:val="nil"/>
            </w:tcBorders>
            <w:vAlign w:val="center"/>
          </w:tcPr>
          <w:p>
            <w:pPr>
              <w:spacing w:line="400" w:lineRule="exact"/>
              <w:ind w:firstLine="0" w:firstLineChars="0"/>
              <w:jc w:val="center"/>
              <w:textAlignment w:val="center"/>
              <w:rPr>
                <w:rFonts w:cs="Times New Roman"/>
                <w:color w:val="000000"/>
                <w:sz w:val="24"/>
              </w:rPr>
            </w:pPr>
            <w:r>
              <w:rPr>
                <w:rFonts w:cs="Times New Roman"/>
                <w:color w:val="000000"/>
                <w:kern w:val="0"/>
                <w:sz w:val="24"/>
                <w:lang w:bidi="ar"/>
              </w:rPr>
              <w:t>反射式记忆管理</w:t>
            </w:r>
          </w:p>
        </w:tc>
        <w:tc>
          <w:tcPr>
            <w:tcW w:w="4602" w:type="dxa"/>
            <w:tcBorders>
              <w:top w:val="single" w:color="auto" w:sz="4" w:space="0"/>
              <w:left w:val="single" w:color="auto" w:sz="4" w:space="0"/>
              <w:bottom w:val="single" w:color="auto" w:sz="4" w:space="0"/>
              <w:right w:val="single" w:color="auto" w:sz="4" w:space="0"/>
              <w:tl2br w:val="nil"/>
              <w:tr2bl w:val="nil"/>
            </w:tcBorders>
            <w:vAlign w:val="center"/>
          </w:tcPr>
          <w:p>
            <w:pPr>
              <w:spacing w:line="340" w:lineRule="exact"/>
              <w:ind w:firstLine="0" w:firstLineChars="0"/>
              <w:textAlignment w:val="center"/>
              <w:rPr>
                <w:rFonts w:cs="Times New Roman"/>
                <w:color w:val="000000"/>
                <w:sz w:val="24"/>
              </w:rPr>
            </w:pPr>
            <w:r>
              <w:rPr>
                <w:rFonts w:cs="Times New Roman"/>
                <w:color w:val="000000"/>
                <w:kern w:val="0"/>
                <w:sz w:val="24"/>
                <w:lang w:bidi="ar"/>
              </w:rPr>
              <w:t>在AI推理框架中，指对GPU显存进行高效管理的机制，包括内存分配、释放、复用等策略，以最大化显存利用率并避免OOM。</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645" w:hRule="atLeast"/>
          <w:jc w:val="center"/>
        </w:trPr>
        <w:tc>
          <w:tcPr>
            <w:tcW w:w="777" w:type="dxa"/>
            <w:tcBorders>
              <w:top w:val="single" w:color="auto" w:sz="4" w:space="0"/>
              <w:left w:val="single" w:color="auto" w:sz="4" w:space="0"/>
              <w:bottom w:val="single" w:color="auto" w:sz="4" w:space="0"/>
              <w:right w:val="single" w:color="auto" w:sz="4" w:space="0"/>
              <w:tl2br w:val="nil"/>
              <w:tr2bl w:val="nil"/>
            </w:tcBorders>
            <w:vAlign w:val="center"/>
          </w:tcPr>
          <w:p>
            <w:pPr>
              <w:spacing w:line="400" w:lineRule="exact"/>
              <w:ind w:firstLine="0" w:firstLineChars="0"/>
              <w:jc w:val="center"/>
              <w:textAlignment w:val="center"/>
              <w:rPr>
                <w:rFonts w:cs="Times New Roman"/>
                <w:color w:val="000000"/>
                <w:sz w:val="24"/>
              </w:rPr>
            </w:pPr>
            <w:r>
              <w:rPr>
                <w:rFonts w:cs="Times New Roman"/>
                <w:color w:val="000000"/>
                <w:kern w:val="0"/>
                <w:sz w:val="24"/>
                <w:lang w:bidi="ar"/>
              </w:rPr>
              <w:t>21</w:t>
            </w:r>
          </w:p>
        </w:tc>
        <w:tc>
          <w:tcPr>
            <w:tcW w:w="1206" w:type="dxa"/>
            <w:tcBorders>
              <w:top w:val="single" w:color="auto" w:sz="4" w:space="0"/>
              <w:left w:val="single" w:color="auto" w:sz="4" w:space="0"/>
              <w:bottom w:val="single" w:color="auto" w:sz="4" w:space="0"/>
              <w:right w:val="single" w:color="auto" w:sz="4" w:space="0"/>
              <w:tl2br w:val="nil"/>
              <w:tr2bl w:val="nil"/>
            </w:tcBorders>
            <w:vAlign w:val="center"/>
          </w:tcPr>
          <w:p>
            <w:pPr>
              <w:spacing w:line="400" w:lineRule="exact"/>
              <w:ind w:firstLine="0" w:firstLineChars="0"/>
              <w:jc w:val="center"/>
              <w:textAlignment w:val="center"/>
              <w:rPr>
                <w:rFonts w:cs="Times New Roman"/>
                <w:color w:val="000000"/>
                <w:sz w:val="24"/>
              </w:rPr>
            </w:pPr>
            <w:r>
              <w:rPr>
                <w:rFonts w:cs="Times New Roman"/>
                <w:color w:val="000000"/>
                <w:kern w:val="0"/>
                <w:sz w:val="24"/>
                <w:lang w:bidi="ar"/>
              </w:rPr>
              <w:t>TCO</w:t>
            </w:r>
          </w:p>
        </w:tc>
        <w:tc>
          <w:tcPr>
            <w:tcW w:w="2045" w:type="dxa"/>
            <w:tcBorders>
              <w:top w:val="single" w:color="auto" w:sz="4" w:space="0"/>
              <w:left w:val="single" w:color="auto" w:sz="4" w:space="0"/>
              <w:bottom w:val="single" w:color="auto" w:sz="4" w:space="0"/>
              <w:right w:val="single" w:color="auto" w:sz="4" w:space="0"/>
              <w:tl2br w:val="nil"/>
              <w:tr2bl w:val="nil"/>
            </w:tcBorders>
            <w:vAlign w:val="center"/>
          </w:tcPr>
          <w:p>
            <w:pPr>
              <w:spacing w:line="400" w:lineRule="exact"/>
              <w:ind w:firstLine="0" w:firstLineChars="0"/>
              <w:jc w:val="center"/>
              <w:textAlignment w:val="center"/>
              <w:rPr>
                <w:rFonts w:cs="Times New Roman"/>
                <w:color w:val="000000"/>
                <w:sz w:val="24"/>
              </w:rPr>
            </w:pPr>
            <w:r>
              <w:rPr>
                <w:rFonts w:cs="Times New Roman"/>
                <w:color w:val="000000"/>
                <w:kern w:val="0"/>
                <w:sz w:val="24"/>
                <w:lang w:bidi="ar"/>
              </w:rPr>
              <w:t>总体拥有成本</w:t>
            </w:r>
          </w:p>
        </w:tc>
        <w:tc>
          <w:tcPr>
            <w:tcW w:w="4602" w:type="dxa"/>
            <w:tcBorders>
              <w:top w:val="single" w:color="auto" w:sz="4" w:space="0"/>
              <w:left w:val="single" w:color="auto" w:sz="4" w:space="0"/>
              <w:bottom w:val="single" w:color="auto" w:sz="4" w:space="0"/>
              <w:right w:val="single" w:color="auto" w:sz="4" w:space="0"/>
              <w:tl2br w:val="nil"/>
              <w:tr2bl w:val="nil"/>
            </w:tcBorders>
            <w:vAlign w:val="center"/>
          </w:tcPr>
          <w:p>
            <w:pPr>
              <w:spacing w:line="340" w:lineRule="exact"/>
              <w:ind w:firstLine="0" w:firstLineChars="0"/>
              <w:textAlignment w:val="center"/>
              <w:rPr>
                <w:rFonts w:cs="Times New Roman"/>
                <w:color w:val="000000"/>
                <w:sz w:val="24"/>
              </w:rPr>
            </w:pPr>
            <w:r>
              <w:rPr>
                <w:rFonts w:cs="Times New Roman"/>
                <w:color w:val="000000"/>
                <w:kern w:val="0"/>
                <w:sz w:val="24"/>
                <w:lang w:bidi="ar"/>
              </w:rPr>
              <w:t>评估一项技术或产品从采购、部署、运维到退役全生命周期内的全部成本，不仅包含初始采购费用，还涵盖运维人力、能耗、升级等隐性成本，常用于AI基础设施的选型决策。</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960" w:hRule="atLeast"/>
          <w:jc w:val="center"/>
        </w:trPr>
        <w:tc>
          <w:tcPr>
            <w:tcW w:w="777" w:type="dxa"/>
            <w:tcBorders>
              <w:top w:val="single" w:color="auto" w:sz="4" w:space="0"/>
              <w:left w:val="single" w:color="auto" w:sz="4" w:space="0"/>
              <w:bottom w:val="single" w:color="auto" w:sz="4" w:space="0"/>
              <w:right w:val="single" w:color="auto" w:sz="4" w:space="0"/>
              <w:tl2br w:val="nil"/>
              <w:tr2bl w:val="nil"/>
            </w:tcBorders>
            <w:vAlign w:val="center"/>
          </w:tcPr>
          <w:p>
            <w:pPr>
              <w:spacing w:line="400" w:lineRule="exact"/>
              <w:ind w:firstLine="0" w:firstLineChars="0"/>
              <w:jc w:val="center"/>
              <w:textAlignment w:val="center"/>
              <w:rPr>
                <w:rFonts w:cs="Times New Roman"/>
                <w:color w:val="000000"/>
                <w:sz w:val="24"/>
              </w:rPr>
            </w:pPr>
            <w:r>
              <w:rPr>
                <w:rFonts w:cs="Times New Roman"/>
                <w:color w:val="000000"/>
                <w:kern w:val="0"/>
                <w:sz w:val="24"/>
                <w:lang w:bidi="ar"/>
              </w:rPr>
              <w:t>22</w:t>
            </w:r>
          </w:p>
        </w:tc>
        <w:tc>
          <w:tcPr>
            <w:tcW w:w="1206" w:type="dxa"/>
            <w:tcBorders>
              <w:top w:val="single" w:color="auto" w:sz="4" w:space="0"/>
              <w:left w:val="single" w:color="auto" w:sz="4" w:space="0"/>
              <w:bottom w:val="single" w:color="auto" w:sz="4" w:space="0"/>
              <w:right w:val="single" w:color="auto" w:sz="4" w:space="0"/>
              <w:tl2br w:val="nil"/>
              <w:tr2bl w:val="nil"/>
            </w:tcBorders>
            <w:vAlign w:val="center"/>
          </w:tcPr>
          <w:p>
            <w:pPr>
              <w:spacing w:line="400" w:lineRule="exact"/>
              <w:ind w:firstLine="0" w:firstLineChars="0"/>
              <w:jc w:val="center"/>
              <w:textAlignment w:val="center"/>
              <w:rPr>
                <w:rFonts w:cs="Times New Roman"/>
                <w:color w:val="000000"/>
                <w:sz w:val="24"/>
              </w:rPr>
            </w:pPr>
            <w:r>
              <w:rPr>
                <w:rFonts w:cs="Times New Roman"/>
                <w:color w:val="000000"/>
                <w:kern w:val="0"/>
                <w:sz w:val="24"/>
                <w:lang w:bidi="ar"/>
              </w:rPr>
              <w:t>ReAct推理</w:t>
            </w:r>
          </w:p>
        </w:tc>
        <w:tc>
          <w:tcPr>
            <w:tcW w:w="2045" w:type="dxa"/>
            <w:tcBorders>
              <w:top w:val="single" w:color="auto" w:sz="4" w:space="0"/>
              <w:left w:val="single" w:color="auto" w:sz="4" w:space="0"/>
              <w:bottom w:val="single" w:color="auto" w:sz="4" w:space="0"/>
              <w:right w:val="single" w:color="auto" w:sz="4" w:space="0"/>
              <w:tl2br w:val="nil"/>
              <w:tr2bl w:val="nil"/>
            </w:tcBorders>
            <w:vAlign w:val="center"/>
          </w:tcPr>
          <w:p>
            <w:pPr>
              <w:spacing w:line="400" w:lineRule="exact"/>
              <w:ind w:firstLine="0" w:firstLineChars="0"/>
              <w:jc w:val="center"/>
              <w:textAlignment w:val="center"/>
              <w:rPr>
                <w:rFonts w:cs="Times New Roman"/>
                <w:color w:val="000000"/>
                <w:sz w:val="24"/>
              </w:rPr>
            </w:pPr>
            <w:r>
              <w:rPr>
                <w:rFonts w:cs="Times New Roman"/>
                <w:color w:val="000000"/>
                <w:kern w:val="0"/>
                <w:sz w:val="24"/>
                <w:lang w:bidi="ar"/>
              </w:rPr>
              <w:t>Reasoning + Acting（推理与行动）</w:t>
            </w:r>
          </w:p>
        </w:tc>
        <w:tc>
          <w:tcPr>
            <w:tcW w:w="4602" w:type="dxa"/>
            <w:tcBorders>
              <w:top w:val="single" w:color="auto" w:sz="4" w:space="0"/>
              <w:left w:val="single" w:color="auto" w:sz="4" w:space="0"/>
              <w:bottom w:val="single" w:color="auto" w:sz="4" w:space="0"/>
              <w:right w:val="single" w:color="auto" w:sz="4" w:space="0"/>
              <w:tl2br w:val="nil"/>
              <w:tr2bl w:val="nil"/>
            </w:tcBorders>
            <w:vAlign w:val="center"/>
          </w:tcPr>
          <w:p>
            <w:pPr>
              <w:spacing w:line="340" w:lineRule="exact"/>
              <w:ind w:firstLine="0" w:firstLineChars="0"/>
              <w:textAlignment w:val="center"/>
              <w:rPr>
                <w:rFonts w:cs="Times New Roman"/>
                <w:color w:val="000000"/>
                <w:sz w:val="24"/>
              </w:rPr>
            </w:pPr>
            <w:r>
              <w:rPr>
                <w:rFonts w:cs="Times New Roman"/>
                <w:color w:val="000000"/>
                <w:kern w:val="0"/>
                <w:sz w:val="24"/>
                <w:lang w:bidi="ar"/>
              </w:rPr>
              <w:t>一种让大语言模型同时进行搜索推理（Reasoning）和工具调用（Acting）的推理框架。模型在解决问题时交替进行</w:t>
            </w:r>
            <w:r>
              <w:rPr>
                <w:rFonts w:hint="eastAsia" w:cs="Times New Roman"/>
                <w:color w:val="000000"/>
                <w:kern w:val="0"/>
                <w:sz w:val="24"/>
                <w:lang w:bidi="ar"/>
              </w:rPr>
              <w:t>“</w:t>
            </w:r>
            <w:r>
              <w:rPr>
                <w:rFonts w:cs="Times New Roman"/>
                <w:color w:val="000000"/>
                <w:kern w:val="0"/>
                <w:sz w:val="24"/>
                <w:lang w:bidi="ar"/>
              </w:rPr>
              <w:t>思考</w:t>
            </w:r>
            <w:r>
              <w:rPr>
                <w:rFonts w:hint="eastAsia" w:cs="Times New Roman"/>
                <w:color w:val="000000"/>
                <w:kern w:val="0"/>
                <w:sz w:val="24"/>
                <w:lang w:bidi="ar"/>
              </w:rPr>
              <w:t>”</w:t>
            </w:r>
            <w:r>
              <w:rPr>
                <w:rFonts w:cs="Times New Roman"/>
                <w:color w:val="000000"/>
                <w:kern w:val="0"/>
                <w:sz w:val="24"/>
                <w:lang w:bidi="ar"/>
              </w:rPr>
              <w:t>和</w:t>
            </w:r>
            <w:r>
              <w:rPr>
                <w:rFonts w:hint="eastAsia" w:cs="Times New Roman"/>
                <w:color w:val="000000"/>
                <w:kern w:val="0"/>
                <w:sz w:val="24"/>
                <w:lang w:bidi="ar"/>
              </w:rPr>
              <w:t>“</w:t>
            </w:r>
            <w:r>
              <w:rPr>
                <w:rFonts w:cs="Times New Roman"/>
                <w:color w:val="000000"/>
                <w:kern w:val="0"/>
                <w:sz w:val="24"/>
                <w:lang w:bidi="ar"/>
              </w:rPr>
              <w:t>行动</w:t>
            </w:r>
            <w:r>
              <w:rPr>
                <w:rFonts w:hint="eastAsia" w:cs="Times New Roman"/>
                <w:color w:val="000000"/>
                <w:kern w:val="0"/>
                <w:sz w:val="24"/>
                <w:lang w:bidi="ar"/>
              </w:rPr>
              <w:t>”</w:t>
            </w:r>
            <w:r>
              <w:rPr>
                <w:rFonts w:cs="Times New Roman"/>
                <w:color w:val="000000"/>
                <w:kern w:val="0"/>
                <w:sz w:val="24"/>
                <w:lang w:bidi="ar"/>
              </w:rPr>
              <w:t>，通过观察行动结果来指导下一步推理，适用于需要多步推理和外部工具配合的复杂任务。</w:t>
            </w:r>
          </w:p>
        </w:tc>
      </w:tr>
    </w:tbl>
    <w:p>
      <w:pPr>
        <w:ind w:firstLine="0" w:firstLineChars="0"/>
      </w:pPr>
    </w:p>
    <w:sectPr>
      <w:endnotePr>
        <w:numFmt w:val="decimal"/>
      </w:endnotePr>
      <w:pgSz w:w="11906" w:h="16838"/>
      <w:pgMar w:top="1440" w:right="1800" w:bottom="1440" w:left="1800" w:header="851" w:footer="992" w:gutter="0"/>
      <w:cols w:space="425" w:num="1"/>
      <w:docGrid w:type="lines" w:linePitch="312" w:charSpace="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endnote w:type="separator" w:id="0">
    <w:p>
      <w:pPr>
        <w:spacing w:line="240" w:lineRule="auto"/>
        <w:ind w:firstLine="640"/>
      </w:pPr>
    </w:p>
  </w:endnote>
  <w:endnote w:type="continuationSeparator" w:id="1">
    <w:p>
      <w:pPr>
        <w:spacing w:line="240" w:lineRule="auto"/>
        <w:ind w:firstLine="640"/>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080E0000" w:usb2="00000000" w:usb3="00000000" w:csb0="00040001" w:csb1="00000000"/>
  </w:font>
  <w:font w:name="Wingdings">
    <w:panose1 w:val="05000000000000000000"/>
    <w:charset w:val="02"/>
    <w:family w:val="auto"/>
    <w:pitch w:val="default"/>
    <w:sig w:usb0="00000000" w:usb1="00000000" w:usb2="00000000" w:usb3="00000000" w:csb0="80000000" w:csb1="00000000"/>
  </w:font>
  <w:font w:name="Arial">
    <w:altName w:val="Times New Roman"/>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altName w:val="DejaVu Sans"/>
    <w:panose1 w:val="02070309020205020404"/>
    <w:charset w:val="01"/>
    <w:family w:val="modern"/>
    <w:pitch w:val="default"/>
    <w:sig w:usb0="E0002AFF" w:usb1="C0007843" w:usb2="00000009" w:usb3="00000000" w:csb0="400001FF" w:csb1="FFFF0000"/>
  </w:font>
  <w:font w:name="Symbol">
    <w:panose1 w:val="02000609000000000000"/>
    <w:charset w:val="02"/>
    <w:family w:val="roman"/>
    <w:pitch w:val="default"/>
    <w:sig w:usb0="800000AF" w:usb1="4000204A" w:usb2="00000000" w:usb3="00000000" w:csb0="20000000" w:csb1="00000000"/>
  </w:font>
  <w:font w:name="Calibri">
    <w:altName w:val="微软雅黑"/>
    <w:panose1 w:val="020F0502020204030204"/>
    <w:charset w:val="00"/>
    <w:family w:val="swiss"/>
    <w:pitch w:val="default"/>
    <w:sig w:usb0="00000000" w:usb1="00000000" w:usb2="00000001" w:usb3="00000000" w:csb0="0000019F" w:csb1="00000000"/>
  </w:font>
  <w:font w:name="方正仿宋_GBK">
    <w:panose1 w:val="02000000000000000000"/>
    <w:charset w:val="86"/>
    <w:family w:val="script"/>
    <w:pitch w:val="default"/>
    <w:sig w:usb0="00000001" w:usb1="08000000" w:usb2="00000000" w:usb3="00000000" w:csb0="00040000" w:csb1="00000000"/>
  </w:font>
  <w:font w:name="方正黑体_GBK">
    <w:panose1 w:val="02000000000000000000"/>
    <w:charset w:val="86"/>
    <w:family w:val="script"/>
    <w:pitch w:val="default"/>
    <w:sig w:usb0="00000001" w:usb1="08000000" w:usb2="00000000" w:usb3="00000000" w:csb0="00040000" w:csb1="00000000"/>
  </w:font>
  <w:font w:name="方正楷体_GBK">
    <w:panose1 w:val="02000000000000000000"/>
    <w:charset w:val="86"/>
    <w:family w:val="script"/>
    <w:pitch w:val="default"/>
    <w:sig w:usb0="00000001" w:usb1="08000000" w:usb2="00000000" w:usb3="00000000" w:csb0="00040000" w:csb1="00000000"/>
  </w:font>
  <w:font w:name="等线">
    <w:altName w:val="微软雅黑"/>
    <w:panose1 w:val="02010600030101010101"/>
    <w:charset w:val="86"/>
    <w:family w:val="auto"/>
    <w:pitch w:val="default"/>
    <w:sig w:usb0="00000000" w:usb1="00000000" w:usb2="00000016" w:usb3="00000000" w:csb0="0004000F" w:csb1="00000000"/>
  </w:font>
  <w:font w:name="等线 Light">
    <w:altName w:val="宋体"/>
    <w:panose1 w:val="02010600030101010101"/>
    <w:charset w:val="86"/>
    <w:family w:val="auto"/>
    <w:pitch w:val="default"/>
    <w:sig w:usb0="00000000" w:usb1="00000000" w:usb2="00000016" w:usb3="00000000" w:csb0="0004000F" w:csb1="00000000"/>
  </w:font>
  <w:font w:name="方正小标宋_GBK">
    <w:panose1 w:val="02000000000000000000"/>
    <w:charset w:val="86"/>
    <w:family w:val="script"/>
    <w:pitch w:val="default"/>
    <w:sig w:usb0="00000001" w:usb1="08000000" w:usb2="00000000" w:usb3="00000000" w:csb0="00040000" w:csb1="00000000"/>
  </w:font>
  <w:font w:name="DejaVu Sans">
    <w:panose1 w:val="020B0603030804020204"/>
    <w:charset w:val="00"/>
    <w:family w:val="auto"/>
    <w:pitch w:val="default"/>
    <w:sig w:usb0="E7006EFF" w:usb1="D200FDFF" w:usb2="0A246029" w:usb3="0400200C" w:csb0="600001FF" w:csb1="DFFF0000"/>
  </w:font>
  <w:font w:name="微软雅黑">
    <w:panose1 w:val="020B0503020204020204"/>
    <w:charset w:val="86"/>
    <w:family w:val="auto"/>
    <w:pitch w:val="default"/>
    <w:sig w:usb0="80000287" w:usb1="280F3C52" w:usb2="00000016" w:usb3="00000000" w:csb0="0004001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16"/>
      <w:ind w:firstLine="360"/>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16"/>
      <w:ind w:firstLine="360"/>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16"/>
      <w:ind w:firstLine="360"/>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16"/>
      <w:ind w:firstLine="360"/>
    </w:pP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16"/>
      <w:ind w:firstLine="560"/>
      <w:jc w:val="center"/>
      <w:rPr>
        <w:rFonts w:cs="Times New Roman"/>
        <w:sz w:val="28"/>
        <w:szCs w:val="28"/>
      </w:rPr>
    </w:pPr>
    <w:r>
      <w:rPr>
        <w:rFonts w:cs="Times New Roman"/>
        <w:sz w:val="28"/>
        <w:szCs w:val="28"/>
      </w:rPr>
      <w:t>—</w:t>
    </w:r>
    <w:sdt>
      <w:sdtPr>
        <w:rPr>
          <w:rFonts w:cs="Times New Roman"/>
          <w:sz w:val="28"/>
          <w:szCs w:val="28"/>
        </w:rPr>
        <w:id w:val="237910205"/>
        <w:docPartObj>
          <w:docPartGallery w:val="autotext"/>
        </w:docPartObj>
      </w:sdtPr>
      <w:sdtEndPr>
        <w:rPr>
          <w:rFonts w:cs="Times New Roman"/>
          <w:sz w:val="28"/>
          <w:szCs w:val="28"/>
        </w:rPr>
      </w:sdtEndPr>
      <w:sdtContent>
        <w:r>
          <w:rPr>
            <w:rFonts w:cs="Times New Roman"/>
            <w:sz w:val="28"/>
            <w:szCs w:val="28"/>
          </w:rPr>
          <w:t xml:space="preserve"> </w:t>
        </w:r>
        <w:r>
          <w:rPr>
            <w:rFonts w:cs="Times New Roman"/>
            <w:sz w:val="28"/>
            <w:szCs w:val="28"/>
          </w:rPr>
          <w:fldChar w:fldCharType="begin"/>
        </w:r>
        <w:r>
          <w:rPr>
            <w:rFonts w:cs="Times New Roman"/>
            <w:sz w:val="28"/>
            <w:szCs w:val="28"/>
          </w:rPr>
          <w:instrText xml:space="preserve">PAGE   \* MERGEFORMAT</w:instrText>
        </w:r>
        <w:r>
          <w:rPr>
            <w:rFonts w:cs="Times New Roman"/>
            <w:sz w:val="28"/>
            <w:szCs w:val="28"/>
          </w:rPr>
          <w:fldChar w:fldCharType="separate"/>
        </w:r>
        <w:r>
          <w:rPr>
            <w:rFonts w:cs="Times New Roman"/>
            <w:sz w:val="28"/>
            <w:szCs w:val="28"/>
            <w:lang w:val="zh-CN"/>
          </w:rPr>
          <w:t>2</w:t>
        </w:r>
        <w:r>
          <w:rPr>
            <w:rFonts w:cs="Times New Roman"/>
            <w:sz w:val="28"/>
            <w:szCs w:val="28"/>
          </w:rPr>
          <w:fldChar w:fldCharType="end"/>
        </w:r>
        <w:r>
          <w:rPr>
            <w:rFonts w:cs="Times New Roman"/>
            <w:sz w:val="28"/>
            <w:szCs w:val="28"/>
          </w:rPr>
          <w:t xml:space="preserve"> </w:t>
        </w:r>
      </w:sdtContent>
    </w:sdt>
    <w:r>
      <w:rPr>
        <w:rFonts w:cs="Times New Roman"/>
        <w:sz w:val="28"/>
        <w:szCs w:val="28"/>
      </w:rPr>
      <w:t>—</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footnote w:type="separator" w:id="2">
    <w:p>
      <w:pPr>
        <w:spacing w:line="240" w:lineRule="auto"/>
        <w:ind w:firstLine="640"/>
      </w:pPr>
    </w:p>
  </w:footnote>
  <w:footnote w:type="continuationSeparator" w:id="3">
    <w:p>
      <w:pPr>
        <w:spacing w:line="240" w:lineRule="auto"/>
        <w:ind w:firstLine="640"/>
      </w:pPr>
    </w:p>
  </w:footnote>
  <w:footnote w:id="0">
    <w:p>
      <w:pPr>
        <w:pStyle w:val="20"/>
        <w:ind w:firstLine="360"/>
        <w:rPr>
          <w:rFonts w:hint="eastAsia"/>
        </w:rPr>
      </w:pPr>
      <w:r>
        <w:rPr>
          <w:rStyle w:val="31"/>
        </w:rPr>
        <w:footnoteRef/>
      </w:r>
      <w:r>
        <w:t xml:space="preserve"> </w:t>
      </w:r>
      <w:r>
        <w:rPr>
          <w:rFonts w:hint="eastAsia"/>
          <w:sz w:val="28"/>
          <w:szCs w:val="22"/>
        </w:rPr>
        <w:t>混合部署模式为公有云API调用和本地部署两种部署方式的组合应用，相关Token管理要求可参照公有云API、本地部署的相应内容，不在指引中单独列出。</w:t>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17"/>
      <w:ind w:firstLine="360"/>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17"/>
      <w:ind w:firstLine="360"/>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17"/>
      <w:ind w:firstLine="360"/>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821CB84B"/>
    <w:multiLevelType w:val="singleLevel"/>
    <w:tmpl w:val="821CB84B"/>
    <w:lvl w:ilvl="0" w:tentative="0">
      <w:start w:val="1"/>
      <w:numFmt w:val="decimal"/>
      <w:suff w:val="nothing"/>
      <w:lvlText w:val="%1."/>
      <w:lvlJc w:val="left"/>
      <w:pPr>
        <w:ind w:left="422" w:hanging="425"/>
      </w:pPr>
      <w:rPr>
        <w:rFonts w:hint="default"/>
      </w:rPr>
    </w:lvl>
  </w:abstractNum>
  <w:abstractNum w:abstractNumId="1">
    <w:nsid w:val="C9DE234F"/>
    <w:multiLevelType w:val="singleLevel"/>
    <w:tmpl w:val="C9DE234F"/>
    <w:lvl w:ilvl="0" w:tentative="0">
      <w:start w:val="2"/>
      <w:numFmt w:val="chineseCounting"/>
      <w:suff w:val="nothing"/>
      <w:lvlText w:val="（%1）"/>
      <w:lvlJc w:val="left"/>
      <w:rPr>
        <w:rFonts w:hint="eastAsia"/>
      </w:rPr>
    </w:lvl>
  </w:abstractNum>
  <w:abstractNum w:abstractNumId="2">
    <w:nsid w:val="F5889627"/>
    <w:multiLevelType w:val="singleLevel"/>
    <w:tmpl w:val="F5889627"/>
    <w:lvl w:ilvl="0" w:tentative="0">
      <w:start w:val="1"/>
      <w:numFmt w:val="chineseCounting"/>
      <w:suff w:val="nothing"/>
      <w:lvlText w:val="（%1）"/>
      <w:lvlJc w:val="left"/>
      <w:pPr>
        <w:ind w:left="220" w:firstLine="420"/>
      </w:pPr>
      <w:rPr>
        <w:rFonts w:hint="eastAsia"/>
      </w:rPr>
    </w:lvl>
  </w:abstractNum>
  <w:abstractNum w:abstractNumId="3">
    <w:nsid w:val="431706F9"/>
    <w:multiLevelType w:val="singleLevel"/>
    <w:tmpl w:val="431706F9"/>
    <w:lvl w:ilvl="0" w:tentative="0">
      <w:start w:val="1"/>
      <w:numFmt w:val="chineseCounting"/>
      <w:suff w:val="nothing"/>
      <w:lvlText w:val="（%1）"/>
      <w:lvlJc w:val="left"/>
      <w:rPr>
        <w:rFonts w:hint="eastAsia"/>
      </w:rPr>
    </w:lvl>
  </w:abstractNum>
  <w:abstractNum w:abstractNumId="4">
    <w:nsid w:val="493C163D"/>
    <w:multiLevelType w:val="singleLevel"/>
    <w:tmpl w:val="493C163D"/>
    <w:lvl w:ilvl="0" w:tentative="0">
      <w:start w:val="1"/>
      <w:numFmt w:val="decimal"/>
      <w:suff w:val="nothing"/>
      <w:lvlText w:val="%1."/>
      <w:lvlJc w:val="left"/>
      <w:pPr>
        <w:ind w:left="425" w:hanging="425"/>
      </w:pPr>
      <w:rPr>
        <w:rFonts w:hint="default"/>
      </w:rPr>
    </w:lvl>
  </w:abstractNum>
  <w:num w:numId="1">
    <w:abstractNumId w:val="3"/>
  </w:num>
  <w:num w:numId="2">
    <w:abstractNumId w:val="4"/>
  </w:num>
  <w:num w:numId="3">
    <w:abstractNumId w:val="0"/>
  </w:num>
  <w:num w:numId="4">
    <w:abstractNumId w:val="1"/>
  </w:num>
  <w:num w:numId="5">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20"/>
  <w:embedTrueTypeFonts/>
  <w:saveSubsetFonts/>
  <w:bordersDoNotSurroundHeader w:val="true"/>
  <w:bordersDoNotSurroundFooter w:val="true"/>
  <w:documentProtection w:enforcement="0"/>
  <w:defaultTabStop w:val="420"/>
  <w:drawingGridVerticalSpacing w:val="156"/>
  <w:noPunctuationKerning w:val="true"/>
  <w:characterSpacingControl w:val="compressPunctuation"/>
  <w:footnotePr>
    <w:footnote w:id="2"/>
    <w:footnote w:id="3"/>
  </w:footnotePr>
  <w:endnotePr>
    <w:numFmt w:val="decimal"/>
    <w:endnote w:id="0"/>
    <w:endnote w:id="1"/>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4959C7"/>
    <w:rsid w:val="00074940"/>
    <w:rsid w:val="000969AD"/>
    <w:rsid w:val="001F57E1"/>
    <w:rsid w:val="0031380D"/>
    <w:rsid w:val="00420681"/>
    <w:rsid w:val="00454182"/>
    <w:rsid w:val="004959C7"/>
    <w:rsid w:val="004C42F4"/>
    <w:rsid w:val="005053B0"/>
    <w:rsid w:val="00511002"/>
    <w:rsid w:val="00551E9A"/>
    <w:rsid w:val="005750D4"/>
    <w:rsid w:val="005E3873"/>
    <w:rsid w:val="00630D4C"/>
    <w:rsid w:val="006A017E"/>
    <w:rsid w:val="00707206"/>
    <w:rsid w:val="00725FD8"/>
    <w:rsid w:val="00727183"/>
    <w:rsid w:val="007277DC"/>
    <w:rsid w:val="007848C8"/>
    <w:rsid w:val="007B6C41"/>
    <w:rsid w:val="007C0181"/>
    <w:rsid w:val="008A2B59"/>
    <w:rsid w:val="00942BBC"/>
    <w:rsid w:val="009B571F"/>
    <w:rsid w:val="009C0F0C"/>
    <w:rsid w:val="00A33F7A"/>
    <w:rsid w:val="00A469CE"/>
    <w:rsid w:val="00A7337E"/>
    <w:rsid w:val="00AB3FB6"/>
    <w:rsid w:val="00AD540E"/>
    <w:rsid w:val="00B16282"/>
    <w:rsid w:val="00B26166"/>
    <w:rsid w:val="00B33EA5"/>
    <w:rsid w:val="00B37C29"/>
    <w:rsid w:val="00B40250"/>
    <w:rsid w:val="00BE7797"/>
    <w:rsid w:val="00CC5E76"/>
    <w:rsid w:val="00CC7ECA"/>
    <w:rsid w:val="00D14BC9"/>
    <w:rsid w:val="00D36D2B"/>
    <w:rsid w:val="00D56F49"/>
    <w:rsid w:val="00D63800"/>
    <w:rsid w:val="00D743B5"/>
    <w:rsid w:val="00DD35AC"/>
    <w:rsid w:val="00E657A2"/>
    <w:rsid w:val="00E739B0"/>
    <w:rsid w:val="00E840E4"/>
    <w:rsid w:val="00ED1315"/>
    <w:rsid w:val="00F34D23"/>
    <w:rsid w:val="00F6718B"/>
    <w:rsid w:val="0114678C"/>
    <w:rsid w:val="011B0745"/>
    <w:rsid w:val="013730A5"/>
    <w:rsid w:val="014D28C9"/>
    <w:rsid w:val="0156177E"/>
    <w:rsid w:val="016043AA"/>
    <w:rsid w:val="01605223"/>
    <w:rsid w:val="017900E3"/>
    <w:rsid w:val="018F2EE2"/>
    <w:rsid w:val="01982626"/>
    <w:rsid w:val="019E3125"/>
    <w:rsid w:val="01A87AFF"/>
    <w:rsid w:val="01B6046E"/>
    <w:rsid w:val="01DB7ED5"/>
    <w:rsid w:val="01F3521E"/>
    <w:rsid w:val="01FA65AD"/>
    <w:rsid w:val="02011047"/>
    <w:rsid w:val="02026FF4"/>
    <w:rsid w:val="02090C04"/>
    <w:rsid w:val="02181129"/>
    <w:rsid w:val="02306473"/>
    <w:rsid w:val="02306E1F"/>
    <w:rsid w:val="02330020"/>
    <w:rsid w:val="023E04E0"/>
    <w:rsid w:val="02443D01"/>
    <w:rsid w:val="02464AFD"/>
    <w:rsid w:val="02663C42"/>
    <w:rsid w:val="026C7A4A"/>
    <w:rsid w:val="02704637"/>
    <w:rsid w:val="027A5751"/>
    <w:rsid w:val="028440C8"/>
    <w:rsid w:val="02856FA3"/>
    <w:rsid w:val="028735E7"/>
    <w:rsid w:val="028E3199"/>
    <w:rsid w:val="0293255D"/>
    <w:rsid w:val="029C1412"/>
    <w:rsid w:val="029F2F49"/>
    <w:rsid w:val="02A4476B"/>
    <w:rsid w:val="02AB3D4B"/>
    <w:rsid w:val="02AE57B2"/>
    <w:rsid w:val="02B50726"/>
    <w:rsid w:val="02D0730E"/>
    <w:rsid w:val="02D908B8"/>
    <w:rsid w:val="02DA63DE"/>
    <w:rsid w:val="02E132C9"/>
    <w:rsid w:val="02E45A44"/>
    <w:rsid w:val="02E95947"/>
    <w:rsid w:val="02F10403"/>
    <w:rsid w:val="02F14338"/>
    <w:rsid w:val="02F22112"/>
    <w:rsid w:val="03123DCA"/>
    <w:rsid w:val="032233CF"/>
    <w:rsid w:val="033A4890"/>
    <w:rsid w:val="03522419"/>
    <w:rsid w:val="03620829"/>
    <w:rsid w:val="03655CA8"/>
    <w:rsid w:val="036D7252"/>
    <w:rsid w:val="036F6B27"/>
    <w:rsid w:val="03894C8D"/>
    <w:rsid w:val="03906A9D"/>
    <w:rsid w:val="039842CF"/>
    <w:rsid w:val="03A74512"/>
    <w:rsid w:val="03B114CA"/>
    <w:rsid w:val="03CD1F8D"/>
    <w:rsid w:val="03F05867"/>
    <w:rsid w:val="040E3662"/>
    <w:rsid w:val="0422003D"/>
    <w:rsid w:val="043438CC"/>
    <w:rsid w:val="043D74ED"/>
    <w:rsid w:val="044572F1"/>
    <w:rsid w:val="04496B17"/>
    <w:rsid w:val="044C6E68"/>
    <w:rsid w:val="0458580D"/>
    <w:rsid w:val="04591348"/>
    <w:rsid w:val="045C06D2"/>
    <w:rsid w:val="046C5C2A"/>
    <w:rsid w:val="047C599F"/>
    <w:rsid w:val="048E7165"/>
    <w:rsid w:val="0490144A"/>
    <w:rsid w:val="04A7062B"/>
    <w:rsid w:val="04B05649"/>
    <w:rsid w:val="04B34B43"/>
    <w:rsid w:val="04C50E90"/>
    <w:rsid w:val="04CB3E7D"/>
    <w:rsid w:val="04CC1135"/>
    <w:rsid w:val="04E46A2A"/>
    <w:rsid w:val="04ED41A7"/>
    <w:rsid w:val="05045994"/>
    <w:rsid w:val="05094D59"/>
    <w:rsid w:val="050A25F3"/>
    <w:rsid w:val="051A51B8"/>
    <w:rsid w:val="051F632A"/>
    <w:rsid w:val="05404098"/>
    <w:rsid w:val="05532442"/>
    <w:rsid w:val="057E1079"/>
    <w:rsid w:val="057E20C9"/>
    <w:rsid w:val="05867055"/>
    <w:rsid w:val="058F2FC7"/>
    <w:rsid w:val="05A76A4C"/>
    <w:rsid w:val="05A94AB8"/>
    <w:rsid w:val="05AB7BBE"/>
    <w:rsid w:val="05C03638"/>
    <w:rsid w:val="05C517B2"/>
    <w:rsid w:val="05D11D1B"/>
    <w:rsid w:val="05D15877"/>
    <w:rsid w:val="05D80E98"/>
    <w:rsid w:val="05DB277C"/>
    <w:rsid w:val="05E84F1D"/>
    <w:rsid w:val="05FE76C6"/>
    <w:rsid w:val="06091DEE"/>
    <w:rsid w:val="06110369"/>
    <w:rsid w:val="06110424"/>
    <w:rsid w:val="06151B1C"/>
    <w:rsid w:val="06165D7B"/>
    <w:rsid w:val="061B5207"/>
    <w:rsid w:val="062D67B7"/>
    <w:rsid w:val="06451B85"/>
    <w:rsid w:val="065564A8"/>
    <w:rsid w:val="065F7326"/>
    <w:rsid w:val="065F76C6"/>
    <w:rsid w:val="06607DEF"/>
    <w:rsid w:val="067601CC"/>
    <w:rsid w:val="068E3768"/>
    <w:rsid w:val="068F0749"/>
    <w:rsid w:val="06935222"/>
    <w:rsid w:val="06A25465"/>
    <w:rsid w:val="06A94740"/>
    <w:rsid w:val="06A967F3"/>
    <w:rsid w:val="06BC02D5"/>
    <w:rsid w:val="06C90C44"/>
    <w:rsid w:val="06CC433B"/>
    <w:rsid w:val="06CE625A"/>
    <w:rsid w:val="06D373CC"/>
    <w:rsid w:val="06E34759"/>
    <w:rsid w:val="06E4782C"/>
    <w:rsid w:val="06F85085"/>
    <w:rsid w:val="06FC4B75"/>
    <w:rsid w:val="06FC6923"/>
    <w:rsid w:val="07047ECE"/>
    <w:rsid w:val="07225089"/>
    <w:rsid w:val="072427F2"/>
    <w:rsid w:val="073C1416"/>
    <w:rsid w:val="073F2CB4"/>
    <w:rsid w:val="07585B24"/>
    <w:rsid w:val="07591FC8"/>
    <w:rsid w:val="07594547"/>
    <w:rsid w:val="0764139A"/>
    <w:rsid w:val="076444C8"/>
    <w:rsid w:val="07724E37"/>
    <w:rsid w:val="078D3874"/>
    <w:rsid w:val="07B75078"/>
    <w:rsid w:val="07BF63BC"/>
    <w:rsid w:val="07E55609"/>
    <w:rsid w:val="07F10452"/>
    <w:rsid w:val="08050D09"/>
    <w:rsid w:val="08070174"/>
    <w:rsid w:val="08165EDF"/>
    <w:rsid w:val="081710BE"/>
    <w:rsid w:val="0823202C"/>
    <w:rsid w:val="082D6FB0"/>
    <w:rsid w:val="08365E65"/>
    <w:rsid w:val="084D3281"/>
    <w:rsid w:val="085F360E"/>
    <w:rsid w:val="08762705"/>
    <w:rsid w:val="08774E5E"/>
    <w:rsid w:val="08874912"/>
    <w:rsid w:val="08907AA9"/>
    <w:rsid w:val="08935065"/>
    <w:rsid w:val="08A13C26"/>
    <w:rsid w:val="08CB75C3"/>
    <w:rsid w:val="08DB5A95"/>
    <w:rsid w:val="08E32C02"/>
    <w:rsid w:val="090237BC"/>
    <w:rsid w:val="09093F5A"/>
    <w:rsid w:val="09104908"/>
    <w:rsid w:val="091D7025"/>
    <w:rsid w:val="092235DE"/>
    <w:rsid w:val="094A7262"/>
    <w:rsid w:val="096F12F9"/>
    <w:rsid w:val="09724E96"/>
    <w:rsid w:val="09781537"/>
    <w:rsid w:val="09782386"/>
    <w:rsid w:val="09840E52"/>
    <w:rsid w:val="09976DD7"/>
    <w:rsid w:val="099C43EE"/>
    <w:rsid w:val="09A942F7"/>
    <w:rsid w:val="09CA0F5B"/>
    <w:rsid w:val="09CE5902"/>
    <w:rsid w:val="09CE7149"/>
    <w:rsid w:val="09D771D4"/>
    <w:rsid w:val="09DA18A6"/>
    <w:rsid w:val="09E4703B"/>
    <w:rsid w:val="09E87633"/>
    <w:rsid w:val="09EA5159"/>
    <w:rsid w:val="09F75189"/>
    <w:rsid w:val="0A067F10"/>
    <w:rsid w:val="0A171CC6"/>
    <w:rsid w:val="0A334D52"/>
    <w:rsid w:val="0A375549"/>
    <w:rsid w:val="0A53223D"/>
    <w:rsid w:val="0A5371A2"/>
    <w:rsid w:val="0A561CDF"/>
    <w:rsid w:val="0A672732"/>
    <w:rsid w:val="0A726EFC"/>
    <w:rsid w:val="0A7669ED"/>
    <w:rsid w:val="0A7E1D45"/>
    <w:rsid w:val="0A8A693C"/>
    <w:rsid w:val="0A94190B"/>
    <w:rsid w:val="0AA51080"/>
    <w:rsid w:val="0AB539B9"/>
    <w:rsid w:val="0AC21C32"/>
    <w:rsid w:val="0ACE4A7B"/>
    <w:rsid w:val="0ADC570F"/>
    <w:rsid w:val="0ADD6A6C"/>
    <w:rsid w:val="0AED7096"/>
    <w:rsid w:val="0B05492D"/>
    <w:rsid w:val="0B13156C"/>
    <w:rsid w:val="0B525061"/>
    <w:rsid w:val="0B5605CC"/>
    <w:rsid w:val="0B7B3717"/>
    <w:rsid w:val="0B8D0492"/>
    <w:rsid w:val="0B9C56E4"/>
    <w:rsid w:val="0BAA109E"/>
    <w:rsid w:val="0BC11EE9"/>
    <w:rsid w:val="0BC43C7E"/>
    <w:rsid w:val="0BC637DE"/>
    <w:rsid w:val="0BC74A2D"/>
    <w:rsid w:val="0BCE5224"/>
    <w:rsid w:val="0BDE35D8"/>
    <w:rsid w:val="0BF26547"/>
    <w:rsid w:val="0C083041"/>
    <w:rsid w:val="0C142961"/>
    <w:rsid w:val="0C171366"/>
    <w:rsid w:val="0C3E79DE"/>
    <w:rsid w:val="0C402010"/>
    <w:rsid w:val="0C430B50"/>
    <w:rsid w:val="0C4B5C57"/>
    <w:rsid w:val="0C4C3EA9"/>
    <w:rsid w:val="0C607954"/>
    <w:rsid w:val="0C80549A"/>
    <w:rsid w:val="0C8C24F7"/>
    <w:rsid w:val="0CA02447"/>
    <w:rsid w:val="0CA75583"/>
    <w:rsid w:val="0CA91BE5"/>
    <w:rsid w:val="0CC47EE3"/>
    <w:rsid w:val="0CC50870"/>
    <w:rsid w:val="0CCC1472"/>
    <w:rsid w:val="0CCD197C"/>
    <w:rsid w:val="0CE00A95"/>
    <w:rsid w:val="0D0522AA"/>
    <w:rsid w:val="0D084CFA"/>
    <w:rsid w:val="0D0A558D"/>
    <w:rsid w:val="0D2A1D10"/>
    <w:rsid w:val="0D2C3CDA"/>
    <w:rsid w:val="0D346667"/>
    <w:rsid w:val="0D3928BE"/>
    <w:rsid w:val="0D447276"/>
    <w:rsid w:val="0D4E2A85"/>
    <w:rsid w:val="0D5D5C42"/>
    <w:rsid w:val="0D674D12"/>
    <w:rsid w:val="0D7C5653"/>
    <w:rsid w:val="0D8851E3"/>
    <w:rsid w:val="0DA33F9D"/>
    <w:rsid w:val="0DAE00D1"/>
    <w:rsid w:val="0DB02C02"/>
    <w:rsid w:val="0DB461AA"/>
    <w:rsid w:val="0DBA12E6"/>
    <w:rsid w:val="0DC61A39"/>
    <w:rsid w:val="0DDD7AB1"/>
    <w:rsid w:val="0DDF2ECD"/>
    <w:rsid w:val="0DF01A1C"/>
    <w:rsid w:val="0E0013EF"/>
    <w:rsid w:val="0E0C7BC1"/>
    <w:rsid w:val="0E1A4E1B"/>
    <w:rsid w:val="0E48034D"/>
    <w:rsid w:val="0E4E6A04"/>
    <w:rsid w:val="0E535EA3"/>
    <w:rsid w:val="0E545297"/>
    <w:rsid w:val="0E656924"/>
    <w:rsid w:val="0E664FCA"/>
    <w:rsid w:val="0E7C24A3"/>
    <w:rsid w:val="0E7D6595"/>
    <w:rsid w:val="0E7E2314"/>
    <w:rsid w:val="0E7E7F4C"/>
    <w:rsid w:val="0E80608C"/>
    <w:rsid w:val="0E8518F4"/>
    <w:rsid w:val="0E8A2A67"/>
    <w:rsid w:val="0E912047"/>
    <w:rsid w:val="0EB9159E"/>
    <w:rsid w:val="0EC51CF1"/>
    <w:rsid w:val="0EC928B0"/>
    <w:rsid w:val="0ED0372F"/>
    <w:rsid w:val="0EE91E83"/>
    <w:rsid w:val="0EEC54CF"/>
    <w:rsid w:val="0EEE44B0"/>
    <w:rsid w:val="0EF60447"/>
    <w:rsid w:val="0EF64C2F"/>
    <w:rsid w:val="0F0022AB"/>
    <w:rsid w:val="0F056591"/>
    <w:rsid w:val="0F2A446E"/>
    <w:rsid w:val="0F2C1D70"/>
    <w:rsid w:val="0F3375A2"/>
    <w:rsid w:val="0F4277E5"/>
    <w:rsid w:val="0F4D478A"/>
    <w:rsid w:val="0F4E7B0D"/>
    <w:rsid w:val="0F580DB7"/>
    <w:rsid w:val="0F5D63CD"/>
    <w:rsid w:val="0F643B5C"/>
    <w:rsid w:val="0F694D72"/>
    <w:rsid w:val="0F73260B"/>
    <w:rsid w:val="0F781923"/>
    <w:rsid w:val="0F7F2F59"/>
    <w:rsid w:val="0F851480"/>
    <w:rsid w:val="0F87344A"/>
    <w:rsid w:val="0F96368D"/>
    <w:rsid w:val="0F9D6D74"/>
    <w:rsid w:val="0FAC7481"/>
    <w:rsid w:val="0FBC7598"/>
    <w:rsid w:val="0FC14A36"/>
    <w:rsid w:val="0FC35BC6"/>
    <w:rsid w:val="0FC47148"/>
    <w:rsid w:val="0FCB3337"/>
    <w:rsid w:val="0FCC0A99"/>
    <w:rsid w:val="0FD0094D"/>
    <w:rsid w:val="0FD06B9F"/>
    <w:rsid w:val="0FD42CD5"/>
    <w:rsid w:val="0FE663C2"/>
    <w:rsid w:val="0FEB2196"/>
    <w:rsid w:val="10136789"/>
    <w:rsid w:val="101A5D6C"/>
    <w:rsid w:val="101D78EE"/>
    <w:rsid w:val="101F3682"/>
    <w:rsid w:val="10270A2C"/>
    <w:rsid w:val="102E1EF2"/>
    <w:rsid w:val="103B0B5B"/>
    <w:rsid w:val="10611EED"/>
    <w:rsid w:val="10645539"/>
    <w:rsid w:val="106D2640"/>
    <w:rsid w:val="108300B5"/>
    <w:rsid w:val="10863702"/>
    <w:rsid w:val="108654B0"/>
    <w:rsid w:val="10923E54"/>
    <w:rsid w:val="10AC1250"/>
    <w:rsid w:val="10B464C1"/>
    <w:rsid w:val="10BC4BEC"/>
    <w:rsid w:val="10D14CC6"/>
    <w:rsid w:val="10D40911"/>
    <w:rsid w:val="10D44BD5"/>
    <w:rsid w:val="10E2302E"/>
    <w:rsid w:val="110E43DB"/>
    <w:rsid w:val="1111197B"/>
    <w:rsid w:val="111D5E14"/>
    <w:rsid w:val="11245617"/>
    <w:rsid w:val="11256311"/>
    <w:rsid w:val="112E1DCF"/>
    <w:rsid w:val="113E7637"/>
    <w:rsid w:val="115B693C"/>
    <w:rsid w:val="116C0B49"/>
    <w:rsid w:val="11785740"/>
    <w:rsid w:val="118E6D12"/>
    <w:rsid w:val="119C79B7"/>
    <w:rsid w:val="11A0496A"/>
    <w:rsid w:val="11A227BD"/>
    <w:rsid w:val="11A93B4C"/>
    <w:rsid w:val="11AE1939"/>
    <w:rsid w:val="11B52B72"/>
    <w:rsid w:val="11B81FE1"/>
    <w:rsid w:val="11BB562D"/>
    <w:rsid w:val="11D32820"/>
    <w:rsid w:val="11F72B09"/>
    <w:rsid w:val="11FA7F03"/>
    <w:rsid w:val="12043D40"/>
    <w:rsid w:val="122723DB"/>
    <w:rsid w:val="12340EC2"/>
    <w:rsid w:val="12372F05"/>
    <w:rsid w:val="12681311"/>
    <w:rsid w:val="126E269F"/>
    <w:rsid w:val="128115FD"/>
    <w:rsid w:val="12843C71"/>
    <w:rsid w:val="129A3494"/>
    <w:rsid w:val="129B16E6"/>
    <w:rsid w:val="12A06CFD"/>
    <w:rsid w:val="12A33E0E"/>
    <w:rsid w:val="12AD3208"/>
    <w:rsid w:val="12B01F29"/>
    <w:rsid w:val="12B04A66"/>
    <w:rsid w:val="12BB5953"/>
    <w:rsid w:val="12BD6324"/>
    <w:rsid w:val="12BE3627"/>
    <w:rsid w:val="12DA67E6"/>
    <w:rsid w:val="12EA7CAB"/>
    <w:rsid w:val="12F157AA"/>
    <w:rsid w:val="12FD788E"/>
    <w:rsid w:val="13007463"/>
    <w:rsid w:val="13051255"/>
    <w:rsid w:val="134B186F"/>
    <w:rsid w:val="13531FC1"/>
    <w:rsid w:val="135B0E75"/>
    <w:rsid w:val="136046DE"/>
    <w:rsid w:val="137141F5"/>
    <w:rsid w:val="138A3509"/>
    <w:rsid w:val="138A52B7"/>
    <w:rsid w:val="13964A7F"/>
    <w:rsid w:val="139D3C46"/>
    <w:rsid w:val="13A740BB"/>
    <w:rsid w:val="13AA5959"/>
    <w:rsid w:val="13DD5D2E"/>
    <w:rsid w:val="13E92E7F"/>
    <w:rsid w:val="13EE1CEA"/>
    <w:rsid w:val="13F439DD"/>
    <w:rsid w:val="140E413A"/>
    <w:rsid w:val="142757AF"/>
    <w:rsid w:val="14302302"/>
    <w:rsid w:val="143F5822"/>
    <w:rsid w:val="14445DAD"/>
    <w:rsid w:val="14690C2C"/>
    <w:rsid w:val="146B2A19"/>
    <w:rsid w:val="14780ADB"/>
    <w:rsid w:val="14795A57"/>
    <w:rsid w:val="147C10A3"/>
    <w:rsid w:val="1481490C"/>
    <w:rsid w:val="148461AA"/>
    <w:rsid w:val="148A5358"/>
    <w:rsid w:val="148E0DD7"/>
    <w:rsid w:val="14983A03"/>
    <w:rsid w:val="149C7E78"/>
    <w:rsid w:val="14A437A0"/>
    <w:rsid w:val="14A64372"/>
    <w:rsid w:val="14A95C11"/>
    <w:rsid w:val="14B02CE2"/>
    <w:rsid w:val="14CB5B87"/>
    <w:rsid w:val="14CD18FF"/>
    <w:rsid w:val="14EC4369"/>
    <w:rsid w:val="14ED7D61"/>
    <w:rsid w:val="150B28EF"/>
    <w:rsid w:val="150C0477"/>
    <w:rsid w:val="150F6190"/>
    <w:rsid w:val="150F6934"/>
    <w:rsid w:val="1517701E"/>
    <w:rsid w:val="152F4368"/>
    <w:rsid w:val="1542068C"/>
    <w:rsid w:val="154611F8"/>
    <w:rsid w:val="15470639"/>
    <w:rsid w:val="155E73DB"/>
    <w:rsid w:val="157606D6"/>
    <w:rsid w:val="15791A87"/>
    <w:rsid w:val="1579367E"/>
    <w:rsid w:val="157A0988"/>
    <w:rsid w:val="158C17BA"/>
    <w:rsid w:val="158F171D"/>
    <w:rsid w:val="15C50828"/>
    <w:rsid w:val="15D020B8"/>
    <w:rsid w:val="15D12754"/>
    <w:rsid w:val="15DB004C"/>
    <w:rsid w:val="15E300E0"/>
    <w:rsid w:val="15EA028F"/>
    <w:rsid w:val="15F335E7"/>
    <w:rsid w:val="16004D2F"/>
    <w:rsid w:val="160F5E4B"/>
    <w:rsid w:val="16111615"/>
    <w:rsid w:val="16287735"/>
    <w:rsid w:val="162B2D81"/>
    <w:rsid w:val="16377978"/>
    <w:rsid w:val="163F4A7E"/>
    <w:rsid w:val="1663076D"/>
    <w:rsid w:val="166C1871"/>
    <w:rsid w:val="167A5AB7"/>
    <w:rsid w:val="16806361"/>
    <w:rsid w:val="16930A8A"/>
    <w:rsid w:val="169A7F07"/>
    <w:rsid w:val="169C3C7F"/>
    <w:rsid w:val="16AD096A"/>
    <w:rsid w:val="16B74615"/>
    <w:rsid w:val="16E45D72"/>
    <w:rsid w:val="16E7029D"/>
    <w:rsid w:val="16E80C72"/>
    <w:rsid w:val="16EB72C3"/>
    <w:rsid w:val="16ED0036"/>
    <w:rsid w:val="16F82261"/>
    <w:rsid w:val="16FA2753"/>
    <w:rsid w:val="170610F8"/>
    <w:rsid w:val="17092996"/>
    <w:rsid w:val="17127A9D"/>
    <w:rsid w:val="172C28AC"/>
    <w:rsid w:val="17304BCD"/>
    <w:rsid w:val="17382937"/>
    <w:rsid w:val="1747041C"/>
    <w:rsid w:val="174C3A48"/>
    <w:rsid w:val="17521955"/>
    <w:rsid w:val="175727B3"/>
    <w:rsid w:val="176A1687"/>
    <w:rsid w:val="176C3651"/>
    <w:rsid w:val="17793FC0"/>
    <w:rsid w:val="17836BED"/>
    <w:rsid w:val="178C3CF3"/>
    <w:rsid w:val="1791130A"/>
    <w:rsid w:val="17AB1339"/>
    <w:rsid w:val="17B40B54"/>
    <w:rsid w:val="17B77E97"/>
    <w:rsid w:val="17B87AA1"/>
    <w:rsid w:val="17CA22B0"/>
    <w:rsid w:val="17D244D2"/>
    <w:rsid w:val="17D53D50"/>
    <w:rsid w:val="17D905BB"/>
    <w:rsid w:val="17F453F5"/>
    <w:rsid w:val="17FE0021"/>
    <w:rsid w:val="18003D99"/>
    <w:rsid w:val="18117D55"/>
    <w:rsid w:val="18122669"/>
    <w:rsid w:val="18147312"/>
    <w:rsid w:val="181C4801"/>
    <w:rsid w:val="1823741C"/>
    <w:rsid w:val="18240C93"/>
    <w:rsid w:val="184571A7"/>
    <w:rsid w:val="18596009"/>
    <w:rsid w:val="1867206B"/>
    <w:rsid w:val="18AB1F57"/>
    <w:rsid w:val="18AB315F"/>
    <w:rsid w:val="18BD1C8B"/>
    <w:rsid w:val="18C82B09"/>
    <w:rsid w:val="18EE62E8"/>
    <w:rsid w:val="19120228"/>
    <w:rsid w:val="19132B6A"/>
    <w:rsid w:val="19143FA0"/>
    <w:rsid w:val="19185113"/>
    <w:rsid w:val="192047F5"/>
    <w:rsid w:val="192B3098"/>
    <w:rsid w:val="19397563"/>
    <w:rsid w:val="193D043C"/>
    <w:rsid w:val="1942771D"/>
    <w:rsid w:val="194B0217"/>
    <w:rsid w:val="196811FE"/>
    <w:rsid w:val="196D545F"/>
    <w:rsid w:val="19743F9E"/>
    <w:rsid w:val="197607B7"/>
    <w:rsid w:val="19831126"/>
    <w:rsid w:val="198B4C64"/>
    <w:rsid w:val="199E386A"/>
    <w:rsid w:val="19AF1F1B"/>
    <w:rsid w:val="19B228EF"/>
    <w:rsid w:val="19C84D8B"/>
    <w:rsid w:val="19C92FDD"/>
    <w:rsid w:val="19FD4A34"/>
    <w:rsid w:val="1A0B1B30"/>
    <w:rsid w:val="1A0F29BA"/>
    <w:rsid w:val="1A155476"/>
    <w:rsid w:val="1A1B2209"/>
    <w:rsid w:val="1A240213"/>
    <w:rsid w:val="1A246465"/>
    <w:rsid w:val="1A27385F"/>
    <w:rsid w:val="1A336D00"/>
    <w:rsid w:val="1A534654"/>
    <w:rsid w:val="1A5F749D"/>
    <w:rsid w:val="1A642D76"/>
    <w:rsid w:val="1A6B4094"/>
    <w:rsid w:val="1A6D091C"/>
    <w:rsid w:val="1A7016AA"/>
    <w:rsid w:val="1A864A2A"/>
    <w:rsid w:val="1A8B64E4"/>
    <w:rsid w:val="1A8C6736"/>
    <w:rsid w:val="1A8D0BFD"/>
    <w:rsid w:val="1A9B5FFB"/>
    <w:rsid w:val="1AA72BF2"/>
    <w:rsid w:val="1AE43847"/>
    <w:rsid w:val="1AE654C9"/>
    <w:rsid w:val="1AE80A1B"/>
    <w:rsid w:val="1B0F13FA"/>
    <w:rsid w:val="1B1A1616"/>
    <w:rsid w:val="1B50328A"/>
    <w:rsid w:val="1B513316"/>
    <w:rsid w:val="1B521D8E"/>
    <w:rsid w:val="1B5F2881"/>
    <w:rsid w:val="1B6C00C4"/>
    <w:rsid w:val="1B8968EB"/>
    <w:rsid w:val="1B8A22F8"/>
    <w:rsid w:val="1BA62EAA"/>
    <w:rsid w:val="1BBE1FA1"/>
    <w:rsid w:val="1BC33BE8"/>
    <w:rsid w:val="1BC93A52"/>
    <w:rsid w:val="1BCD0437"/>
    <w:rsid w:val="1BD45C69"/>
    <w:rsid w:val="1BE8722F"/>
    <w:rsid w:val="1BFB31F6"/>
    <w:rsid w:val="1C2C33AF"/>
    <w:rsid w:val="1C2E35CB"/>
    <w:rsid w:val="1C2F673B"/>
    <w:rsid w:val="1C5566DD"/>
    <w:rsid w:val="1C8A6D4D"/>
    <w:rsid w:val="1C940F54"/>
    <w:rsid w:val="1CA078F9"/>
    <w:rsid w:val="1CA70C88"/>
    <w:rsid w:val="1CAD5C2E"/>
    <w:rsid w:val="1CAD64D3"/>
    <w:rsid w:val="1CC47A8B"/>
    <w:rsid w:val="1CE712D2"/>
    <w:rsid w:val="1CE801C3"/>
    <w:rsid w:val="1CEE0CE4"/>
    <w:rsid w:val="1D01713F"/>
    <w:rsid w:val="1D047E88"/>
    <w:rsid w:val="1D1A76AB"/>
    <w:rsid w:val="1D2E13A9"/>
    <w:rsid w:val="1D33076D"/>
    <w:rsid w:val="1D394E97"/>
    <w:rsid w:val="1D3E1D18"/>
    <w:rsid w:val="1D570900"/>
    <w:rsid w:val="1D5A0B44"/>
    <w:rsid w:val="1D615A9C"/>
    <w:rsid w:val="1D644158"/>
    <w:rsid w:val="1D6502D5"/>
    <w:rsid w:val="1D6923E1"/>
    <w:rsid w:val="1D705321"/>
    <w:rsid w:val="1D756FD8"/>
    <w:rsid w:val="1D8965DF"/>
    <w:rsid w:val="1D8A4831"/>
    <w:rsid w:val="1D8D2573"/>
    <w:rsid w:val="1D9549E3"/>
    <w:rsid w:val="1D965BCC"/>
    <w:rsid w:val="1DA67191"/>
    <w:rsid w:val="1DB01DBE"/>
    <w:rsid w:val="1DB26E76"/>
    <w:rsid w:val="1DB863DE"/>
    <w:rsid w:val="1DDC2BB3"/>
    <w:rsid w:val="1DDE4B7D"/>
    <w:rsid w:val="1E05210A"/>
    <w:rsid w:val="1E29384E"/>
    <w:rsid w:val="1E2B7E65"/>
    <w:rsid w:val="1E3A3326"/>
    <w:rsid w:val="1E577C65"/>
    <w:rsid w:val="1E5E7A6C"/>
    <w:rsid w:val="1E5F7133"/>
    <w:rsid w:val="1E7E3C6A"/>
    <w:rsid w:val="1E8428F3"/>
    <w:rsid w:val="1E8611E5"/>
    <w:rsid w:val="1EA25BAA"/>
    <w:rsid w:val="1EB51D82"/>
    <w:rsid w:val="1ECD748C"/>
    <w:rsid w:val="1EEE7042"/>
    <w:rsid w:val="1F141923"/>
    <w:rsid w:val="1F180F00"/>
    <w:rsid w:val="1F1840BF"/>
    <w:rsid w:val="1F327EB1"/>
    <w:rsid w:val="1F330EF8"/>
    <w:rsid w:val="1F6A2B6C"/>
    <w:rsid w:val="1F6F3198"/>
    <w:rsid w:val="1F786B3C"/>
    <w:rsid w:val="1F794529"/>
    <w:rsid w:val="1F882FF2"/>
    <w:rsid w:val="1F896D6A"/>
    <w:rsid w:val="1F8D685B"/>
    <w:rsid w:val="1FA07FF0"/>
    <w:rsid w:val="1FA92F69"/>
    <w:rsid w:val="1FB262C1"/>
    <w:rsid w:val="1FC349AA"/>
    <w:rsid w:val="1FC57DA2"/>
    <w:rsid w:val="1FCB2EDF"/>
    <w:rsid w:val="1FD91AA0"/>
    <w:rsid w:val="1FF02946"/>
    <w:rsid w:val="1FF468DA"/>
    <w:rsid w:val="1FF77C96"/>
    <w:rsid w:val="1FF95C9E"/>
    <w:rsid w:val="1FF96220"/>
    <w:rsid w:val="20182BD0"/>
    <w:rsid w:val="2020147D"/>
    <w:rsid w:val="20210D51"/>
    <w:rsid w:val="20553134"/>
    <w:rsid w:val="2061066F"/>
    <w:rsid w:val="20660D40"/>
    <w:rsid w:val="20667058"/>
    <w:rsid w:val="207672EF"/>
    <w:rsid w:val="208B6A49"/>
    <w:rsid w:val="208E0239"/>
    <w:rsid w:val="20915ED7"/>
    <w:rsid w:val="20A200E4"/>
    <w:rsid w:val="20BD6CCC"/>
    <w:rsid w:val="20C91B14"/>
    <w:rsid w:val="20E93F65"/>
    <w:rsid w:val="20F6016D"/>
    <w:rsid w:val="20F72005"/>
    <w:rsid w:val="20FE5DCA"/>
    <w:rsid w:val="21020B82"/>
    <w:rsid w:val="21103A0C"/>
    <w:rsid w:val="2116462E"/>
    <w:rsid w:val="21275F39"/>
    <w:rsid w:val="212A6D24"/>
    <w:rsid w:val="215E38F0"/>
    <w:rsid w:val="216D2DBF"/>
    <w:rsid w:val="217429A0"/>
    <w:rsid w:val="21846BBA"/>
    <w:rsid w:val="218C0286"/>
    <w:rsid w:val="21935C7E"/>
    <w:rsid w:val="21A155D2"/>
    <w:rsid w:val="21A50B34"/>
    <w:rsid w:val="21A63C04"/>
    <w:rsid w:val="21BC4F04"/>
    <w:rsid w:val="21E62252"/>
    <w:rsid w:val="21EC71F4"/>
    <w:rsid w:val="220B3055"/>
    <w:rsid w:val="222136BD"/>
    <w:rsid w:val="223E3E3C"/>
    <w:rsid w:val="224D5172"/>
    <w:rsid w:val="22513F59"/>
    <w:rsid w:val="22723AE6"/>
    <w:rsid w:val="227579AC"/>
    <w:rsid w:val="228379AD"/>
    <w:rsid w:val="22963C78"/>
    <w:rsid w:val="22A03340"/>
    <w:rsid w:val="22AE0FC2"/>
    <w:rsid w:val="22AF480C"/>
    <w:rsid w:val="22BE6D2B"/>
    <w:rsid w:val="22C30452"/>
    <w:rsid w:val="22D630A1"/>
    <w:rsid w:val="22D84291"/>
    <w:rsid w:val="22D9311C"/>
    <w:rsid w:val="22E57786"/>
    <w:rsid w:val="22F51C55"/>
    <w:rsid w:val="23014E46"/>
    <w:rsid w:val="230A3907"/>
    <w:rsid w:val="232835BD"/>
    <w:rsid w:val="232952FB"/>
    <w:rsid w:val="233A2855"/>
    <w:rsid w:val="235100D0"/>
    <w:rsid w:val="23670D7E"/>
    <w:rsid w:val="237D091B"/>
    <w:rsid w:val="23893087"/>
    <w:rsid w:val="23AB1C11"/>
    <w:rsid w:val="23AE6D9F"/>
    <w:rsid w:val="23B84BB1"/>
    <w:rsid w:val="23C501A0"/>
    <w:rsid w:val="23C87507"/>
    <w:rsid w:val="23D24BDB"/>
    <w:rsid w:val="23E17CCB"/>
    <w:rsid w:val="23F25F10"/>
    <w:rsid w:val="24042E63"/>
    <w:rsid w:val="24134E54"/>
    <w:rsid w:val="241C782B"/>
    <w:rsid w:val="243146B1"/>
    <w:rsid w:val="24373B22"/>
    <w:rsid w:val="246833F2"/>
    <w:rsid w:val="2486394A"/>
    <w:rsid w:val="249D7540"/>
    <w:rsid w:val="24BD373E"/>
    <w:rsid w:val="24C52D2F"/>
    <w:rsid w:val="24CB707C"/>
    <w:rsid w:val="24DB1E16"/>
    <w:rsid w:val="24F353B2"/>
    <w:rsid w:val="24FE5B05"/>
    <w:rsid w:val="2513335E"/>
    <w:rsid w:val="251E1D03"/>
    <w:rsid w:val="2549294D"/>
    <w:rsid w:val="25506360"/>
    <w:rsid w:val="25560DD8"/>
    <w:rsid w:val="25867FD4"/>
    <w:rsid w:val="258F159E"/>
    <w:rsid w:val="25A5308F"/>
    <w:rsid w:val="25B05051"/>
    <w:rsid w:val="25B833E3"/>
    <w:rsid w:val="25B85CB3"/>
    <w:rsid w:val="25C230C1"/>
    <w:rsid w:val="25C65353"/>
    <w:rsid w:val="25CB1E8B"/>
    <w:rsid w:val="25D24FC7"/>
    <w:rsid w:val="25EB3D27"/>
    <w:rsid w:val="26197521"/>
    <w:rsid w:val="26211AAB"/>
    <w:rsid w:val="26213161"/>
    <w:rsid w:val="262F4DCB"/>
    <w:rsid w:val="26301CEE"/>
    <w:rsid w:val="26307F40"/>
    <w:rsid w:val="264834DB"/>
    <w:rsid w:val="2652435A"/>
    <w:rsid w:val="26802C75"/>
    <w:rsid w:val="26B1342E"/>
    <w:rsid w:val="26B66697"/>
    <w:rsid w:val="26B7240F"/>
    <w:rsid w:val="26BC17D3"/>
    <w:rsid w:val="26D0702D"/>
    <w:rsid w:val="26E256DE"/>
    <w:rsid w:val="26F0573E"/>
    <w:rsid w:val="27070CA1"/>
    <w:rsid w:val="271D04C4"/>
    <w:rsid w:val="272F1FA5"/>
    <w:rsid w:val="273A72C8"/>
    <w:rsid w:val="273D46C2"/>
    <w:rsid w:val="27402404"/>
    <w:rsid w:val="27514A70"/>
    <w:rsid w:val="27547CA6"/>
    <w:rsid w:val="27565784"/>
    <w:rsid w:val="27704CE1"/>
    <w:rsid w:val="27716A62"/>
    <w:rsid w:val="27743E5C"/>
    <w:rsid w:val="277B51EB"/>
    <w:rsid w:val="27873B8F"/>
    <w:rsid w:val="278A5A30"/>
    <w:rsid w:val="278C42F2"/>
    <w:rsid w:val="27906EE8"/>
    <w:rsid w:val="27A74232"/>
    <w:rsid w:val="27AC3B83"/>
    <w:rsid w:val="27C213DD"/>
    <w:rsid w:val="27C2360C"/>
    <w:rsid w:val="27CB1352"/>
    <w:rsid w:val="27D17500"/>
    <w:rsid w:val="27D25BC2"/>
    <w:rsid w:val="27D45EEB"/>
    <w:rsid w:val="27D90502"/>
    <w:rsid w:val="27EC7E96"/>
    <w:rsid w:val="280D0539"/>
    <w:rsid w:val="281255B9"/>
    <w:rsid w:val="28133675"/>
    <w:rsid w:val="281932B0"/>
    <w:rsid w:val="28237594"/>
    <w:rsid w:val="28486C88"/>
    <w:rsid w:val="284B1061"/>
    <w:rsid w:val="285B732B"/>
    <w:rsid w:val="285E0D94"/>
    <w:rsid w:val="285F4B0C"/>
    <w:rsid w:val="285F7048"/>
    <w:rsid w:val="286657DA"/>
    <w:rsid w:val="286A6B64"/>
    <w:rsid w:val="286E1525"/>
    <w:rsid w:val="2872123E"/>
    <w:rsid w:val="287405B8"/>
    <w:rsid w:val="288A7DDB"/>
    <w:rsid w:val="28A609F8"/>
    <w:rsid w:val="28A864B3"/>
    <w:rsid w:val="28CA1C5A"/>
    <w:rsid w:val="28D0685C"/>
    <w:rsid w:val="28D9041B"/>
    <w:rsid w:val="28DB0637"/>
    <w:rsid w:val="28E26277"/>
    <w:rsid w:val="28EA1015"/>
    <w:rsid w:val="28F15491"/>
    <w:rsid w:val="28F53132"/>
    <w:rsid w:val="290A0F1C"/>
    <w:rsid w:val="292C2C40"/>
    <w:rsid w:val="293B29CE"/>
    <w:rsid w:val="29410FE1"/>
    <w:rsid w:val="29467C29"/>
    <w:rsid w:val="29534671"/>
    <w:rsid w:val="295F1A08"/>
    <w:rsid w:val="295F6FD6"/>
    <w:rsid w:val="297C3120"/>
    <w:rsid w:val="29881925"/>
    <w:rsid w:val="29910CF5"/>
    <w:rsid w:val="29915199"/>
    <w:rsid w:val="29A42A5E"/>
    <w:rsid w:val="29A51E8D"/>
    <w:rsid w:val="29C76E0D"/>
    <w:rsid w:val="29D76564"/>
    <w:rsid w:val="29E51041"/>
    <w:rsid w:val="29EC0622"/>
    <w:rsid w:val="2A202079"/>
    <w:rsid w:val="2A263B34"/>
    <w:rsid w:val="2A284D09"/>
    <w:rsid w:val="2A4144C9"/>
    <w:rsid w:val="2A4915D0"/>
    <w:rsid w:val="2A790107"/>
    <w:rsid w:val="2A7A79DB"/>
    <w:rsid w:val="2A866FC8"/>
    <w:rsid w:val="2AA90CCB"/>
    <w:rsid w:val="2AAD417B"/>
    <w:rsid w:val="2AC11AAE"/>
    <w:rsid w:val="2AD43732"/>
    <w:rsid w:val="2AE00186"/>
    <w:rsid w:val="2AFA0B1C"/>
    <w:rsid w:val="2B08148B"/>
    <w:rsid w:val="2B195446"/>
    <w:rsid w:val="2B1B2C00"/>
    <w:rsid w:val="2B1C0A93"/>
    <w:rsid w:val="2B1D5BBE"/>
    <w:rsid w:val="2B2362C5"/>
    <w:rsid w:val="2B3F31FD"/>
    <w:rsid w:val="2B4A1AA4"/>
    <w:rsid w:val="2B5E72FD"/>
    <w:rsid w:val="2B6A7233"/>
    <w:rsid w:val="2B6F7903"/>
    <w:rsid w:val="2B763693"/>
    <w:rsid w:val="2B77208E"/>
    <w:rsid w:val="2B966A97"/>
    <w:rsid w:val="2B9E76FA"/>
    <w:rsid w:val="2BA411B4"/>
    <w:rsid w:val="2BB42F3A"/>
    <w:rsid w:val="2BE47802"/>
    <w:rsid w:val="2C0259D6"/>
    <w:rsid w:val="2C0B2D65"/>
    <w:rsid w:val="2C312009"/>
    <w:rsid w:val="2C423DE9"/>
    <w:rsid w:val="2C527D80"/>
    <w:rsid w:val="2C550700"/>
    <w:rsid w:val="2C714E0E"/>
    <w:rsid w:val="2C752B50"/>
    <w:rsid w:val="2C7566AC"/>
    <w:rsid w:val="2CA927FA"/>
    <w:rsid w:val="2CB25880"/>
    <w:rsid w:val="2CBE6F30"/>
    <w:rsid w:val="2CD23AFF"/>
    <w:rsid w:val="2CDA0C05"/>
    <w:rsid w:val="2CE808B5"/>
    <w:rsid w:val="2CF03F85"/>
    <w:rsid w:val="2CF0667B"/>
    <w:rsid w:val="2CFC5020"/>
    <w:rsid w:val="2D024D94"/>
    <w:rsid w:val="2D104627"/>
    <w:rsid w:val="2D406CBA"/>
    <w:rsid w:val="2D410C84"/>
    <w:rsid w:val="2D430559"/>
    <w:rsid w:val="2D4C1DB6"/>
    <w:rsid w:val="2D574004"/>
    <w:rsid w:val="2D7B3DA4"/>
    <w:rsid w:val="2D7C3A6A"/>
    <w:rsid w:val="2D83275B"/>
    <w:rsid w:val="2D940DB4"/>
    <w:rsid w:val="2D950DB8"/>
    <w:rsid w:val="2D964B2C"/>
    <w:rsid w:val="2D99286E"/>
    <w:rsid w:val="2D9B2143"/>
    <w:rsid w:val="2DA01E4F"/>
    <w:rsid w:val="2DAA0707"/>
    <w:rsid w:val="2DC378EB"/>
    <w:rsid w:val="2DD13898"/>
    <w:rsid w:val="2DD66192"/>
    <w:rsid w:val="2DE03F4E"/>
    <w:rsid w:val="2DED3B70"/>
    <w:rsid w:val="2DFD104F"/>
    <w:rsid w:val="2E01648C"/>
    <w:rsid w:val="2E1D6E22"/>
    <w:rsid w:val="2E244789"/>
    <w:rsid w:val="2E2E4E6A"/>
    <w:rsid w:val="2E4816CD"/>
    <w:rsid w:val="2E497DF1"/>
    <w:rsid w:val="2E504103"/>
    <w:rsid w:val="2E731311"/>
    <w:rsid w:val="2E851584"/>
    <w:rsid w:val="2E951288"/>
    <w:rsid w:val="2E9D534C"/>
    <w:rsid w:val="2ED0406E"/>
    <w:rsid w:val="2ED51684"/>
    <w:rsid w:val="2EE947A0"/>
    <w:rsid w:val="2EF73B91"/>
    <w:rsid w:val="2F011E9C"/>
    <w:rsid w:val="2F0148A3"/>
    <w:rsid w:val="2F0629EA"/>
    <w:rsid w:val="2F0A48A6"/>
    <w:rsid w:val="2F0C6053"/>
    <w:rsid w:val="2F153075"/>
    <w:rsid w:val="2F176141"/>
    <w:rsid w:val="2F2F15F8"/>
    <w:rsid w:val="2F2F348A"/>
    <w:rsid w:val="2F3E7D67"/>
    <w:rsid w:val="2F4862FA"/>
    <w:rsid w:val="2F4F7689"/>
    <w:rsid w:val="2F59444C"/>
    <w:rsid w:val="2F5C77B2"/>
    <w:rsid w:val="2F5F54CC"/>
    <w:rsid w:val="2F6C3EDC"/>
    <w:rsid w:val="2F7075FF"/>
    <w:rsid w:val="2F9E7175"/>
    <w:rsid w:val="2F9F1BB2"/>
    <w:rsid w:val="2FC06408"/>
    <w:rsid w:val="2FD23E16"/>
    <w:rsid w:val="2FE37DD1"/>
    <w:rsid w:val="2FE52979"/>
    <w:rsid w:val="2FEA115F"/>
    <w:rsid w:val="2FEB727A"/>
    <w:rsid w:val="2FF73763"/>
    <w:rsid w:val="2FFD5337"/>
    <w:rsid w:val="300D11B9"/>
    <w:rsid w:val="300F0BC6"/>
    <w:rsid w:val="301134D7"/>
    <w:rsid w:val="30234671"/>
    <w:rsid w:val="3025488D"/>
    <w:rsid w:val="30313232"/>
    <w:rsid w:val="30470360"/>
    <w:rsid w:val="30510301"/>
    <w:rsid w:val="30962CCC"/>
    <w:rsid w:val="30A046BE"/>
    <w:rsid w:val="30A92DC8"/>
    <w:rsid w:val="30AB577E"/>
    <w:rsid w:val="30AE03DF"/>
    <w:rsid w:val="30B53EA4"/>
    <w:rsid w:val="30C47C02"/>
    <w:rsid w:val="30C72117"/>
    <w:rsid w:val="30DD0CC4"/>
    <w:rsid w:val="30E958BB"/>
    <w:rsid w:val="31083F93"/>
    <w:rsid w:val="311A3CC6"/>
    <w:rsid w:val="313C4A50"/>
    <w:rsid w:val="31421B5D"/>
    <w:rsid w:val="31490108"/>
    <w:rsid w:val="314B0324"/>
    <w:rsid w:val="314E1F19"/>
    <w:rsid w:val="31501496"/>
    <w:rsid w:val="317C00D7"/>
    <w:rsid w:val="31927D00"/>
    <w:rsid w:val="31CF4AB1"/>
    <w:rsid w:val="31D8349E"/>
    <w:rsid w:val="31D95F13"/>
    <w:rsid w:val="31F814B9"/>
    <w:rsid w:val="31F831DD"/>
    <w:rsid w:val="3220530C"/>
    <w:rsid w:val="32244DFC"/>
    <w:rsid w:val="322A4ECE"/>
    <w:rsid w:val="324059AE"/>
    <w:rsid w:val="32427031"/>
    <w:rsid w:val="3247615F"/>
    <w:rsid w:val="324E4D0D"/>
    <w:rsid w:val="32562ADC"/>
    <w:rsid w:val="325A45AB"/>
    <w:rsid w:val="326301AD"/>
    <w:rsid w:val="326571C3"/>
    <w:rsid w:val="3287538B"/>
    <w:rsid w:val="32892EB1"/>
    <w:rsid w:val="32A21577"/>
    <w:rsid w:val="32A230EF"/>
    <w:rsid w:val="32A36A1D"/>
    <w:rsid w:val="32A61CB5"/>
    <w:rsid w:val="32AA0725"/>
    <w:rsid w:val="32B36180"/>
    <w:rsid w:val="32B55A55"/>
    <w:rsid w:val="32C71C2C"/>
    <w:rsid w:val="32DC56D7"/>
    <w:rsid w:val="32DE3330"/>
    <w:rsid w:val="32E0684A"/>
    <w:rsid w:val="32E16D41"/>
    <w:rsid w:val="32E62D19"/>
    <w:rsid w:val="33024458"/>
    <w:rsid w:val="33092244"/>
    <w:rsid w:val="330C5891"/>
    <w:rsid w:val="33346CC9"/>
    <w:rsid w:val="33423060"/>
    <w:rsid w:val="33471613"/>
    <w:rsid w:val="335A2AA0"/>
    <w:rsid w:val="33745DF2"/>
    <w:rsid w:val="33947D60"/>
    <w:rsid w:val="33A31C50"/>
    <w:rsid w:val="33A95C37"/>
    <w:rsid w:val="33B40937"/>
    <w:rsid w:val="33C22E71"/>
    <w:rsid w:val="33C645B1"/>
    <w:rsid w:val="33D771A3"/>
    <w:rsid w:val="33D97E69"/>
    <w:rsid w:val="33DC1707"/>
    <w:rsid w:val="33E81E5A"/>
    <w:rsid w:val="340B7BA1"/>
    <w:rsid w:val="34116AFB"/>
    <w:rsid w:val="34140EA1"/>
    <w:rsid w:val="342C69B6"/>
    <w:rsid w:val="3432516A"/>
    <w:rsid w:val="34401C96"/>
    <w:rsid w:val="34700719"/>
    <w:rsid w:val="347A3918"/>
    <w:rsid w:val="348F518F"/>
    <w:rsid w:val="34930017"/>
    <w:rsid w:val="34931DC5"/>
    <w:rsid w:val="349D2C44"/>
    <w:rsid w:val="34A00986"/>
    <w:rsid w:val="34AA710F"/>
    <w:rsid w:val="34C5219B"/>
    <w:rsid w:val="34C63DB0"/>
    <w:rsid w:val="34E6283D"/>
    <w:rsid w:val="34E950E4"/>
    <w:rsid w:val="34F30AB6"/>
    <w:rsid w:val="34FA5F72"/>
    <w:rsid w:val="35071AAC"/>
    <w:rsid w:val="351605A4"/>
    <w:rsid w:val="35170C48"/>
    <w:rsid w:val="352D423C"/>
    <w:rsid w:val="352D7E5E"/>
    <w:rsid w:val="353A66E5"/>
    <w:rsid w:val="35551771"/>
    <w:rsid w:val="355E512E"/>
    <w:rsid w:val="35696FCA"/>
    <w:rsid w:val="356B2D42"/>
    <w:rsid w:val="35780FBB"/>
    <w:rsid w:val="35935DF5"/>
    <w:rsid w:val="3599165E"/>
    <w:rsid w:val="35A16764"/>
    <w:rsid w:val="35B36E83"/>
    <w:rsid w:val="35C27393"/>
    <w:rsid w:val="35DC11FC"/>
    <w:rsid w:val="35E00EF6"/>
    <w:rsid w:val="35E87469"/>
    <w:rsid w:val="35FB4B84"/>
    <w:rsid w:val="36017203"/>
    <w:rsid w:val="36096E54"/>
    <w:rsid w:val="360C18B4"/>
    <w:rsid w:val="3628478F"/>
    <w:rsid w:val="364041CF"/>
    <w:rsid w:val="36442E42"/>
    <w:rsid w:val="365814D0"/>
    <w:rsid w:val="365C5EC9"/>
    <w:rsid w:val="366A124C"/>
    <w:rsid w:val="366F0F07"/>
    <w:rsid w:val="3679323D"/>
    <w:rsid w:val="367C6C23"/>
    <w:rsid w:val="367F6352"/>
    <w:rsid w:val="36820344"/>
    <w:rsid w:val="3684230E"/>
    <w:rsid w:val="369F2DCF"/>
    <w:rsid w:val="36BE50F4"/>
    <w:rsid w:val="36C43BB3"/>
    <w:rsid w:val="36C95F72"/>
    <w:rsid w:val="36D36DF1"/>
    <w:rsid w:val="36DB3646"/>
    <w:rsid w:val="36E62234"/>
    <w:rsid w:val="36E7289C"/>
    <w:rsid w:val="36F506BA"/>
    <w:rsid w:val="37133692"/>
    <w:rsid w:val="37203720"/>
    <w:rsid w:val="37286923"/>
    <w:rsid w:val="373036DF"/>
    <w:rsid w:val="37394EAA"/>
    <w:rsid w:val="374101FF"/>
    <w:rsid w:val="37425F4A"/>
    <w:rsid w:val="37471C07"/>
    <w:rsid w:val="37691503"/>
    <w:rsid w:val="376F3FFF"/>
    <w:rsid w:val="37704640"/>
    <w:rsid w:val="377428C0"/>
    <w:rsid w:val="379320DC"/>
    <w:rsid w:val="379444BF"/>
    <w:rsid w:val="37985945"/>
    <w:rsid w:val="37AB41E8"/>
    <w:rsid w:val="37B22EAA"/>
    <w:rsid w:val="37B2325E"/>
    <w:rsid w:val="37B426A3"/>
    <w:rsid w:val="37BF1123"/>
    <w:rsid w:val="37EF7C5B"/>
    <w:rsid w:val="37F1393F"/>
    <w:rsid w:val="37FE7E9E"/>
    <w:rsid w:val="38156F95"/>
    <w:rsid w:val="383B4C4E"/>
    <w:rsid w:val="38497574"/>
    <w:rsid w:val="384A30E3"/>
    <w:rsid w:val="38765C86"/>
    <w:rsid w:val="387D5266"/>
    <w:rsid w:val="388365F5"/>
    <w:rsid w:val="389425B0"/>
    <w:rsid w:val="3894435E"/>
    <w:rsid w:val="38C22C79"/>
    <w:rsid w:val="38C74D5D"/>
    <w:rsid w:val="38CA5FD2"/>
    <w:rsid w:val="3908401F"/>
    <w:rsid w:val="390F5ED2"/>
    <w:rsid w:val="39186B08"/>
    <w:rsid w:val="391A0D07"/>
    <w:rsid w:val="392231D6"/>
    <w:rsid w:val="39290F4A"/>
    <w:rsid w:val="39465A51"/>
    <w:rsid w:val="395C7DBE"/>
    <w:rsid w:val="396226AE"/>
    <w:rsid w:val="39693A3D"/>
    <w:rsid w:val="39720087"/>
    <w:rsid w:val="39893797"/>
    <w:rsid w:val="399275E0"/>
    <w:rsid w:val="39980C40"/>
    <w:rsid w:val="39A84565"/>
    <w:rsid w:val="39B865C1"/>
    <w:rsid w:val="39CC367A"/>
    <w:rsid w:val="39DD3AE3"/>
    <w:rsid w:val="39F350B4"/>
    <w:rsid w:val="3A0849DF"/>
    <w:rsid w:val="3A1F5309"/>
    <w:rsid w:val="3A2773C7"/>
    <w:rsid w:val="3A371445"/>
    <w:rsid w:val="3A47552D"/>
    <w:rsid w:val="3A573895"/>
    <w:rsid w:val="3A593123"/>
    <w:rsid w:val="3A5C4171"/>
    <w:rsid w:val="3A60397B"/>
    <w:rsid w:val="3A6E1005"/>
    <w:rsid w:val="3A742699"/>
    <w:rsid w:val="3A79380C"/>
    <w:rsid w:val="3A816B64"/>
    <w:rsid w:val="3A8E67D9"/>
    <w:rsid w:val="3A96298E"/>
    <w:rsid w:val="3A982231"/>
    <w:rsid w:val="3A993195"/>
    <w:rsid w:val="3AAD5BAB"/>
    <w:rsid w:val="3AB42A96"/>
    <w:rsid w:val="3B002557"/>
    <w:rsid w:val="3B0F5F1E"/>
    <w:rsid w:val="3B137AD2"/>
    <w:rsid w:val="3B223EA3"/>
    <w:rsid w:val="3B36794F"/>
    <w:rsid w:val="3B5F5296"/>
    <w:rsid w:val="3B6776B0"/>
    <w:rsid w:val="3B8B3E2A"/>
    <w:rsid w:val="3B8B7C9A"/>
    <w:rsid w:val="3BA96372"/>
    <w:rsid w:val="3BAA5C47"/>
    <w:rsid w:val="3BDB07BA"/>
    <w:rsid w:val="3BDE09CB"/>
    <w:rsid w:val="3BEB0739"/>
    <w:rsid w:val="3BEE1FD7"/>
    <w:rsid w:val="3C0525FD"/>
    <w:rsid w:val="3C211692"/>
    <w:rsid w:val="3C335C3C"/>
    <w:rsid w:val="3C544530"/>
    <w:rsid w:val="3C54656F"/>
    <w:rsid w:val="3C6B7ACC"/>
    <w:rsid w:val="3C8075C5"/>
    <w:rsid w:val="3C8C1F1C"/>
    <w:rsid w:val="3C940DD1"/>
    <w:rsid w:val="3CA57A27"/>
    <w:rsid w:val="3CB43221"/>
    <w:rsid w:val="3CBE5E4E"/>
    <w:rsid w:val="3CCB40C7"/>
    <w:rsid w:val="3CE82ECA"/>
    <w:rsid w:val="3D135C2A"/>
    <w:rsid w:val="3D38713C"/>
    <w:rsid w:val="3D3879AE"/>
    <w:rsid w:val="3D545E2B"/>
    <w:rsid w:val="3D580E3A"/>
    <w:rsid w:val="3D7D1865"/>
    <w:rsid w:val="3D862ABB"/>
    <w:rsid w:val="3D9F17DB"/>
    <w:rsid w:val="3DA0146B"/>
    <w:rsid w:val="3DAA3342"/>
    <w:rsid w:val="3DAF2CAC"/>
    <w:rsid w:val="3DB358B8"/>
    <w:rsid w:val="3DB64F42"/>
    <w:rsid w:val="3DD07BE6"/>
    <w:rsid w:val="3DE03BA2"/>
    <w:rsid w:val="3DE2791A"/>
    <w:rsid w:val="3E03739D"/>
    <w:rsid w:val="3E0C2BE9"/>
    <w:rsid w:val="3E300685"/>
    <w:rsid w:val="3E375EB7"/>
    <w:rsid w:val="3E393EEA"/>
    <w:rsid w:val="3E394E4C"/>
    <w:rsid w:val="3E3B469A"/>
    <w:rsid w:val="3E5720B6"/>
    <w:rsid w:val="3E5D5F81"/>
    <w:rsid w:val="3E5E1696"/>
    <w:rsid w:val="3E6622F9"/>
    <w:rsid w:val="3E71733E"/>
    <w:rsid w:val="3E7C7AA0"/>
    <w:rsid w:val="3E810EE1"/>
    <w:rsid w:val="3E950E30"/>
    <w:rsid w:val="3EAA09E3"/>
    <w:rsid w:val="3EB07A18"/>
    <w:rsid w:val="3EB66E5A"/>
    <w:rsid w:val="3EBF7C5B"/>
    <w:rsid w:val="3EC534C3"/>
    <w:rsid w:val="3EE70A6B"/>
    <w:rsid w:val="3EF142B8"/>
    <w:rsid w:val="3F125FDD"/>
    <w:rsid w:val="3F1D32FF"/>
    <w:rsid w:val="3F20234A"/>
    <w:rsid w:val="3F291116"/>
    <w:rsid w:val="3F5D36FC"/>
    <w:rsid w:val="3F6D76B7"/>
    <w:rsid w:val="3F6E7633"/>
    <w:rsid w:val="3F7D78FA"/>
    <w:rsid w:val="3F802D74"/>
    <w:rsid w:val="3F85530B"/>
    <w:rsid w:val="3F8C2233"/>
    <w:rsid w:val="3FAC0491"/>
    <w:rsid w:val="3FC0590E"/>
    <w:rsid w:val="3FC72483"/>
    <w:rsid w:val="3FC85556"/>
    <w:rsid w:val="3FD17C46"/>
    <w:rsid w:val="3FD339BE"/>
    <w:rsid w:val="3FE17825"/>
    <w:rsid w:val="400B59F2"/>
    <w:rsid w:val="40316936"/>
    <w:rsid w:val="40330901"/>
    <w:rsid w:val="40362BA5"/>
    <w:rsid w:val="40750F19"/>
    <w:rsid w:val="407B5A16"/>
    <w:rsid w:val="40907443"/>
    <w:rsid w:val="40907B01"/>
    <w:rsid w:val="409529A8"/>
    <w:rsid w:val="409F1AF2"/>
    <w:rsid w:val="40AA6804"/>
    <w:rsid w:val="40AB66E9"/>
    <w:rsid w:val="40B57568"/>
    <w:rsid w:val="40E67721"/>
    <w:rsid w:val="40EB4D37"/>
    <w:rsid w:val="40FC21E2"/>
    <w:rsid w:val="41083A34"/>
    <w:rsid w:val="410F5C97"/>
    <w:rsid w:val="41227CB9"/>
    <w:rsid w:val="412E258A"/>
    <w:rsid w:val="41401D0D"/>
    <w:rsid w:val="41586871"/>
    <w:rsid w:val="416662E3"/>
    <w:rsid w:val="416F5F43"/>
    <w:rsid w:val="417E41A9"/>
    <w:rsid w:val="418F1B67"/>
    <w:rsid w:val="41970A1B"/>
    <w:rsid w:val="41983493"/>
    <w:rsid w:val="419D0727"/>
    <w:rsid w:val="41AA2E44"/>
    <w:rsid w:val="41B17D2F"/>
    <w:rsid w:val="41B33AA7"/>
    <w:rsid w:val="41B4781F"/>
    <w:rsid w:val="41B74DE9"/>
    <w:rsid w:val="41BF3386"/>
    <w:rsid w:val="41DF2AEE"/>
    <w:rsid w:val="41F36599"/>
    <w:rsid w:val="42107EE6"/>
    <w:rsid w:val="422C3859"/>
    <w:rsid w:val="422E5823"/>
    <w:rsid w:val="423A41C8"/>
    <w:rsid w:val="425A4BD9"/>
    <w:rsid w:val="425E2DCE"/>
    <w:rsid w:val="426C3C56"/>
    <w:rsid w:val="42726817"/>
    <w:rsid w:val="427578C0"/>
    <w:rsid w:val="42841D43"/>
    <w:rsid w:val="429A4C67"/>
    <w:rsid w:val="429C0B48"/>
    <w:rsid w:val="429C2BEE"/>
    <w:rsid w:val="42A15FF5"/>
    <w:rsid w:val="42CB2E75"/>
    <w:rsid w:val="42CB4E20"/>
    <w:rsid w:val="42D47050"/>
    <w:rsid w:val="42D60954"/>
    <w:rsid w:val="42E12896"/>
    <w:rsid w:val="42E2203D"/>
    <w:rsid w:val="42F06635"/>
    <w:rsid w:val="4304332A"/>
    <w:rsid w:val="43273A09"/>
    <w:rsid w:val="433A51A8"/>
    <w:rsid w:val="434370AD"/>
    <w:rsid w:val="4348524F"/>
    <w:rsid w:val="434F5A51"/>
    <w:rsid w:val="43520356"/>
    <w:rsid w:val="435A1504"/>
    <w:rsid w:val="436B44D6"/>
    <w:rsid w:val="43754D8C"/>
    <w:rsid w:val="43754EBB"/>
    <w:rsid w:val="4379289C"/>
    <w:rsid w:val="439269CF"/>
    <w:rsid w:val="43994FCC"/>
    <w:rsid w:val="439B6851"/>
    <w:rsid w:val="43AE287B"/>
    <w:rsid w:val="43AF64F0"/>
    <w:rsid w:val="43C401ED"/>
    <w:rsid w:val="43CA157C"/>
    <w:rsid w:val="43E02B4D"/>
    <w:rsid w:val="43F42155"/>
    <w:rsid w:val="440305EA"/>
    <w:rsid w:val="44066A24"/>
    <w:rsid w:val="441339DB"/>
    <w:rsid w:val="442073EE"/>
    <w:rsid w:val="44211B26"/>
    <w:rsid w:val="4433472D"/>
    <w:rsid w:val="443469F5"/>
    <w:rsid w:val="443609BF"/>
    <w:rsid w:val="444035EC"/>
    <w:rsid w:val="44641089"/>
    <w:rsid w:val="44670B79"/>
    <w:rsid w:val="446C618F"/>
    <w:rsid w:val="44867251"/>
    <w:rsid w:val="449E781A"/>
    <w:rsid w:val="44BD72A5"/>
    <w:rsid w:val="44D93108"/>
    <w:rsid w:val="45062140"/>
    <w:rsid w:val="451707F1"/>
    <w:rsid w:val="451C601F"/>
    <w:rsid w:val="452C3067"/>
    <w:rsid w:val="453C0257"/>
    <w:rsid w:val="454D483C"/>
    <w:rsid w:val="454F7F8B"/>
    <w:rsid w:val="4557299B"/>
    <w:rsid w:val="455E1F7C"/>
    <w:rsid w:val="456D6663"/>
    <w:rsid w:val="45765517"/>
    <w:rsid w:val="459E4A6E"/>
    <w:rsid w:val="45AB2CE7"/>
    <w:rsid w:val="45BD687B"/>
    <w:rsid w:val="45C76993"/>
    <w:rsid w:val="45D109A0"/>
    <w:rsid w:val="45DE7C2C"/>
    <w:rsid w:val="45E17E9C"/>
    <w:rsid w:val="45E8030E"/>
    <w:rsid w:val="45FD79E7"/>
    <w:rsid w:val="46050649"/>
    <w:rsid w:val="46125617"/>
    <w:rsid w:val="461940F5"/>
    <w:rsid w:val="46236D21"/>
    <w:rsid w:val="46256F3D"/>
    <w:rsid w:val="4629258A"/>
    <w:rsid w:val="46366A55"/>
    <w:rsid w:val="463C60DB"/>
    <w:rsid w:val="463E3B5B"/>
    <w:rsid w:val="4652747C"/>
    <w:rsid w:val="46673578"/>
    <w:rsid w:val="468C0D6B"/>
    <w:rsid w:val="46A40828"/>
    <w:rsid w:val="46B36852"/>
    <w:rsid w:val="46C202E8"/>
    <w:rsid w:val="46C6602A"/>
    <w:rsid w:val="46E12E64"/>
    <w:rsid w:val="470A2EDA"/>
    <w:rsid w:val="470D1EAB"/>
    <w:rsid w:val="471A6376"/>
    <w:rsid w:val="471D19C3"/>
    <w:rsid w:val="47395DE1"/>
    <w:rsid w:val="475A5F5D"/>
    <w:rsid w:val="476B0980"/>
    <w:rsid w:val="47834FF6"/>
    <w:rsid w:val="47846176"/>
    <w:rsid w:val="479003E6"/>
    <w:rsid w:val="47927B6A"/>
    <w:rsid w:val="47990A9D"/>
    <w:rsid w:val="479C3360"/>
    <w:rsid w:val="47AE3E5F"/>
    <w:rsid w:val="47C167C9"/>
    <w:rsid w:val="47C44006"/>
    <w:rsid w:val="47FD193E"/>
    <w:rsid w:val="4803415E"/>
    <w:rsid w:val="48034368"/>
    <w:rsid w:val="480A0199"/>
    <w:rsid w:val="482A083B"/>
    <w:rsid w:val="482A25E9"/>
    <w:rsid w:val="483B47F6"/>
    <w:rsid w:val="483D40CA"/>
    <w:rsid w:val="48492975"/>
    <w:rsid w:val="4855584B"/>
    <w:rsid w:val="4893018E"/>
    <w:rsid w:val="489B7854"/>
    <w:rsid w:val="489C0954"/>
    <w:rsid w:val="489C38B5"/>
    <w:rsid w:val="48B90820"/>
    <w:rsid w:val="48BA4B58"/>
    <w:rsid w:val="48CE7418"/>
    <w:rsid w:val="48D507A7"/>
    <w:rsid w:val="48DD753A"/>
    <w:rsid w:val="48EE5728"/>
    <w:rsid w:val="48F57A83"/>
    <w:rsid w:val="48F814B6"/>
    <w:rsid w:val="48FA3D14"/>
    <w:rsid w:val="48FF75D2"/>
    <w:rsid w:val="49056AB4"/>
    <w:rsid w:val="4933371F"/>
    <w:rsid w:val="4951092B"/>
    <w:rsid w:val="495B2173"/>
    <w:rsid w:val="496D695E"/>
    <w:rsid w:val="49750769"/>
    <w:rsid w:val="4989333F"/>
    <w:rsid w:val="49B16B5C"/>
    <w:rsid w:val="49B359A2"/>
    <w:rsid w:val="49B72B37"/>
    <w:rsid w:val="49BA174B"/>
    <w:rsid w:val="49BF133E"/>
    <w:rsid w:val="49E07403"/>
    <w:rsid w:val="49E34292"/>
    <w:rsid w:val="4A040609"/>
    <w:rsid w:val="4A080708"/>
    <w:rsid w:val="4A111CB3"/>
    <w:rsid w:val="4A3B288C"/>
    <w:rsid w:val="4A556518"/>
    <w:rsid w:val="4A5751EC"/>
    <w:rsid w:val="4A6A13C3"/>
    <w:rsid w:val="4A7F112E"/>
    <w:rsid w:val="4A88388F"/>
    <w:rsid w:val="4AA3718A"/>
    <w:rsid w:val="4AB27D33"/>
    <w:rsid w:val="4AC24D5B"/>
    <w:rsid w:val="4AD625B4"/>
    <w:rsid w:val="4AE01685"/>
    <w:rsid w:val="4AE04D36"/>
    <w:rsid w:val="4AE66C9B"/>
    <w:rsid w:val="4AE72A13"/>
    <w:rsid w:val="4AF40C8C"/>
    <w:rsid w:val="4B136D8F"/>
    <w:rsid w:val="4B2A1344"/>
    <w:rsid w:val="4B3E41DB"/>
    <w:rsid w:val="4B44381C"/>
    <w:rsid w:val="4B524F04"/>
    <w:rsid w:val="4B6776B0"/>
    <w:rsid w:val="4B693428"/>
    <w:rsid w:val="4B7C13AE"/>
    <w:rsid w:val="4B8B339F"/>
    <w:rsid w:val="4B920BD1"/>
    <w:rsid w:val="4B93248E"/>
    <w:rsid w:val="4BA55688"/>
    <w:rsid w:val="4BAA42D5"/>
    <w:rsid w:val="4BB26B7D"/>
    <w:rsid w:val="4BC278B8"/>
    <w:rsid w:val="4BD86766"/>
    <w:rsid w:val="4BF947AC"/>
    <w:rsid w:val="4BFA0524"/>
    <w:rsid w:val="4C103A3E"/>
    <w:rsid w:val="4C5C4D3B"/>
    <w:rsid w:val="4C5E0AB3"/>
    <w:rsid w:val="4C6C31D0"/>
    <w:rsid w:val="4C7F7F6C"/>
    <w:rsid w:val="4C91428E"/>
    <w:rsid w:val="4C9F2DAA"/>
    <w:rsid w:val="4CA90C31"/>
    <w:rsid w:val="4CAA3CF8"/>
    <w:rsid w:val="4CB53507"/>
    <w:rsid w:val="4CBB4158"/>
    <w:rsid w:val="4CBD2B96"/>
    <w:rsid w:val="4D0478AD"/>
    <w:rsid w:val="4D137AF0"/>
    <w:rsid w:val="4D2770F7"/>
    <w:rsid w:val="4D2D4072"/>
    <w:rsid w:val="4D50664E"/>
    <w:rsid w:val="4D5516D8"/>
    <w:rsid w:val="4D5559B1"/>
    <w:rsid w:val="4D631B43"/>
    <w:rsid w:val="4D7F029E"/>
    <w:rsid w:val="4D907392"/>
    <w:rsid w:val="4DBA440F"/>
    <w:rsid w:val="4DD21759"/>
    <w:rsid w:val="4DDE1EAC"/>
    <w:rsid w:val="4DE631AB"/>
    <w:rsid w:val="4DED6593"/>
    <w:rsid w:val="4DF349CB"/>
    <w:rsid w:val="4DF51FD6"/>
    <w:rsid w:val="4DF74D1B"/>
    <w:rsid w:val="4E0D66B4"/>
    <w:rsid w:val="4E2248B3"/>
    <w:rsid w:val="4E407554"/>
    <w:rsid w:val="4E570934"/>
    <w:rsid w:val="4E6A1991"/>
    <w:rsid w:val="4E9C3B15"/>
    <w:rsid w:val="4EC310A1"/>
    <w:rsid w:val="4EC70B92"/>
    <w:rsid w:val="4ED6738A"/>
    <w:rsid w:val="4EEA0EAC"/>
    <w:rsid w:val="4EEA4880"/>
    <w:rsid w:val="4EF120B3"/>
    <w:rsid w:val="4F05790C"/>
    <w:rsid w:val="4F132029"/>
    <w:rsid w:val="4F2E5082"/>
    <w:rsid w:val="4F7056D7"/>
    <w:rsid w:val="4F7A6231"/>
    <w:rsid w:val="4F80758F"/>
    <w:rsid w:val="4F8C3B89"/>
    <w:rsid w:val="4F8E345D"/>
    <w:rsid w:val="4F8E5B53"/>
    <w:rsid w:val="4F9E123E"/>
    <w:rsid w:val="4FB40766"/>
    <w:rsid w:val="4FB664B3"/>
    <w:rsid w:val="4FB812D0"/>
    <w:rsid w:val="4FB96E6B"/>
    <w:rsid w:val="4FD26B37"/>
    <w:rsid w:val="4FD73056"/>
    <w:rsid w:val="4FDC68BF"/>
    <w:rsid w:val="4FE17A31"/>
    <w:rsid w:val="4FED59C3"/>
    <w:rsid w:val="500873E1"/>
    <w:rsid w:val="500922C0"/>
    <w:rsid w:val="50152991"/>
    <w:rsid w:val="502D46E8"/>
    <w:rsid w:val="50354221"/>
    <w:rsid w:val="50371D47"/>
    <w:rsid w:val="504110D5"/>
    <w:rsid w:val="504D3DDB"/>
    <w:rsid w:val="50506965"/>
    <w:rsid w:val="505A5A36"/>
    <w:rsid w:val="505F7FEF"/>
    <w:rsid w:val="506D6522"/>
    <w:rsid w:val="508B0096"/>
    <w:rsid w:val="50931080"/>
    <w:rsid w:val="509947B0"/>
    <w:rsid w:val="509B4084"/>
    <w:rsid w:val="50A50C26"/>
    <w:rsid w:val="50B67AAD"/>
    <w:rsid w:val="50BD049E"/>
    <w:rsid w:val="50CB02F1"/>
    <w:rsid w:val="50D15CF8"/>
    <w:rsid w:val="50D2381E"/>
    <w:rsid w:val="50D37CC2"/>
    <w:rsid w:val="50EA57CF"/>
    <w:rsid w:val="50F8703D"/>
    <w:rsid w:val="5101379B"/>
    <w:rsid w:val="51140A87"/>
    <w:rsid w:val="51165E00"/>
    <w:rsid w:val="511A58F1"/>
    <w:rsid w:val="511D4DBE"/>
    <w:rsid w:val="512E3931"/>
    <w:rsid w:val="513364FA"/>
    <w:rsid w:val="51360251"/>
    <w:rsid w:val="513639C0"/>
    <w:rsid w:val="514A7858"/>
    <w:rsid w:val="515406D7"/>
    <w:rsid w:val="516E0650"/>
    <w:rsid w:val="517534C2"/>
    <w:rsid w:val="518B7CD5"/>
    <w:rsid w:val="5196392F"/>
    <w:rsid w:val="519B6306"/>
    <w:rsid w:val="51AE6039"/>
    <w:rsid w:val="51B12811"/>
    <w:rsid w:val="51C71EA5"/>
    <w:rsid w:val="51D35A9F"/>
    <w:rsid w:val="51E03890"/>
    <w:rsid w:val="51E649E3"/>
    <w:rsid w:val="51E732F9"/>
    <w:rsid w:val="51F06651"/>
    <w:rsid w:val="51F111D1"/>
    <w:rsid w:val="51F83758"/>
    <w:rsid w:val="520914C1"/>
    <w:rsid w:val="520D1996"/>
    <w:rsid w:val="5221680B"/>
    <w:rsid w:val="524D24B3"/>
    <w:rsid w:val="52500E9E"/>
    <w:rsid w:val="525E7A5F"/>
    <w:rsid w:val="52754DA9"/>
    <w:rsid w:val="529214B7"/>
    <w:rsid w:val="52946FDD"/>
    <w:rsid w:val="52A62F83"/>
    <w:rsid w:val="52B21B59"/>
    <w:rsid w:val="52D27B05"/>
    <w:rsid w:val="52D675F5"/>
    <w:rsid w:val="52EE3779"/>
    <w:rsid w:val="52FB705C"/>
    <w:rsid w:val="530879CB"/>
    <w:rsid w:val="530F10FA"/>
    <w:rsid w:val="53283BC9"/>
    <w:rsid w:val="532B52B2"/>
    <w:rsid w:val="532C190B"/>
    <w:rsid w:val="53320522"/>
    <w:rsid w:val="533B0ED7"/>
    <w:rsid w:val="5357720E"/>
    <w:rsid w:val="535844AE"/>
    <w:rsid w:val="535911E0"/>
    <w:rsid w:val="536244C6"/>
    <w:rsid w:val="5364772A"/>
    <w:rsid w:val="5371731E"/>
    <w:rsid w:val="53767046"/>
    <w:rsid w:val="5379613C"/>
    <w:rsid w:val="53800BB6"/>
    <w:rsid w:val="538A6632"/>
    <w:rsid w:val="5393341E"/>
    <w:rsid w:val="53A72D40"/>
    <w:rsid w:val="53BC2C8F"/>
    <w:rsid w:val="53D83DBB"/>
    <w:rsid w:val="53EC4BF7"/>
    <w:rsid w:val="53EF08A4"/>
    <w:rsid w:val="53F266B1"/>
    <w:rsid w:val="53F87A3F"/>
    <w:rsid w:val="53FC7E08"/>
    <w:rsid w:val="54085FBC"/>
    <w:rsid w:val="540D253F"/>
    <w:rsid w:val="54201BDE"/>
    <w:rsid w:val="54444A33"/>
    <w:rsid w:val="544875BA"/>
    <w:rsid w:val="544C525F"/>
    <w:rsid w:val="544F79CF"/>
    <w:rsid w:val="54617393"/>
    <w:rsid w:val="546D3BC7"/>
    <w:rsid w:val="547C1FAF"/>
    <w:rsid w:val="54834A3E"/>
    <w:rsid w:val="54866DF9"/>
    <w:rsid w:val="54AF6350"/>
    <w:rsid w:val="54B0031A"/>
    <w:rsid w:val="54C87412"/>
    <w:rsid w:val="54CA0FCF"/>
    <w:rsid w:val="54E16725"/>
    <w:rsid w:val="54EA382C"/>
    <w:rsid w:val="54EC7161"/>
    <w:rsid w:val="54F55730"/>
    <w:rsid w:val="55055F70"/>
    <w:rsid w:val="55172147"/>
    <w:rsid w:val="55286102"/>
    <w:rsid w:val="553D5ACE"/>
    <w:rsid w:val="55487541"/>
    <w:rsid w:val="555250C2"/>
    <w:rsid w:val="555A4E33"/>
    <w:rsid w:val="55652EB2"/>
    <w:rsid w:val="55681B97"/>
    <w:rsid w:val="5586656B"/>
    <w:rsid w:val="55987F2A"/>
    <w:rsid w:val="559E0172"/>
    <w:rsid w:val="55A559A5"/>
    <w:rsid w:val="55B160F8"/>
    <w:rsid w:val="55B97B1D"/>
    <w:rsid w:val="55C167C1"/>
    <w:rsid w:val="55D51410"/>
    <w:rsid w:val="55DB7D2E"/>
    <w:rsid w:val="55E62245"/>
    <w:rsid w:val="55F85AD5"/>
    <w:rsid w:val="561009F5"/>
    <w:rsid w:val="56682C5A"/>
    <w:rsid w:val="56707BDA"/>
    <w:rsid w:val="56764C4B"/>
    <w:rsid w:val="56AB6FEB"/>
    <w:rsid w:val="56B75990"/>
    <w:rsid w:val="56CE500E"/>
    <w:rsid w:val="56D77DE0"/>
    <w:rsid w:val="56DB5FFC"/>
    <w:rsid w:val="56F62076"/>
    <w:rsid w:val="56FF36D3"/>
    <w:rsid w:val="570566FB"/>
    <w:rsid w:val="571653D5"/>
    <w:rsid w:val="572061D0"/>
    <w:rsid w:val="57220CFA"/>
    <w:rsid w:val="57325016"/>
    <w:rsid w:val="57392849"/>
    <w:rsid w:val="573E7711"/>
    <w:rsid w:val="57482A8C"/>
    <w:rsid w:val="5748483A"/>
    <w:rsid w:val="57626175"/>
    <w:rsid w:val="576F626A"/>
    <w:rsid w:val="579E08FE"/>
    <w:rsid w:val="57A52C26"/>
    <w:rsid w:val="57A93CD5"/>
    <w:rsid w:val="57AF009B"/>
    <w:rsid w:val="57D63ECC"/>
    <w:rsid w:val="57E279C8"/>
    <w:rsid w:val="57E502DB"/>
    <w:rsid w:val="57E6725A"/>
    <w:rsid w:val="57F66044"/>
    <w:rsid w:val="57FB18AC"/>
    <w:rsid w:val="58073244"/>
    <w:rsid w:val="5809221B"/>
    <w:rsid w:val="581D02DA"/>
    <w:rsid w:val="583628E4"/>
    <w:rsid w:val="584117FD"/>
    <w:rsid w:val="5866141B"/>
    <w:rsid w:val="58871A4B"/>
    <w:rsid w:val="58984C97"/>
    <w:rsid w:val="58BA3515"/>
    <w:rsid w:val="58BC728D"/>
    <w:rsid w:val="58D073A1"/>
    <w:rsid w:val="58DA27A4"/>
    <w:rsid w:val="58E40592"/>
    <w:rsid w:val="58F74774"/>
    <w:rsid w:val="59070E01"/>
    <w:rsid w:val="591F781C"/>
    <w:rsid w:val="592117E6"/>
    <w:rsid w:val="594D2DC3"/>
    <w:rsid w:val="59534F71"/>
    <w:rsid w:val="5955301D"/>
    <w:rsid w:val="597E09E7"/>
    <w:rsid w:val="597E2608"/>
    <w:rsid w:val="5980650D"/>
    <w:rsid w:val="59853B23"/>
    <w:rsid w:val="598558D1"/>
    <w:rsid w:val="5988764A"/>
    <w:rsid w:val="59B368E2"/>
    <w:rsid w:val="59B47F65"/>
    <w:rsid w:val="59C8717E"/>
    <w:rsid w:val="59CB350B"/>
    <w:rsid w:val="59E6467C"/>
    <w:rsid w:val="59EA7E2A"/>
    <w:rsid w:val="59F36487"/>
    <w:rsid w:val="59F6058C"/>
    <w:rsid w:val="5A040EEC"/>
    <w:rsid w:val="5A0B725C"/>
    <w:rsid w:val="5A1D74F1"/>
    <w:rsid w:val="5A243C8E"/>
    <w:rsid w:val="5A416278"/>
    <w:rsid w:val="5A434A7B"/>
    <w:rsid w:val="5A510D50"/>
    <w:rsid w:val="5A5E5B6E"/>
    <w:rsid w:val="5A6B2D19"/>
    <w:rsid w:val="5A785436"/>
    <w:rsid w:val="5A843C0E"/>
    <w:rsid w:val="5A8527E4"/>
    <w:rsid w:val="5A952E70"/>
    <w:rsid w:val="5AA004E9"/>
    <w:rsid w:val="5AA63D51"/>
    <w:rsid w:val="5AC35F42"/>
    <w:rsid w:val="5AC37341"/>
    <w:rsid w:val="5AC73CC7"/>
    <w:rsid w:val="5ACF62ED"/>
    <w:rsid w:val="5AD129B0"/>
    <w:rsid w:val="5AD77522"/>
    <w:rsid w:val="5ADD1EAF"/>
    <w:rsid w:val="5AE20B01"/>
    <w:rsid w:val="5AEB5C08"/>
    <w:rsid w:val="5AED0BA0"/>
    <w:rsid w:val="5AF2343A"/>
    <w:rsid w:val="5B0962A1"/>
    <w:rsid w:val="5B101E46"/>
    <w:rsid w:val="5B1F1D55"/>
    <w:rsid w:val="5B3A6B8F"/>
    <w:rsid w:val="5B3C119D"/>
    <w:rsid w:val="5B4733B8"/>
    <w:rsid w:val="5B513214"/>
    <w:rsid w:val="5B61411C"/>
    <w:rsid w:val="5B6339F0"/>
    <w:rsid w:val="5B637E94"/>
    <w:rsid w:val="5B7D72CD"/>
    <w:rsid w:val="5B7E4CCE"/>
    <w:rsid w:val="5B845FFE"/>
    <w:rsid w:val="5B910ABF"/>
    <w:rsid w:val="5B960EAF"/>
    <w:rsid w:val="5B9C5154"/>
    <w:rsid w:val="5BA850E3"/>
    <w:rsid w:val="5BAD110F"/>
    <w:rsid w:val="5BB16E51"/>
    <w:rsid w:val="5BC97DAE"/>
    <w:rsid w:val="5BEC7E8A"/>
    <w:rsid w:val="5C334DCA"/>
    <w:rsid w:val="5C401D3B"/>
    <w:rsid w:val="5C4111B4"/>
    <w:rsid w:val="5C4430C2"/>
    <w:rsid w:val="5C4E46A0"/>
    <w:rsid w:val="5C5D0D87"/>
    <w:rsid w:val="5C663EB3"/>
    <w:rsid w:val="5C741C2D"/>
    <w:rsid w:val="5C752C82"/>
    <w:rsid w:val="5C7566EB"/>
    <w:rsid w:val="5C904CB9"/>
    <w:rsid w:val="5CA42730"/>
    <w:rsid w:val="5CA85E0F"/>
    <w:rsid w:val="5CAC27E4"/>
    <w:rsid w:val="5CC4264C"/>
    <w:rsid w:val="5CC52489"/>
    <w:rsid w:val="5CC6692D"/>
    <w:rsid w:val="5CCE7744"/>
    <w:rsid w:val="5CD70159"/>
    <w:rsid w:val="5CE35E3B"/>
    <w:rsid w:val="5CE73E6E"/>
    <w:rsid w:val="5CFC40FC"/>
    <w:rsid w:val="5D0A4D9F"/>
    <w:rsid w:val="5D101956"/>
    <w:rsid w:val="5D123920"/>
    <w:rsid w:val="5D15161C"/>
    <w:rsid w:val="5D172A6B"/>
    <w:rsid w:val="5D245248"/>
    <w:rsid w:val="5D29112B"/>
    <w:rsid w:val="5D451ABF"/>
    <w:rsid w:val="5D504448"/>
    <w:rsid w:val="5D753EAF"/>
    <w:rsid w:val="5D775E79"/>
    <w:rsid w:val="5D867E6A"/>
    <w:rsid w:val="5D872696"/>
    <w:rsid w:val="5DB26EB1"/>
    <w:rsid w:val="5DBE7604"/>
    <w:rsid w:val="5DC02F4A"/>
    <w:rsid w:val="5DC34C1A"/>
    <w:rsid w:val="5DC50EA6"/>
    <w:rsid w:val="5DCC7F73"/>
    <w:rsid w:val="5DCF35BF"/>
    <w:rsid w:val="5DD40BD5"/>
    <w:rsid w:val="5DD62B9F"/>
    <w:rsid w:val="5DDF39D9"/>
    <w:rsid w:val="5DE8778B"/>
    <w:rsid w:val="5E116222"/>
    <w:rsid w:val="5E2C27BF"/>
    <w:rsid w:val="5E3653EC"/>
    <w:rsid w:val="5E40046D"/>
    <w:rsid w:val="5E433F8F"/>
    <w:rsid w:val="5E557D94"/>
    <w:rsid w:val="5E597785"/>
    <w:rsid w:val="5E6847CD"/>
    <w:rsid w:val="5E6F2AD0"/>
    <w:rsid w:val="5E716403"/>
    <w:rsid w:val="5E7A5C21"/>
    <w:rsid w:val="5EB6652D"/>
    <w:rsid w:val="5EC529C2"/>
    <w:rsid w:val="5EC72291"/>
    <w:rsid w:val="5ECA1FD8"/>
    <w:rsid w:val="5ECB647C"/>
    <w:rsid w:val="5ED13367"/>
    <w:rsid w:val="5F01554E"/>
    <w:rsid w:val="5F0B0627"/>
    <w:rsid w:val="5F1167D5"/>
    <w:rsid w:val="5F16521D"/>
    <w:rsid w:val="5F1A4D0E"/>
    <w:rsid w:val="5F3A0F0C"/>
    <w:rsid w:val="5F6D206B"/>
    <w:rsid w:val="5F6E5059"/>
    <w:rsid w:val="5F8F74AA"/>
    <w:rsid w:val="5F970536"/>
    <w:rsid w:val="5FAD16DE"/>
    <w:rsid w:val="5FB23198"/>
    <w:rsid w:val="5FBF0998"/>
    <w:rsid w:val="5FC03B07"/>
    <w:rsid w:val="5FC5111D"/>
    <w:rsid w:val="5FCC4E17"/>
    <w:rsid w:val="5FD82D56"/>
    <w:rsid w:val="5FD96977"/>
    <w:rsid w:val="5FE315A4"/>
    <w:rsid w:val="5FF23595"/>
    <w:rsid w:val="5FF437B1"/>
    <w:rsid w:val="5FF612D7"/>
    <w:rsid w:val="5FFB13B4"/>
    <w:rsid w:val="5FFC08B7"/>
    <w:rsid w:val="601410A2"/>
    <w:rsid w:val="6018192C"/>
    <w:rsid w:val="60235E44"/>
    <w:rsid w:val="60237BF2"/>
    <w:rsid w:val="602A0F80"/>
    <w:rsid w:val="60352037"/>
    <w:rsid w:val="6037544B"/>
    <w:rsid w:val="603911C4"/>
    <w:rsid w:val="60471B32"/>
    <w:rsid w:val="6051650D"/>
    <w:rsid w:val="60634492"/>
    <w:rsid w:val="60696CA2"/>
    <w:rsid w:val="6079317B"/>
    <w:rsid w:val="608C39E9"/>
    <w:rsid w:val="609B470C"/>
    <w:rsid w:val="60A056E7"/>
    <w:rsid w:val="60A07495"/>
    <w:rsid w:val="60A54AAB"/>
    <w:rsid w:val="60B05CE6"/>
    <w:rsid w:val="60D84E80"/>
    <w:rsid w:val="60DF620F"/>
    <w:rsid w:val="60E546D1"/>
    <w:rsid w:val="60F35816"/>
    <w:rsid w:val="60F82E2D"/>
    <w:rsid w:val="60FC42AE"/>
    <w:rsid w:val="61073070"/>
    <w:rsid w:val="610C1BD4"/>
    <w:rsid w:val="61184644"/>
    <w:rsid w:val="61193392"/>
    <w:rsid w:val="61387933"/>
    <w:rsid w:val="614D33DD"/>
    <w:rsid w:val="618C7E4E"/>
    <w:rsid w:val="61937245"/>
    <w:rsid w:val="61C471B3"/>
    <w:rsid w:val="61D218D0"/>
    <w:rsid w:val="61DF27EB"/>
    <w:rsid w:val="61EA6C19"/>
    <w:rsid w:val="61F21F72"/>
    <w:rsid w:val="61F937AE"/>
    <w:rsid w:val="62002A59"/>
    <w:rsid w:val="6211064A"/>
    <w:rsid w:val="623951B5"/>
    <w:rsid w:val="623A1405"/>
    <w:rsid w:val="627C12E5"/>
    <w:rsid w:val="627E1B58"/>
    <w:rsid w:val="62943513"/>
    <w:rsid w:val="629B6165"/>
    <w:rsid w:val="62A50D92"/>
    <w:rsid w:val="62AC0120"/>
    <w:rsid w:val="62AF7E63"/>
    <w:rsid w:val="62B66AFB"/>
    <w:rsid w:val="62C70D09"/>
    <w:rsid w:val="62EA0E9B"/>
    <w:rsid w:val="62EC4C13"/>
    <w:rsid w:val="62F21FD5"/>
    <w:rsid w:val="62FA58C5"/>
    <w:rsid w:val="62FF66F4"/>
    <w:rsid w:val="630A3FE9"/>
    <w:rsid w:val="63181564"/>
    <w:rsid w:val="63281BB9"/>
    <w:rsid w:val="632878B5"/>
    <w:rsid w:val="632A4405"/>
    <w:rsid w:val="63464323"/>
    <w:rsid w:val="6369376B"/>
    <w:rsid w:val="63770981"/>
    <w:rsid w:val="63AE3C76"/>
    <w:rsid w:val="63E861DD"/>
    <w:rsid w:val="63EE1DD7"/>
    <w:rsid w:val="63F7271C"/>
    <w:rsid w:val="64065861"/>
    <w:rsid w:val="64370110"/>
    <w:rsid w:val="643A3DC4"/>
    <w:rsid w:val="64482A88"/>
    <w:rsid w:val="644864D8"/>
    <w:rsid w:val="64496AFC"/>
    <w:rsid w:val="64745287"/>
    <w:rsid w:val="648C4A9C"/>
    <w:rsid w:val="64915A72"/>
    <w:rsid w:val="64990483"/>
    <w:rsid w:val="64B51E00"/>
    <w:rsid w:val="64B67287"/>
    <w:rsid w:val="64C3025B"/>
    <w:rsid w:val="64C91E72"/>
    <w:rsid w:val="64CF20F6"/>
    <w:rsid w:val="64D911C7"/>
    <w:rsid w:val="64DA05F6"/>
    <w:rsid w:val="64EC4A56"/>
    <w:rsid w:val="650224CC"/>
    <w:rsid w:val="65146F62"/>
    <w:rsid w:val="651A4BF2"/>
    <w:rsid w:val="652E20B2"/>
    <w:rsid w:val="65393A14"/>
    <w:rsid w:val="657038D9"/>
    <w:rsid w:val="65796F01"/>
    <w:rsid w:val="658C7FE7"/>
    <w:rsid w:val="659F1910"/>
    <w:rsid w:val="65A45331"/>
    <w:rsid w:val="65A76BCF"/>
    <w:rsid w:val="65C22F56"/>
    <w:rsid w:val="65DA5F53"/>
    <w:rsid w:val="65E240AB"/>
    <w:rsid w:val="65E85149"/>
    <w:rsid w:val="65E9543A"/>
    <w:rsid w:val="65EA511C"/>
    <w:rsid w:val="65F22540"/>
    <w:rsid w:val="660304E6"/>
    <w:rsid w:val="66154481"/>
    <w:rsid w:val="66216982"/>
    <w:rsid w:val="662E109F"/>
    <w:rsid w:val="6650370B"/>
    <w:rsid w:val="6663343E"/>
    <w:rsid w:val="667B5EAC"/>
    <w:rsid w:val="667F18FA"/>
    <w:rsid w:val="66860EDB"/>
    <w:rsid w:val="66A870A3"/>
    <w:rsid w:val="66AF7643"/>
    <w:rsid w:val="66B22CA4"/>
    <w:rsid w:val="66C41A0F"/>
    <w:rsid w:val="66E20E29"/>
    <w:rsid w:val="66E863E9"/>
    <w:rsid w:val="66EC3C4F"/>
    <w:rsid w:val="66F823AF"/>
    <w:rsid w:val="670F7122"/>
    <w:rsid w:val="6727446C"/>
    <w:rsid w:val="67317158"/>
    <w:rsid w:val="67533AB2"/>
    <w:rsid w:val="67662B18"/>
    <w:rsid w:val="676E5BF7"/>
    <w:rsid w:val="67704BE8"/>
    <w:rsid w:val="677D408C"/>
    <w:rsid w:val="678F2B96"/>
    <w:rsid w:val="67952784"/>
    <w:rsid w:val="67A4786A"/>
    <w:rsid w:val="67B556A9"/>
    <w:rsid w:val="67CD660C"/>
    <w:rsid w:val="67E9225D"/>
    <w:rsid w:val="67F25FDA"/>
    <w:rsid w:val="67FA6B01"/>
    <w:rsid w:val="68036BBF"/>
    <w:rsid w:val="680E2F36"/>
    <w:rsid w:val="68120C78"/>
    <w:rsid w:val="68142C42"/>
    <w:rsid w:val="68297AC1"/>
    <w:rsid w:val="682E590A"/>
    <w:rsid w:val="683A01CF"/>
    <w:rsid w:val="685F19E3"/>
    <w:rsid w:val="68632496"/>
    <w:rsid w:val="686D5EAE"/>
    <w:rsid w:val="68770075"/>
    <w:rsid w:val="688D7AD5"/>
    <w:rsid w:val="688E58B4"/>
    <w:rsid w:val="68C774E1"/>
    <w:rsid w:val="68DB5085"/>
    <w:rsid w:val="68F6059A"/>
    <w:rsid w:val="690E57AB"/>
    <w:rsid w:val="691D5B26"/>
    <w:rsid w:val="69270753"/>
    <w:rsid w:val="692A3D9F"/>
    <w:rsid w:val="694311D5"/>
    <w:rsid w:val="694D7B54"/>
    <w:rsid w:val="69557B50"/>
    <w:rsid w:val="696077C1"/>
    <w:rsid w:val="69630E60"/>
    <w:rsid w:val="69783018"/>
    <w:rsid w:val="69877444"/>
    <w:rsid w:val="698C05B6"/>
    <w:rsid w:val="69BE3E7E"/>
    <w:rsid w:val="69C1362E"/>
    <w:rsid w:val="69CC30A8"/>
    <w:rsid w:val="69D361E5"/>
    <w:rsid w:val="69E06B54"/>
    <w:rsid w:val="69EA6755"/>
    <w:rsid w:val="69F2207F"/>
    <w:rsid w:val="6A0549A6"/>
    <w:rsid w:val="6A072332"/>
    <w:rsid w:val="6A1A02B8"/>
    <w:rsid w:val="6A1A2066"/>
    <w:rsid w:val="6A2716B6"/>
    <w:rsid w:val="6A31115D"/>
    <w:rsid w:val="6A385156"/>
    <w:rsid w:val="6A415844"/>
    <w:rsid w:val="6A4F49E6"/>
    <w:rsid w:val="6A58493C"/>
    <w:rsid w:val="6A627569"/>
    <w:rsid w:val="6A745C1A"/>
    <w:rsid w:val="6A773014"/>
    <w:rsid w:val="6A775908"/>
    <w:rsid w:val="6A7C5719"/>
    <w:rsid w:val="6A890F99"/>
    <w:rsid w:val="6A90057A"/>
    <w:rsid w:val="6A967AF0"/>
    <w:rsid w:val="6A975464"/>
    <w:rsid w:val="6AA04B14"/>
    <w:rsid w:val="6AA95198"/>
    <w:rsid w:val="6AB72CEF"/>
    <w:rsid w:val="6AC10733"/>
    <w:rsid w:val="6AE12B83"/>
    <w:rsid w:val="6AFD029C"/>
    <w:rsid w:val="6B144D07"/>
    <w:rsid w:val="6B23319C"/>
    <w:rsid w:val="6B2667E8"/>
    <w:rsid w:val="6B451364"/>
    <w:rsid w:val="6B4F21E3"/>
    <w:rsid w:val="6B503690"/>
    <w:rsid w:val="6B6712DB"/>
    <w:rsid w:val="6B712CDD"/>
    <w:rsid w:val="6B767770"/>
    <w:rsid w:val="6B822A3C"/>
    <w:rsid w:val="6B903B63"/>
    <w:rsid w:val="6B9E2823"/>
    <w:rsid w:val="6BAE16EB"/>
    <w:rsid w:val="6BB42046"/>
    <w:rsid w:val="6BBB0A9C"/>
    <w:rsid w:val="6BBB34D5"/>
    <w:rsid w:val="6BCA2F5B"/>
    <w:rsid w:val="6BE428F7"/>
    <w:rsid w:val="6BE841A7"/>
    <w:rsid w:val="6C117498"/>
    <w:rsid w:val="6C276CBC"/>
    <w:rsid w:val="6C4050F1"/>
    <w:rsid w:val="6C44161C"/>
    <w:rsid w:val="6C465394"/>
    <w:rsid w:val="6C537AB1"/>
    <w:rsid w:val="6C55313C"/>
    <w:rsid w:val="6C5A0E3F"/>
    <w:rsid w:val="6C6972D4"/>
    <w:rsid w:val="6C6C33E9"/>
    <w:rsid w:val="6C764577"/>
    <w:rsid w:val="6C7964CA"/>
    <w:rsid w:val="6C921D3D"/>
    <w:rsid w:val="6CA47019"/>
    <w:rsid w:val="6CB0674F"/>
    <w:rsid w:val="6CBC5656"/>
    <w:rsid w:val="6CD15CA3"/>
    <w:rsid w:val="6CF45339"/>
    <w:rsid w:val="6CF55BF8"/>
    <w:rsid w:val="6D015A2E"/>
    <w:rsid w:val="6D0A4613"/>
    <w:rsid w:val="6D40191B"/>
    <w:rsid w:val="6D4C69DA"/>
    <w:rsid w:val="6D51509E"/>
    <w:rsid w:val="6D54588F"/>
    <w:rsid w:val="6D604233"/>
    <w:rsid w:val="6D8065C6"/>
    <w:rsid w:val="6D812D26"/>
    <w:rsid w:val="6D832370"/>
    <w:rsid w:val="6D930E80"/>
    <w:rsid w:val="6D9C504D"/>
    <w:rsid w:val="6DBE71AC"/>
    <w:rsid w:val="6DD142FD"/>
    <w:rsid w:val="6DD469CF"/>
    <w:rsid w:val="6DD50F1A"/>
    <w:rsid w:val="6DE50BDD"/>
    <w:rsid w:val="6DEA61F3"/>
    <w:rsid w:val="6DEC5AC7"/>
    <w:rsid w:val="6DFA6436"/>
    <w:rsid w:val="6E0065B6"/>
    <w:rsid w:val="6E027099"/>
    <w:rsid w:val="6E192634"/>
    <w:rsid w:val="6E1F40EF"/>
    <w:rsid w:val="6E400306"/>
    <w:rsid w:val="6E600263"/>
    <w:rsid w:val="6E663ACB"/>
    <w:rsid w:val="6E6733A0"/>
    <w:rsid w:val="6E691FE8"/>
    <w:rsid w:val="6E6E2980"/>
    <w:rsid w:val="6E781A51"/>
    <w:rsid w:val="6E7C2A63"/>
    <w:rsid w:val="6E7D2BC3"/>
    <w:rsid w:val="6E8E3022"/>
    <w:rsid w:val="6E8E34CA"/>
    <w:rsid w:val="6EA36ACE"/>
    <w:rsid w:val="6EAC5256"/>
    <w:rsid w:val="6EAE7733"/>
    <w:rsid w:val="6EB505AF"/>
    <w:rsid w:val="6EE93F10"/>
    <w:rsid w:val="6F045092"/>
    <w:rsid w:val="6F0532E4"/>
    <w:rsid w:val="6F076887"/>
    <w:rsid w:val="6F176B74"/>
    <w:rsid w:val="6F275579"/>
    <w:rsid w:val="6F4C5139"/>
    <w:rsid w:val="6F50621C"/>
    <w:rsid w:val="6F5A2F04"/>
    <w:rsid w:val="6F735717"/>
    <w:rsid w:val="6F7915DC"/>
    <w:rsid w:val="6F7A24E8"/>
    <w:rsid w:val="6F8B4AAD"/>
    <w:rsid w:val="6F8F7052"/>
    <w:rsid w:val="6FBD596D"/>
    <w:rsid w:val="6FD26744"/>
    <w:rsid w:val="6FE256F3"/>
    <w:rsid w:val="6FF04591"/>
    <w:rsid w:val="6FF62C2D"/>
    <w:rsid w:val="6FFB46E7"/>
    <w:rsid w:val="7010369C"/>
    <w:rsid w:val="70115CB9"/>
    <w:rsid w:val="70275B8D"/>
    <w:rsid w:val="702C2AF3"/>
    <w:rsid w:val="703379DD"/>
    <w:rsid w:val="70425E72"/>
    <w:rsid w:val="704C3ABC"/>
    <w:rsid w:val="705A715C"/>
    <w:rsid w:val="70790D38"/>
    <w:rsid w:val="70A1703D"/>
    <w:rsid w:val="70AA32D5"/>
    <w:rsid w:val="70B24803"/>
    <w:rsid w:val="70BB4155"/>
    <w:rsid w:val="70BC5C25"/>
    <w:rsid w:val="70C84F84"/>
    <w:rsid w:val="70D25448"/>
    <w:rsid w:val="70EE1B56"/>
    <w:rsid w:val="70F122E6"/>
    <w:rsid w:val="70F322CE"/>
    <w:rsid w:val="70FF188E"/>
    <w:rsid w:val="71184530"/>
    <w:rsid w:val="71213CDA"/>
    <w:rsid w:val="71267542"/>
    <w:rsid w:val="71313FAA"/>
    <w:rsid w:val="713C6F4A"/>
    <w:rsid w:val="71423951"/>
    <w:rsid w:val="71466176"/>
    <w:rsid w:val="71484553"/>
    <w:rsid w:val="7157594D"/>
    <w:rsid w:val="71605A2B"/>
    <w:rsid w:val="7161057A"/>
    <w:rsid w:val="716E2E46"/>
    <w:rsid w:val="717073FB"/>
    <w:rsid w:val="718A7AD1"/>
    <w:rsid w:val="718C6986"/>
    <w:rsid w:val="719A5ABB"/>
    <w:rsid w:val="71A5490B"/>
    <w:rsid w:val="71BE1FB9"/>
    <w:rsid w:val="72023B0B"/>
    <w:rsid w:val="72086C48"/>
    <w:rsid w:val="72223437"/>
    <w:rsid w:val="72347A3D"/>
    <w:rsid w:val="72395053"/>
    <w:rsid w:val="72442376"/>
    <w:rsid w:val="725011AF"/>
    <w:rsid w:val="7258372B"/>
    <w:rsid w:val="72685895"/>
    <w:rsid w:val="72850298"/>
    <w:rsid w:val="72897D89"/>
    <w:rsid w:val="729040A7"/>
    <w:rsid w:val="72944988"/>
    <w:rsid w:val="72BE3DD7"/>
    <w:rsid w:val="72C25048"/>
    <w:rsid w:val="72D84E9F"/>
    <w:rsid w:val="72F524A8"/>
    <w:rsid w:val="730A658C"/>
    <w:rsid w:val="73181B97"/>
    <w:rsid w:val="73247AB1"/>
    <w:rsid w:val="732526E4"/>
    <w:rsid w:val="733C304D"/>
    <w:rsid w:val="734C0DB6"/>
    <w:rsid w:val="735A7977"/>
    <w:rsid w:val="735C73AE"/>
    <w:rsid w:val="735C7E8C"/>
    <w:rsid w:val="735D0897"/>
    <w:rsid w:val="736152C0"/>
    <w:rsid w:val="737717B1"/>
    <w:rsid w:val="738A200A"/>
    <w:rsid w:val="73A155A6"/>
    <w:rsid w:val="73AA52DA"/>
    <w:rsid w:val="73B7347A"/>
    <w:rsid w:val="73C24499"/>
    <w:rsid w:val="73C92BD7"/>
    <w:rsid w:val="73D967B5"/>
    <w:rsid w:val="73DF131C"/>
    <w:rsid w:val="73ED4347"/>
    <w:rsid w:val="73F432C2"/>
    <w:rsid w:val="740B2A1F"/>
    <w:rsid w:val="741D2E7E"/>
    <w:rsid w:val="741F3A86"/>
    <w:rsid w:val="74215F9E"/>
    <w:rsid w:val="74443E74"/>
    <w:rsid w:val="744F0B5E"/>
    <w:rsid w:val="745368A0"/>
    <w:rsid w:val="74650381"/>
    <w:rsid w:val="747C1E3B"/>
    <w:rsid w:val="74A013B9"/>
    <w:rsid w:val="74AE394F"/>
    <w:rsid w:val="74E61186"/>
    <w:rsid w:val="74F95DD4"/>
    <w:rsid w:val="74FA31C0"/>
    <w:rsid w:val="74FC2DCF"/>
    <w:rsid w:val="75120509"/>
    <w:rsid w:val="75143474"/>
    <w:rsid w:val="751753A4"/>
    <w:rsid w:val="7521699E"/>
    <w:rsid w:val="752735C9"/>
    <w:rsid w:val="752E4C17"/>
    <w:rsid w:val="75330480"/>
    <w:rsid w:val="75524DAA"/>
    <w:rsid w:val="755453B3"/>
    <w:rsid w:val="75884D36"/>
    <w:rsid w:val="758B0959"/>
    <w:rsid w:val="759058D2"/>
    <w:rsid w:val="75907D8F"/>
    <w:rsid w:val="75AC4BC2"/>
    <w:rsid w:val="75C73210"/>
    <w:rsid w:val="75CB6E55"/>
    <w:rsid w:val="75DC479C"/>
    <w:rsid w:val="75DD4B1C"/>
    <w:rsid w:val="760065B4"/>
    <w:rsid w:val="760D37EC"/>
    <w:rsid w:val="761107C1"/>
    <w:rsid w:val="76116A13"/>
    <w:rsid w:val="76122813"/>
    <w:rsid w:val="761C0F14"/>
    <w:rsid w:val="761D6E94"/>
    <w:rsid w:val="763A64C3"/>
    <w:rsid w:val="76516E0F"/>
    <w:rsid w:val="76551D8E"/>
    <w:rsid w:val="766A6123"/>
    <w:rsid w:val="766D2A56"/>
    <w:rsid w:val="7670039B"/>
    <w:rsid w:val="76921C2D"/>
    <w:rsid w:val="769767EC"/>
    <w:rsid w:val="769D74C4"/>
    <w:rsid w:val="76AB2420"/>
    <w:rsid w:val="76AF1D88"/>
    <w:rsid w:val="76AF3B36"/>
    <w:rsid w:val="76D55E4D"/>
    <w:rsid w:val="76F22A3C"/>
    <w:rsid w:val="77091498"/>
    <w:rsid w:val="77106FA3"/>
    <w:rsid w:val="77183DD1"/>
    <w:rsid w:val="772C296F"/>
    <w:rsid w:val="773167AF"/>
    <w:rsid w:val="77355E01"/>
    <w:rsid w:val="773732B8"/>
    <w:rsid w:val="773E351C"/>
    <w:rsid w:val="774A0064"/>
    <w:rsid w:val="774F728A"/>
    <w:rsid w:val="77517554"/>
    <w:rsid w:val="77616C83"/>
    <w:rsid w:val="77785788"/>
    <w:rsid w:val="779C67B0"/>
    <w:rsid w:val="77A2369A"/>
    <w:rsid w:val="77A82943"/>
    <w:rsid w:val="77B22DCD"/>
    <w:rsid w:val="77B31818"/>
    <w:rsid w:val="77B70EF4"/>
    <w:rsid w:val="77B91110"/>
    <w:rsid w:val="77C35AEB"/>
    <w:rsid w:val="77C41863"/>
    <w:rsid w:val="77C94778"/>
    <w:rsid w:val="78016613"/>
    <w:rsid w:val="78047EB1"/>
    <w:rsid w:val="78085BF3"/>
    <w:rsid w:val="78334584"/>
    <w:rsid w:val="78370287"/>
    <w:rsid w:val="78511348"/>
    <w:rsid w:val="7851759A"/>
    <w:rsid w:val="7859644F"/>
    <w:rsid w:val="7860333A"/>
    <w:rsid w:val="786E4725"/>
    <w:rsid w:val="78860D70"/>
    <w:rsid w:val="788A485A"/>
    <w:rsid w:val="789733D4"/>
    <w:rsid w:val="789C5A6D"/>
    <w:rsid w:val="78A53107"/>
    <w:rsid w:val="78AA2807"/>
    <w:rsid w:val="78CA4C57"/>
    <w:rsid w:val="78D14EE7"/>
    <w:rsid w:val="78E20E22"/>
    <w:rsid w:val="78EB5A57"/>
    <w:rsid w:val="78EC1071"/>
    <w:rsid w:val="78EF40EB"/>
    <w:rsid w:val="78F543CA"/>
    <w:rsid w:val="791668EE"/>
    <w:rsid w:val="79167A12"/>
    <w:rsid w:val="793D4508"/>
    <w:rsid w:val="79440EAD"/>
    <w:rsid w:val="794B3FEA"/>
    <w:rsid w:val="794B6261"/>
    <w:rsid w:val="795240DA"/>
    <w:rsid w:val="795F1843"/>
    <w:rsid w:val="796E5F2A"/>
    <w:rsid w:val="796F0529"/>
    <w:rsid w:val="79951709"/>
    <w:rsid w:val="799C290D"/>
    <w:rsid w:val="79A67472"/>
    <w:rsid w:val="79B44E94"/>
    <w:rsid w:val="79B55E6A"/>
    <w:rsid w:val="79BC6C95"/>
    <w:rsid w:val="79BE7C63"/>
    <w:rsid w:val="79CB512B"/>
    <w:rsid w:val="79CF6EB5"/>
    <w:rsid w:val="79F3642F"/>
    <w:rsid w:val="79FC1788"/>
    <w:rsid w:val="7A08491B"/>
    <w:rsid w:val="7A0851B3"/>
    <w:rsid w:val="7A0E6DA2"/>
    <w:rsid w:val="7A0F3269"/>
    <w:rsid w:val="7A170370"/>
    <w:rsid w:val="7A4235C4"/>
    <w:rsid w:val="7A4775A8"/>
    <w:rsid w:val="7A5944E4"/>
    <w:rsid w:val="7A760E8E"/>
    <w:rsid w:val="7A792DD8"/>
    <w:rsid w:val="7A79725C"/>
    <w:rsid w:val="7A9750AD"/>
    <w:rsid w:val="7AA27302"/>
    <w:rsid w:val="7AA65A24"/>
    <w:rsid w:val="7AB61937"/>
    <w:rsid w:val="7AC85E0C"/>
    <w:rsid w:val="7ADB75EF"/>
    <w:rsid w:val="7AEE7323"/>
    <w:rsid w:val="7AEF5322"/>
    <w:rsid w:val="7AF542EE"/>
    <w:rsid w:val="7AFF2AEA"/>
    <w:rsid w:val="7B095F0A"/>
    <w:rsid w:val="7B3C796C"/>
    <w:rsid w:val="7B3E461B"/>
    <w:rsid w:val="7B425C5A"/>
    <w:rsid w:val="7B4B659F"/>
    <w:rsid w:val="7B567622"/>
    <w:rsid w:val="7B6C067B"/>
    <w:rsid w:val="7B7711C5"/>
    <w:rsid w:val="7B7B7846"/>
    <w:rsid w:val="7BBA1AA7"/>
    <w:rsid w:val="7BC42654"/>
    <w:rsid w:val="7BCE4A5E"/>
    <w:rsid w:val="7BF003F6"/>
    <w:rsid w:val="7BF07750"/>
    <w:rsid w:val="7BF215FA"/>
    <w:rsid w:val="7C03289D"/>
    <w:rsid w:val="7C185A36"/>
    <w:rsid w:val="7C2954F9"/>
    <w:rsid w:val="7C350F81"/>
    <w:rsid w:val="7C35307A"/>
    <w:rsid w:val="7C3716CE"/>
    <w:rsid w:val="7C5A4544"/>
    <w:rsid w:val="7C790E6E"/>
    <w:rsid w:val="7C86358B"/>
    <w:rsid w:val="7C885555"/>
    <w:rsid w:val="7CA659DB"/>
    <w:rsid w:val="7CA83501"/>
    <w:rsid w:val="7CAF663E"/>
    <w:rsid w:val="7CB71996"/>
    <w:rsid w:val="7CC744C3"/>
    <w:rsid w:val="7CD9190C"/>
    <w:rsid w:val="7CED360A"/>
    <w:rsid w:val="7CED7166"/>
    <w:rsid w:val="7CEF4CF8"/>
    <w:rsid w:val="7D07647A"/>
    <w:rsid w:val="7D0E5A5A"/>
    <w:rsid w:val="7D0F5C52"/>
    <w:rsid w:val="7D1E04AA"/>
    <w:rsid w:val="7D28758B"/>
    <w:rsid w:val="7D3C74B9"/>
    <w:rsid w:val="7D427B5D"/>
    <w:rsid w:val="7D4D5E56"/>
    <w:rsid w:val="7D4F6073"/>
    <w:rsid w:val="7D5A752D"/>
    <w:rsid w:val="7D6269A0"/>
    <w:rsid w:val="7D740952"/>
    <w:rsid w:val="7D7B29C4"/>
    <w:rsid w:val="7D7C77FD"/>
    <w:rsid w:val="7D7D498E"/>
    <w:rsid w:val="7D833176"/>
    <w:rsid w:val="7DAD36BF"/>
    <w:rsid w:val="7DCE6F97"/>
    <w:rsid w:val="7DD32F0D"/>
    <w:rsid w:val="7DEE7639"/>
    <w:rsid w:val="7DF115D5"/>
    <w:rsid w:val="7E0806FB"/>
    <w:rsid w:val="7E08156B"/>
    <w:rsid w:val="7E097FCF"/>
    <w:rsid w:val="7E0B579C"/>
    <w:rsid w:val="7E235535"/>
    <w:rsid w:val="7E285926"/>
    <w:rsid w:val="7E295BF2"/>
    <w:rsid w:val="7E327526"/>
    <w:rsid w:val="7E857F9E"/>
    <w:rsid w:val="7E9957F7"/>
    <w:rsid w:val="7E9C52E7"/>
    <w:rsid w:val="7EA67F14"/>
    <w:rsid w:val="7EB51F05"/>
    <w:rsid w:val="7EC37E4E"/>
    <w:rsid w:val="7EC42148"/>
    <w:rsid w:val="7EC87E8B"/>
    <w:rsid w:val="7EF0118F"/>
    <w:rsid w:val="7EF53B0D"/>
    <w:rsid w:val="7EFE335A"/>
    <w:rsid w:val="7EFE38AC"/>
    <w:rsid w:val="7F002981"/>
    <w:rsid w:val="7F007624"/>
    <w:rsid w:val="7F0569E9"/>
    <w:rsid w:val="7F1A37E8"/>
    <w:rsid w:val="7F2E23E3"/>
    <w:rsid w:val="7F5160B8"/>
    <w:rsid w:val="7F52262D"/>
    <w:rsid w:val="7F6210C3"/>
    <w:rsid w:val="7F673200"/>
    <w:rsid w:val="7F697B44"/>
    <w:rsid w:val="7F7A171B"/>
    <w:rsid w:val="7F7CD28C"/>
    <w:rsid w:val="7F877F9C"/>
    <w:rsid w:val="7F902C16"/>
    <w:rsid w:val="7F945FBF"/>
    <w:rsid w:val="7F97507F"/>
    <w:rsid w:val="7FB32911"/>
    <w:rsid w:val="7FDA1D9D"/>
    <w:rsid w:val="7FE5681A"/>
    <w:rsid w:val="7FF340EA"/>
    <w:rsid w:val="7FF76C79"/>
    <w:rsid w:val="7FFC30B1"/>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nhideWhenUsed="0" w:uiPriority="0" w:semiHidden="0" w:name="heading 2"/>
    <w:lsdException w:qFormat="1" w:unhideWhenUsed="0" w:uiPriority="0" w:semiHidden="0" w:name="heading 3"/>
    <w:lsdException w:qFormat="1" w:unhideWhenUsed="0" w:uiPriority="9" w:semiHidden="0" w:name="heading 4"/>
    <w:lsdException w:qFormat="1" w:unhideWhenUsed="0" w:uiPriority="9" w:semiHidden="0" w:name="heading 5"/>
    <w:lsdException w:qFormat="1" w:unhideWhenUsed="0" w:uiPriority="9" w:semiHidden="0" w:name="heading 6"/>
    <w:lsdException w:qFormat="1" w:unhideWhenUsed="0" w:uiPriority="9" w:semiHidden="0" w:name="heading 7"/>
    <w:lsdException w:qFormat="1" w:unhideWhenUsed="0" w:uiPriority="9" w:semiHidden="0" w:name="heading 8"/>
    <w:lsdException w:qFormat="1" w:unhideWhenUsed="0" w:uiPriority="9" w:semiHidden="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qFormat="1" w:unhideWhenUsed="0" w:uiPriority="39" w:semiHidden="0" w:name="toc 1"/>
    <w:lsdException w:qFormat="1" w:unhideWhenUsed="0" w:uiPriority="39" w:semiHidden="0" w:name="toc 2"/>
    <w:lsdException w:qFormat="1"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qFormat="1" w:unhideWhenUsed="0" w:uiPriority="0" w:semiHidden="0" w:name="footnote text"/>
    <w:lsdException w:qFormat="1" w:unhideWhenUsed="0" w:uiPriority="0" w:semiHidden="0" w:name="annotation text"/>
    <w:lsdException w:qFormat="1" w:unhideWhenUsed="0" w:uiPriority="99" w:semiHidden="0" w:name="header"/>
    <w:lsdException w:qFormat="1" w:unhideWhenUsed="0" w:uiPriority="99" w:semiHidden="0" w:name="footer"/>
    <w:lsdException w:unhideWhenUsed="0" w:uiPriority="0" w:semiHidden="0" w:name="index heading"/>
    <w:lsdException w:qFormat="1" w:unhideWhenUsed="0" w:uiPriority="35" w:semiHidden="0" w:name="caption"/>
    <w:lsdException w:unhideWhenUsed="0" w:uiPriority="0" w:semiHidden="0" w:name="table of figures"/>
    <w:lsdException w:unhideWhenUsed="0" w:uiPriority="0" w:semiHidden="0" w:name="envelope address"/>
    <w:lsdException w:unhideWhenUsed="0" w:uiPriority="0" w:semiHidden="0" w:name="envelope return"/>
    <w:lsdException w:qFormat="1" w:unhideWhenUsed="0" w:uiPriority="0" w:semiHidden="0" w:name="footnote reference"/>
    <w:lsdException w:qFormat="1" w:unhideWhenUsed="0" w:uiPriority="0" w:semiHidden="0" w:name="annotation reference"/>
    <w:lsdException w:unhideWhenUsed="0" w:uiPriority="0" w:semiHidden="0" w:name="line number"/>
    <w:lsdException w:unhideWhenUsed="0" w:uiPriority="0" w:semiHidden="0" w:name="page number"/>
    <w:lsdException w:qFormat="1" w:unhideWhenUsed="0" w:uiPriority="0" w:semiHidden="0" w:name="endnote reference"/>
    <w:lsdException w:qFormat="1"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11"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22"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qFormat="1" w:unhideWhenUsed="0" w:uiPriority="99"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qFormat="1"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qFormat="1" w:unhideWhenUsed="0" w:uiPriority="0" w:semiHidden="0" w:name="Balloon Text"/>
    <w:lsdException w:qFormat="1"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qFormat="1" w:unhideWhenUsed="0" w:uiPriority="29" w:semiHidden="0" w:name="Quote"/>
    <w:lsdException w:qFormat="1" w:unhideWhenUsed="0" w:uiPriority="30" w:semiHidden="0" w:name="Intense Quote"/>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spacing w:line="560" w:lineRule="exact"/>
      <w:ind w:firstLine="200" w:firstLineChars="200"/>
      <w:jc w:val="both"/>
    </w:pPr>
    <w:rPr>
      <w:rFonts w:ascii="Times New Roman" w:hAnsi="Times New Roman" w:eastAsia="方正仿宋_GBK" w:cs="宋体"/>
      <w:kern w:val="2"/>
      <w:sz w:val="32"/>
      <w:szCs w:val="24"/>
      <w:lang w:val="en-US" w:eastAsia="zh-CN" w:bidi="ar-SA"/>
      <w14:ligatures w14:val="standardContextual"/>
    </w:rPr>
  </w:style>
  <w:style w:type="paragraph" w:styleId="2">
    <w:name w:val="heading 1"/>
    <w:basedOn w:val="1"/>
    <w:next w:val="1"/>
    <w:link w:val="32"/>
    <w:qFormat/>
    <w:uiPriority w:val="0"/>
    <w:pPr>
      <w:keepNext/>
      <w:keepLines/>
      <w:ind w:firstLine="880"/>
      <w:outlineLvl w:val="0"/>
    </w:pPr>
    <w:rPr>
      <w:rFonts w:eastAsia="方正黑体_GBK"/>
      <w:bCs/>
      <w:kern w:val="44"/>
      <w:szCs w:val="44"/>
    </w:rPr>
  </w:style>
  <w:style w:type="paragraph" w:styleId="3">
    <w:name w:val="heading 2"/>
    <w:basedOn w:val="1"/>
    <w:next w:val="1"/>
    <w:link w:val="33"/>
    <w:qFormat/>
    <w:uiPriority w:val="0"/>
    <w:pPr>
      <w:keepNext/>
      <w:keepLines/>
      <w:ind w:firstLine="640"/>
      <w:outlineLvl w:val="1"/>
    </w:pPr>
    <w:rPr>
      <w:rFonts w:eastAsia="方正楷体_GBK"/>
      <w:bCs/>
      <w:szCs w:val="32"/>
      <w14:ligatures w14:val="none"/>
    </w:rPr>
  </w:style>
  <w:style w:type="paragraph" w:styleId="4">
    <w:name w:val="heading 3"/>
    <w:basedOn w:val="1"/>
    <w:next w:val="1"/>
    <w:link w:val="35"/>
    <w:qFormat/>
    <w:uiPriority w:val="0"/>
    <w:pPr>
      <w:jc w:val="left"/>
      <w:outlineLvl w:val="2"/>
    </w:pPr>
    <w:rPr>
      <w:rFonts w:cs="Times New Roman"/>
      <w:b/>
      <w:bCs/>
      <w:kern w:val="0"/>
      <w:szCs w:val="27"/>
      <w14:ligatures w14:val="none"/>
    </w:rPr>
  </w:style>
  <w:style w:type="paragraph" w:styleId="5">
    <w:name w:val="heading 4"/>
    <w:basedOn w:val="1"/>
    <w:next w:val="1"/>
    <w:link w:val="36"/>
    <w:qFormat/>
    <w:uiPriority w:val="9"/>
    <w:pPr>
      <w:keepNext/>
      <w:keepLines/>
      <w:outlineLvl w:val="3"/>
    </w:pPr>
    <w:rPr>
      <w:rFonts w:ascii="等线" w:hAnsi="等线" w:eastAsia="等线"/>
      <w:color w:val="2F5597"/>
      <w:sz w:val="28"/>
      <w:szCs w:val="28"/>
    </w:rPr>
  </w:style>
  <w:style w:type="paragraph" w:styleId="6">
    <w:name w:val="heading 5"/>
    <w:basedOn w:val="1"/>
    <w:next w:val="1"/>
    <w:link w:val="37"/>
    <w:qFormat/>
    <w:uiPriority w:val="9"/>
    <w:pPr>
      <w:keepNext/>
      <w:keepLines/>
      <w:spacing w:before="80" w:after="40"/>
      <w:outlineLvl w:val="4"/>
    </w:pPr>
    <w:rPr>
      <w:rFonts w:ascii="等线" w:hAnsi="等线" w:eastAsia="等线"/>
      <w:color w:val="2F5597"/>
      <w:sz w:val="24"/>
    </w:rPr>
  </w:style>
  <w:style w:type="paragraph" w:styleId="7">
    <w:name w:val="heading 6"/>
    <w:basedOn w:val="1"/>
    <w:next w:val="1"/>
    <w:link w:val="38"/>
    <w:qFormat/>
    <w:uiPriority w:val="9"/>
    <w:pPr>
      <w:keepNext/>
      <w:keepLines/>
      <w:spacing w:before="40"/>
      <w:outlineLvl w:val="5"/>
    </w:pPr>
    <w:rPr>
      <w:rFonts w:ascii="等线" w:hAnsi="等线" w:eastAsia="等线"/>
      <w:b/>
      <w:bCs/>
      <w:color w:val="2F5597"/>
    </w:rPr>
  </w:style>
  <w:style w:type="paragraph" w:styleId="8">
    <w:name w:val="heading 7"/>
    <w:basedOn w:val="1"/>
    <w:next w:val="1"/>
    <w:link w:val="39"/>
    <w:qFormat/>
    <w:uiPriority w:val="9"/>
    <w:pPr>
      <w:keepNext/>
      <w:keepLines/>
      <w:spacing w:before="40"/>
      <w:outlineLvl w:val="6"/>
    </w:pPr>
    <w:rPr>
      <w:rFonts w:ascii="等线" w:hAnsi="等线" w:eastAsia="等线"/>
      <w:b/>
      <w:bCs/>
      <w:color w:val="595959"/>
    </w:rPr>
  </w:style>
  <w:style w:type="paragraph" w:styleId="9">
    <w:name w:val="heading 8"/>
    <w:basedOn w:val="1"/>
    <w:next w:val="1"/>
    <w:link w:val="40"/>
    <w:qFormat/>
    <w:uiPriority w:val="9"/>
    <w:pPr>
      <w:keepNext/>
      <w:keepLines/>
      <w:outlineLvl w:val="7"/>
    </w:pPr>
    <w:rPr>
      <w:rFonts w:ascii="等线" w:hAnsi="等线" w:eastAsia="等线"/>
      <w:color w:val="595959"/>
    </w:rPr>
  </w:style>
  <w:style w:type="paragraph" w:styleId="10">
    <w:name w:val="heading 9"/>
    <w:basedOn w:val="1"/>
    <w:next w:val="1"/>
    <w:link w:val="41"/>
    <w:qFormat/>
    <w:uiPriority w:val="9"/>
    <w:pPr>
      <w:keepNext/>
      <w:keepLines/>
      <w:outlineLvl w:val="8"/>
    </w:pPr>
    <w:rPr>
      <w:rFonts w:ascii="等线" w:hAnsi="等线" w:eastAsia="等线 Light"/>
      <w:color w:val="595959"/>
    </w:rPr>
  </w:style>
  <w:style w:type="character" w:default="1" w:styleId="27">
    <w:name w:val="Default Paragraph Font"/>
    <w:semiHidden/>
    <w:unhideWhenUsed/>
    <w:qFormat/>
    <w:uiPriority w:val="1"/>
  </w:style>
  <w:style w:type="table" w:default="1" w:styleId="25">
    <w:name w:val="Normal Table"/>
    <w:semiHidden/>
    <w:unhideWhenUsed/>
    <w:qFormat/>
    <w:uiPriority w:val="99"/>
    <w:tblPr>
      <w:tblCellMar>
        <w:top w:w="0" w:type="dxa"/>
        <w:left w:w="108" w:type="dxa"/>
        <w:bottom w:w="0" w:type="dxa"/>
        <w:right w:w="108" w:type="dxa"/>
      </w:tblCellMar>
    </w:tblPr>
  </w:style>
  <w:style w:type="paragraph" w:styleId="11">
    <w:name w:val="caption"/>
    <w:basedOn w:val="1"/>
    <w:next w:val="1"/>
    <w:qFormat/>
    <w:uiPriority w:val="35"/>
    <w:rPr>
      <w:rFonts w:ascii="Arial" w:hAnsi="Arial" w:eastAsia="黑体"/>
      <w:sz w:val="20"/>
    </w:rPr>
  </w:style>
  <w:style w:type="paragraph" w:styleId="12">
    <w:name w:val="annotation text"/>
    <w:basedOn w:val="1"/>
    <w:link w:val="57"/>
    <w:qFormat/>
    <w:uiPriority w:val="0"/>
    <w:pPr>
      <w:jc w:val="left"/>
    </w:pPr>
  </w:style>
  <w:style w:type="paragraph" w:styleId="13">
    <w:name w:val="toc 3"/>
    <w:basedOn w:val="1"/>
    <w:next w:val="1"/>
    <w:qFormat/>
    <w:uiPriority w:val="0"/>
    <w:pPr>
      <w:ind w:left="640" w:leftChars="200" w:firstLine="0" w:firstLineChars="0"/>
    </w:pPr>
    <w:rPr>
      <w:rFonts w:ascii="等线" w:hAnsi="等线"/>
      <w14:ligatures w14:val="none"/>
    </w:rPr>
  </w:style>
  <w:style w:type="paragraph" w:styleId="14">
    <w:name w:val="endnote text"/>
    <w:basedOn w:val="1"/>
    <w:qFormat/>
    <w:uiPriority w:val="0"/>
    <w:pPr>
      <w:snapToGrid w:val="0"/>
      <w:jc w:val="left"/>
    </w:pPr>
  </w:style>
  <w:style w:type="paragraph" w:styleId="15">
    <w:name w:val="Balloon Text"/>
    <w:basedOn w:val="1"/>
    <w:link w:val="55"/>
    <w:qFormat/>
    <w:uiPriority w:val="0"/>
    <w:pPr>
      <w:spacing w:line="240" w:lineRule="auto"/>
    </w:pPr>
    <w:rPr>
      <w:sz w:val="18"/>
      <w:szCs w:val="18"/>
    </w:rPr>
  </w:style>
  <w:style w:type="paragraph" w:styleId="16">
    <w:name w:val="footer"/>
    <w:basedOn w:val="1"/>
    <w:link w:val="51"/>
    <w:qFormat/>
    <w:uiPriority w:val="99"/>
    <w:pPr>
      <w:tabs>
        <w:tab w:val="center" w:pos="4153"/>
        <w:tab w:val="right" w:pos="8306"/>
      </w:tabs>
      <w:snapToGrid w:val="0"/>
      <w:jc w:val="left"/>
    </w:pPr>
    <w:rPr>
      <w:sz w:val="18"/>
      <w:szCs w:val="18"/>
    </w:rPr>
  </w:style>
  <w:style w:type="paragraph" w:styleId="17">
    <w:name w:val="header"/>
    <w:basedOn w:val="1"/>
    <w:link w:val="50"/>
    <w:qFormat/>
    <w:uiPriority w:val="99"/>
    <w:pPr>
      <w:tabs>
        <w:tab w:val="center" w:pos="4153"/>
        <w:tab w:val="right" w:pos="8306"/>
      </w:tabs>
      <w:snapToGrid w:val="0"/>
      <w:jc w:val="center"/>
    </w:pPr>
    <w:rPr>
      <w:sz w:val="18"/>
      <w:szCs w:val="18"/>
    </w:rPr>
  </w:style>
  <w:style w:type="paragraph" w:styleId="18">
    <w:name w:val="toc 1"/>
    <w:basedOn w:val="1"/>
    <w:next w:val="1"/>
    <w:qFormat/>
    <w:uiPriority w:val="39"/>
    <w:pPr>
      <w:ind w:firstLine="0" w:firstLineChars="0"/>
    </w:pPr>
    <w:rPr>
      <w:rFonts w:ascii="等线" w:hAnsi="等线" w:eastAsia="方正黑体_GBK"/>
      <w14:ligatures w14:val="none"/>
    </w:rPr>
  </w:style>
  <w:style w:type="paragraph" w:styleId="19">
    <w:name w:val="Subtitle"/>
    <w:basedOn w:val="1"/>
    <w:next w:val="1"/>
    <w:link w:val="42"/>
    <w:qFormat/>
    <w:uiPriority w:val="11"/>
    <w:pPr>
      <w:spacing w:after="160"/>
      <w:jc w:val="center"/>
    </w:pPr>
    <w:rPr>
      <w:rFonts w:ascii="等线 Light" w:hAnsi="等线 Light" w:eastAsia="等线 Light"/>
      <w:color w:val="595959"/>
      <w:spacing w:val="15"/>
      <w:sz w:val="28"/>
      <w:szCs w:val="28"/>
    </w:rPr>
  </w:style>
  <w:style w:type="paragraph" w:styleId="20">
    <w:name w:val="footnote text"/>
    <w:basedOn w:val="1"/>
    <w:qFormat/>
    <w:uiPriority w:val="0"/>
    <w:pPr>
      <w:snapToGrid w:val="0"/>
      <w:jc w:val="left"/>
    </w:pPr>
    <w:rPr>
      <w:sz w:val="18"/>
    </w:rPr>
  </w:style>
  <w:style w:type="paragraph" w:styleId="21">
    <w:name w:val="toc 2"/>
    <w:basedOn w:val="1"/>
    <w:next w:val="1"/>
    <w:qFormat/>
    <w:uiPriority w:val="39"/>
    <w:pPr>
      <w:ind w:left="320" w:leftChars="100" w:firstLine="0" w:firstLineChars="0"/>
    </w:pPr>
    <w:rPr>
      <w:rFonts w:ascii="等线" w:hAnsi="等线" w:eastAsia="方正楷体_GBK"/>
      <w14:ligatures w14:val="none"/>
    </w:rPr>
  </w:style>
  <w:style w:type="paragraph" w:styleId="22">
    <w:name w:val="Normal (Web)"/>
    <w:basedOn w:val="1"/>
    <w:qFormat/>
    <w:uiPriority w:val="99"/>
    <w:pPr>
      <w:spacing w:beforeAutospacing="1" w:afterAutospacing="1"/>
      <w:jc w:val="left"/>
    </w:pPr>
    <w:rPr>
      <w:rFonts w:cs="Times New Roman"/>
      <w:kern w:val="0"/>
      <w:sz w:val="24"/>
    </w:rPr>
  </w:style>
  <w:style w:type="paragraph" w:styleId="23">
    <w:name w:val="Title"/>
    <w:basedOn w:val="1"/>
    <w:next w:val="1"/>
    <w:link w:val="34"/>
    <w:qFormat/>
    <w:uiPriority w:val="0"/>
    <w:pPr>
      <w:spacing w:line="590" w:lineRule="exact"/>
      <w:ind w:left="-141" w:leftChars="-44" w:right="-58" w:rightChars="-18" w:firstLine="0" w:firstLineChars="0"/>
      <w:jc w:val="center"/>
      <w:outlineLvl w:val="0"/>
    </w:pPr>
    <w:rPr>
      <w:rFonts w:eastAsia="方正小标宋_GBK" w:cs="Times New Roman"/>
      <w:bCs/>
      <w:sz w:val="44"/>
      <w:szCs w:val="32"/>
    </w:rPr>
  </w:style>
  <w:style w:type="paragraph" w:styleId="24">
    <w:name w:val="annotation subject"/>
    <w:basedOn w:val="12"/>
    <w:next w:val="12"/>
    <w:link w:val="58"/>
    <w:qFormat/>
    <w:uiPriority w:val="0"/>
    <w:rPr>
      <w:b/>
      <w:bCs/>
    </w:rPr>
  </w:style>
  <w:style w:type="table" w:styleId="26">
    <w:name w:val="Table Grid"/>
    <w:basedOn w:val="25"/>
    <w:qFormat/>
    <w:uiPriority w:val="0"/>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28">
    <w:name w:val="Strong"/>
    <w:basedOn w:val="27"/>
    <w:qFormat/>
    <w:uiPriority w:val="22"/>
    <w:rPr>
      <w:b/>
    </w:rPr>
  </w:style>
  <w:style w:type="character" w:styleId="29">
    <w:name w:val="endnote reference"/>
    <w:basedOn w:val="27"/>
    <w:qFormat/>
    <w:uiPriority w:val="0"/>
    <w:rPr>
      <w:vertAlign w:val="superscript"/>
    </w:rPr>
  </w:style>
  <w:style w:type="character" w:styleId="30">
    <w:name w:val="annotation reference"/>
    <w:basedOn w:val="27"/>
    <w:qFormat/>
    <w:uiPriority w:val="0"/>
    <w:rPr>
      <w:sz w:val="21"/>
      <w:szCs w:val="21"/>
    </w:rPr>
  </w:style>
  <w:style w:type="character" w:styleId="31">
    <w:name w:val="footnote reference"/>
    <w:basedOn w:val="27"/>
    <w:qFormat/>
    <w:uiPriority w:val="0"/>
    <w:rPr>
      <w:vertAlign w:val="superscript"/>
    </w:rPr>
  </w:style>
  <w:style w:type="character" w:customStyle="1" w:styleId="32">
    <w:name w:val="标题 1 字符"/>
    <w:basedOn w:val="27"/>
    <w:link w:val="2"/>
    <w:qFormat/>
    <w:uiPriority w:val="0"/>
    <w:rPr>
      <w:rFonts w:eastAsia="方正黑体_GBK"/>
      <w:bCs/>
      <w:kern w:val="44"/>
      <w:sz w:val="32"/>
      <w:szCs w:val="44"/>
    </w:rPr>
  </w:style>
  <w:style w:type="character" w:customStyle="1" w:styleId="33">
    <w:name w:val="标题 2 字符"/>
    <w:basedOn w:val="27"/>
    <w:link w:val="3"/>
    <w:qFormat/>
    <w:uiPriority w:val="0"/>
    <w:rPr>
      <w:rFonts w:ascii="Times New Roman" w:hAnsi="Times New Roman" w:eastAsia="方正楷体_GBK" w:cs="宋体"/>
      <w:bCs/>
      <w:sz w:val="32"/>
      <w:szCs w:val="32"/>
      <w14:ligatures w14:val="none"/>
    </w:rPr>
  </w:style>
  <w:style w:type="character" w:customStyle="1" w:styleId="34">
    <w:name w:val="标题 字符"/>
    <w:basedOn w:val="27"/>
    <w:link w:val="23"/>
    <w:qFormat/>
    <w:uiPriority w:val="0"/>
    <w:rPr>
      <w:rFonts w:ascii="Times New Roman" w:hAnsi="Times New Roman" w:eastAsia="方正小标宋_GBK" w:cs="Times New Roman"/>
      <w:bCs/>
      <w:sz w:val="44"/>
      <w:szCs w:val="32"/>
    </w:rPr>
  </w:style>
  <w:style w:type="character" w:customStyle="1" w:styleId="35">
    <w:name w:val="标题 3 字符"/>
    <w:basedOn w:val="27"/>
    <w:link w:val="4"/>
    <w:qFormat/>
    <w:uiPriority w:val="0"/>
    <w:rPr>
      <w:rFonts w:hint="default" w:ascii="Times New Roman" w:hAnsi="Times New Roman" w:eastAsia="方正仿宋_GBK" w:cs="Times New Roman"/>
      <w:b/>
      <w:bCs/>
      <w:kern w:val="0"/>
      <w:sz w:val="32"/>
      <w:szCs w:val="27"/>
      <w14:ligatures w14:val="none"/>
    </w:rPr>
  </w:style>
  <w:style w:type="character" w:customStyle="1" w:styleId="36">
    <w:name w:val="标题 4 字符"/>
    <w:basedOn w:val="27"/>
    <w:link w:val="5"/>
    <w:qFormat/>
    <w:uiPriority w:val="9"/>
    <w:rPr>
      <w:rFonts w:eastAsia="等线" w:cs="宋体"/>
      <w:color w:val="2F5597"/>
      <w:sz w:val="28"/>
      <w:szCs w:val="28"/>
    </w:rPr>
  </w:style>
  <w:style w:type="character" w:customStyle="1" w:styleId="37">
    <w:name w:val="标题 5 字符"/>
    <w:basedOn w:val="27"/>
    <w:link w:val="6"/>
    <w:qFormat/>
    <w:uiPriority w:val="9"/>
    <w:rPr>
      <w:rFonts w:cs="宋体"/>
      <w:color w:val="2F5597"/>
      <w:sz w:val="24"/>
    </w:rPr>
  </w:style>
  <w:style w:type="character" w:customStyle="1" w:styleId="38">
    <w:name w:val="标题 6 字符"/>
    <w:basedOn w:val="27"/>
    <w:link w:val="7"/>
    <w:qFormat/>
    <w:uiPriority w:val="9"/>
    <w:rPr>
      <w:rFonts w:cs="宋体"/>
      <w:b/>
      <w:bCs/>
      <w:color w:val="2F5597"/>
      <w:sz w:val="32"/>
    </w:rPr>
  </w:style>
  <w:style w:type="character" w:customStyle="1" w:styleId="39">
    <w:name w:val="标题 7 字符"/>
    <w:basedOn w:val="27"/>
    <w:link w:val="8"/>
    <w:qFormat/>
    <w:uiPriority w:val="9"/>
    <w:rPr>
      <w:rFonts w:cs="宋体"/>
      <w:b/>
      <w:bCs/>
      <w:color w:val="595959"/>
      <w:sz w:val="32"/>
    </w:rPr>
  </w:style>
  <w:style w:type="character" w:customStyle="1" w:styleId="40">
    <w:name w:val="标题 8 字符"/>
    <w:basedOn w:val="27"/>
    <w:link w:val="9"/>
    <w:qFormat/>
    <w:uiPriority w:val="9"/>
    <w:rPr>
      <w:rFonts w:cs="宋体"/>
      <w:color w:val="595959"/>
      <w:sz w:val="32"/>
    </w:rPr>
  </w:style>
  <w:style w:type="character" w:customStyle="1" w:styleId="41">
    <w:name w:val="标题 9 字符"/>
    <w:basedOn w:val="27"/>
    <w:link w:val="10"/>
    <w:qFormat/>
    <w:uiPriority w:val="9"/>
    <w:rPr>
      <w:rFonts w:eastAsia="等线 Light" w:cs="宋体"/>
      <w:color w:val="595959"/>
      <w:sz w:val="32"/>
    </w:rPr>
  </w:style>
  <w:style w:type="character" w:customStyle="1" w:styleId="42">
    <w:name w:val="副标题 字符"/>
    <w:basedOn w:val="27"/>
    <w:link w:val="19"/>
    <w:qFormat/>
    <w:uiPriority w:val="11"/>
    <w:rPr>
      <w:rFonts w:ascii="等线 Light" w:hAnsi="等线 Light" w:eastAsia="等线 Light" w:cs="宋体"/>
      <w:color w:val="595959"/>
      <w:spacing w:val="15"/>
      <w:sz w:val="28"/>
      <w:szCs w:val="28"/>
    </w:rPr>
  </w:style>
  <w:style w:type="paragraph" w:styleId="43">
    <w:name w:val="Quote"/>
    <w:basedOn w:val="1"/>
    <w:next w:val="1"/>
    <w:link w:val="44"/>
    <w:qFormat/>
    <w:uiPriority w:val="29"/>
    <w:pPr>
      <w:spacing w:before="160" w:after="160"/>
      <w:jc w:val="center"/>
    </w:pPr>
    <w:rPr>
      <w:i/>
      <w:iCs/>
      <w:color w:val="3F3F3F"/>
    </w:rPr>
  </w:style>
  <w:style w:type="character" w:customStyle="1" w:styleId="44">
    <w:name w:val="引用 字符"/>
    <w:basedOn w:val="27"/>
    <w:link w:val="43"/>
    <w:qFormat/>
    <w:uiPriority w:val="29"/>
    <w:rPr>
      <w:rFonts w:ascii="Times New Roman" w:hAnsi="Times New Roman" w:eastAsia="方正仿宋_GBK"/>
      <w:i/>
      <w:iCs/>
      <w:color w:val="3F3F3F"/>
      <w:sz w:val="32"/>
    </w:rPr>
  </w:style>
  <w:style w:type="paragraph" w:styleId="45">
    <w:name w:val="List Paragraph"/>
    <w:basedOn w:val="1"/>
    <w:qFormat/>
    <w:uiPriority w:val="34"/>
    <w:pPr>
      <w:ind w:left="720"/>
      <w:contextualSpacing/>
    </w:pPr>
  </w:style>
  <w:style w:type="character" w:customStyle="1" w:styleId="46">
    <w:name w:val="明显强调1"/>
    <w:basedOn w:val="27"/>
    <w:qFormat/>
    <w:uiPriority w:val="21"/>
    <w:rPr>
      <w:i/>
      <w:iCs/>
      <w:color w:val="2F5597"/>
    </w:rPr>
  </w:style>
  <w:style w:type="paragraph" w:styleId="47">
    <w:name w:val="Intense Quote"/>
    <w:basedOn w:val="1"/>
    <w:next w:val="1"/>
    <w:link w:val="48"/>
    <w:qFormat/>
    <w:uiPriority w:val="30"/>
    <w:pPr>
      <w:pBdr>
        <w:top w:val="single" w:color="2F5496" w:sz="4" w:space="10"/>
        <w:bottom w:val="single" w:color="2F5496" w:sz="4" w:space="10"/>
      </w:pBdr>
      <w:spacing w:before="360" w:after="360"/>
      <w:ind w:left="864" w:right="864"/>
      <w:jc w:val="center"/>
    </w:pPr>
    <w:rPr>
      <w:i/>
      <w:iCs/>
      <w:color w:val="2F5597"/>
    </w:rPr>
  </w:style>
  <w:style w:type="character" w:customStyle="1" w:styleId="48">
    <w:name w:val="明显引用 字符"/>
    <w:basedOn w:val="27"/>
    <w:link w:val="47"/>
    <w:qFormat/>
    <w:uiPriority w:val="30"/>
    <w:rPr>
      <w:rFonts w:ascii="Times New Roman" w:hAnsi="Times New Roman" w:eastAsia="方正仿宋_GBK"/>
      <w:i/>
      <w:iCs/>
      <w:color w:val="2F5597"/>
      <w:sz w:val="32"/>
    </w:rPr>
  </w:style>
  <w:style w:type="character" w:customStyle="1" w:styleId="49">
    <w:name w:val="明显参考1"/>
    <w:basedOn w:val="27"/>
    <w:qFormat/>
    <w:uiPriority w:val="32"/>
    <w:rPr>
      <w:b/>
      <w:bCs/>
      <w:smallCaps/>
      <w:color w:val="2F5597"/>
      <w:spacing w:val="5"/>
    </w:rPr>
  </w:style>
  <w:style w:type="character" w:customStyle="1" w:styleId="50">
    <w:name w:val="页眉 字符"/>
    <w:basedOn w:val="27"/>
    <w:link w:val="17"/>
    <w:qFormat/>
    <w:uiPriority w:val="99"/>
    <w:rPr>
      <w:rFonts w:ascii="Times New Roman" w:hAnsi="Times New Roman" w:eastAsia="方正仿宋_GBK"/>
      <w:sz w:val="18"/>
      <w:szCs w:val="18"/>
    </w:rPr>
  </w:style>
  <w:style w:type="character" w:customStyle="1" w:styleId="51">
    <w:name w:val="页脚 字符"/>
    <w:basedOn w:val="27"/>
    <w:link w:val="16"/>
    <w:qFormat/>
    <w:uiPriority w:val="99"/>
    <w:rPr>
      <w:rFonts w:ascii="Times New Roman" w:hAnsi="Times New Roman" w:eastAsia="方正仿宋_GBK"/>
      <w:sz w:val="18"/>
      <w:szCs w:val="18"/>
    </w:rPr>
  </w:style>
  <w:style w:type="paragraph" w:customStyle="1" w:styleId="52">
    <w:name w:val="表格"/>
    <w:basedOn w:val="1"/>
    <w:qFormat/>
    <w:uiPriority w:val="0"/>
    <w:pPr>
      <w:spacing w:line="240" w:lineRule="auto"/>
      <w:ind w:firstLine="0" w:firstLineChars="0"/>
      <w:jc w:val="center"/>
    </w:pPr>
    <w:rPr>
      <w:rFonts w:hint="eastAsia"/>
      <w:sz w:val="24"/>
      <w:szCs w:val="21"/>
    </w:rPr>
  </w:style>
  <w:style w:type="character" w:customStyle="1" w:styleId="53">
    <w:name w:val="font11"/>
    <w:basedOn w:val="27"/>
    <w:qFormat/>
    <w:uiPriority w:val="0"/>
    <w:rPr>
      <w:rFonts w:hint="default" w:ascii="Times New Roman" w:hAnsi="Times New Roman" w:cs="Times New Roman"/>
      <w:color w:val="000000"/>
      <w:sz w:val="24"/>
      <w:szCs w:val="24"/>
      <w:u w:val="none"/>
    </w:rPr>
  </w:style>
  <w:style w:type="character" w:customStyle="1" w:styleId="54">
    <w:name w:val="font21"/>
    <w:basedOn w:val="27"/>
    <w:qFormat/>
    <w:uiPriority w:val="0"/>
    <w:rPr>
      <w:rFonts w:hint="eastAsia" w:ascii="宋体" w:hAnsi="宋体" w:eastAsia="宋体" w:cs="宋体"/>
      <w:color w:val="000000"/>
      <w:sz w:val="24"/>
      <w:szCs w:val="24"/>
      <w:u w:val="none"/>
    </w:rPr>
  </w:style>
  <w:style w:type="character" w:customStyle="1" w:styleId="55">
    <w:name w:val="批注框文本 字符"/>
    <w:basedOn w:val="27"/>
    <w:link w:val="15"/>
    <w:qFormat/>
    <w:uiPriority w:val="0"/>
    <w:rPr>
      <w:rFonts w:eastAsia="方正仿宋_GBK" w:cs="宋体"/>
      <w:kern w:val="2"/>
      <w:sz w:val="18"/>
      <w:szCs w:val="18"/>
      <w14:ligatures w14:val="standardContextual"/>
    </w:rPr>
  </w:style>
  <w:style w:type="paragraph" w:customStyle="1" w:styleId="56">
    <w:name w:val="修订1"/>
    <w:hidden/>
    <w:semiHidden/>
    <w:qFormat/>
    <w:uiPriority w:val="99"/>
    <w:rPr>
      <w:rFonts w:ascii="Times New Roman" w:hAnsi="Times New Roman" w:eastAsia="方正仿宋_GBK" w:cs="宋体"/>
      <w:kern w:val="2"/>
      <w:sz w:val="32"/>
      <w:szCs w:val="24"/>
      <w:lang w:val="en-US" w:eastAsia="zh-CN" w:bidi="ar-SA"/>
      <w14:ligatures w14:val="standardContextual"/>
    </w:rPr>
  </w:style>
  <w:style w:type="character" w:customStyle="1" w:styleId="57">
    <w:name w:val="批注文字 字符"/>
    <w:basedOn w:val="27"/>
    <w:link w:val="12"/>
    <w:qFormat/>
    <w:uiPriority w:val="0"/>
    <w:rPr>
      <w:rFonts w:eastAsia="方正仿宋_GBK" w:cs="宋体"/>
      <w:kern w:val="2"/>
      <w:sz w:val="32"/>
      <w:szCs w:val="24"/>
      <w14:ligatures w14:val="standardContextual"/>
    </w:rPr>
  </w:style>
  <w:style w:type="character" w:customStyle="1" w:styleId="58">
    <w:name w:val="批注主题 字符"/>
    <w:basedOn w:val="57"/>
    <w:link w:val="24"/>
    <w:qFormat/>
    <w:uiPriority w:val="0"/>
    <w:rPr>
      <w:rFonts w:eastAsia="方正仿宋_GBK" w:cs="宋体"/>
      <w:b/>
      <w:bCs/>
      <w:kern w:val="2"/>
      <w:sz w:val="32"/>
      <w:szCs w:val="24"/>
      <w14:ligatures w14:val="standardContextual"/>
    </w:rPr>
  </w:style>
  <w:style w:type="paragraph" w:customStyle="1" w:styleId="59">
    <w:name w:val="Revision"/>
    <w:hidden/>
    <w:unhideWhenUsed/>
    <w:qFormat/>
    <w:uiPriority w:val="99"/>
    <w:rPr>
      <w:rFonts w:ascii="Times New Roman" w:hAnsi="Times New Roman" w:eastAsia="方正仿宋_GBK" w:cs="宋体"/>
      <w:kern w:val="2"/>
      <w:sz w:val="32"/>
      <w:szCs w:val="24"/>
      <w:lang w:val="en-US" w:eastAsia="zh-CN" w:bidi="ar-SA"/>
      <w14:ligatures w14:val="standardContextual"/>
    </w:rPr>
  </w:style>
</w:styles>
</file>

<file path=word/_rels/document.xml.rels><?xml version="1.0" encoding="UTF-8" standalone="yes"?>
<Relationships xmlns="http://schemas.openxmlformats.org/package/2006/relationships"><Relationship Id="rId9" Type="http://schemas.openxmlformats.org/officeDocument/2006/relationships/footer" Target="footer2.xml"/><Relationship Id="rId8" Type="http://schemas.openxmlformats.org/officeDocument/2006/relationships/footer" Target="footer1.xml"/><Relationship Id="rId7" Type="http://schemas.openxmlformats.org/officeDocument/2006/relationships/header" Target="header3.xml"/><Relationship Id="rId6" Type="http://schemas.openxmlformats.org/officeDocument/2006/relationships/header" Target="header2.xml"/><Relationship Id="rId5" Type="http://schemas.openxmlformats.org/officeDocument/2006/relationships/header" Target="header1.xml"/><Relationship Id="rId4" Type="http://schemas.openxmlformats.org/officeDocument/2006/relationships/endnotes" Target="endnotes.xml"/><Relationship Id="rId3" Type="http://schemas.openxmlformats.org/officeDocument/2006/relationships/footnotes" Target="footnotes.xml"/><Relationship Id="rId2" Type="http://schemas.openxmlformats.org/officeDocument/2006/relationships/settings" Target="settings.xml"/><Relationship Id="rId16" Type="http://schemas.openxmlformats.org/officeDocument/2006/relationships/fontTable" Target="fontTable.xml"/><Relationship Id="rId15" Type="http://schemas.openxmlformats.org/officeDocument/2006/relationships/numbering" Target="numbering.xml"/><Relationship Id="rId14" Type="http://schemas.openxmlformats.org/officeDocument/2006/relationships/customXml" Target="../customXml/item1.xml"/><Relationship Id="rId13" Type="http://schemas.openxmlformats.org/officeDocument/2006/relationships/theme" Target="theme/theme1.xml"/><Relationship Id="rId12" Type="http://schemas.openxmlformats.org/officeDocument/2006/relationships/footer" Target="footer5.xml"/><Relationship Id="rId11" Type="http://schemas.openxmlformats.org/officeDocument/2006/relationships/footer" Target="footer4.xml"/><Relationship Id="rId10" Type="http://schemas.openxmlformats.org/officeDocument/2006/relationships/footer" Target="footer3.xml"/><Relationship Id="rId1"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true">
          <a:gsLst>
            <a:gs pos="0">
              <a:schemeClr val="phClr">
                <a:tint val="50000"/>
                <a:satMod val="300000"/>
              </a:schemeClr>
            </a:gs>
            <a:gs pos="35000">
              <a:schemeClr val="phClr">
                <a:tint val="37000"/>
                <a:satMod val="300000"/>
              </a:schemeClr>
            </a:gs>
            <a:gs pos="100000">
              <a:schemeClr val="phClr">
                <a:tint val="15000"/>
                <a:satMod val="350000"/>
              </a:schemeClr>
            </a:gs>
          </a:gsLst>
          <a:lin ang="16200000" scaled="true"/>
        </a:gradFill>
        <a:gradFill rotWithShape="true">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false"/>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true">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true">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
    <customSectPr/>
    <customSectPr/>
  </customSectProp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Pages>109</Pages>
  <Words>7535</Words>
  <Characters>8339</Characters>
  <Lines>1808</Lines>
  <Paragraphs>1011</Paragraphs>
  <TotalTime>44</TotalTime>
  <ScaleCrop>false</ScaleCrop>
  <LinksUpToDate>false</LinksUpToDate>
  <CharactersWithSpaces>8409</CharactersWithSpaces>
  <Application>WPS Office_11.8.2.9958_F1E327BC-269C-435d-A152-05C5408002CA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2026-08-26T15:00:00Z</dcterms:created>
  <dc:creator>1026859323@qq.com</dc:creator>
  <cp:lastModifiedBy>uos</cp:lastModifiedBy>
  <dcterms:modified xsi:type="dcterms:W3CDTF">2026-09-08T09:15:24Z</dcterms:modified>
  <cp:revision>7</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TemplateDocerSaveRecord">
    <vt:lpwstr>eyJoZGlkIjoiNWM1ZTRhMDc0MzBiMTEwNjNjNjM1Y2I4Njc3Yjg4ZDAiLCJ1c2VySWQiOiI1MDExMjI5MjUifQ==</vt:lpwstr>
  </property>
  <property fmtid="{D5CDD505-2E9C-101B-9397-08002B2CF9AE}" pid="3" name="KSOProductBuildVer">
    <vt:lpwstr>2052-11.8.2.9958</vt:lpwstr>
  </property>
  <property fmtid="{D5CDD505-2E9C-101B-9397-08002B2CF9AE}" pid="4" name="ICV">
    <vt:lpwstr>E6813DFBD90842BB9A20542EB2CCC2FF_13</vt:lpwstr>
  </property>
</Properties>
</file>