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EEBD3">
      <w:pPr>
        <w:spacing w:line="560" w:lineRule="exact"/>
        <w:jc w:val="both"/>
        <w:rPr>
          <w:rFonts w:hint="eastAsia" w:ascii="Times New Roman" w:hAnsi="Times New Roman" w:eastAsia="方正小标宋_GBK"/>
          <w:sz w:val="44"/>
          <w:szCs w:val="44"/>
        </w:rPr>
      </w:pPr>
    </w:p>
    <w:p w14:paraId="0C8A4E93">
      <w:pPr>
        <w:spacing w:line="590" w:lineRule="exact"/>
        <w:jc w:val="center"/>
        <w:rPr>
          <w:rFonts w:ascii="Times New Roman" w:hAnsi="Times New Roman" w:eastAsia="方正小标宋_GBK"/>
          <w:bCs/>
          <w:kern w:val="0"/>
          <w:sz w:val="44"/>
          <w:szCs w:val="44"/>
        </w:rPr>
      </w:pPr>
      <w:r>
        <w:rPr>
          <w:rFonts w:ascii="Times New Roman" w:hAnsi="Times New Roman" w:eastAsia="方正小标宋_GBK"/>
          <w:bCs/>
          <w:kern w:val="0"/>
          <w:sz w:val="44"/>
          <w:szCs w:val="44"/>
        </w:rPr>
        <w:t>江苏省监控化学品管理行政处罚</w:t>
      </w:r>
    </w:p>
    <w:p w14:paraId="2C862BA4">
      <w:pPr>
        <w:spacing w:line="590" w:lineRule="exact"/>
        <w:jc w:val="center"/>
        <w:rPr>
          <w:rFonts w:ascii="Times New Roman" w:hAnsi="Times New Roman" w:eastAsia="方正小标宋_GBK"/>
          <w:bCs/>
          <w:kern w:val="0"/>
          <w:sz w:val="44"/>
          <w:szCs w:val="44"/>
        </w:rPr>
      </w:pPr>
      <w:r>
        <w:rPr>
          <w:rFonts w:ascii="Times New Roman" w:hAnsi="Times New Roman" w:eastAsia="方正小标宋_GBK"/>
          <w:bCs/>
          <w:kern w:val="0"/>
          <w:sz w:val="44"/>
          <w:szCs w:val="44"/>
        </w:rPr>
        <w:t>裁量权适用规则</w:t>
      </w:r>
      <w:bookmarkStart w:id="0" w:name="_GoBack"/>
      <w:bookmarkEnd w:id="0"/>
    </w:p>
    <w:p w14:paraId="5396AC8E">
      <w:pPr>
        <w:spacing w:line="590" w:lineRule="exact"/>
        <w:jc w:val="center"/>
        <w:rPr>
          <w:rStyle w:val="7"/>
          <w:rFonts w:ascii="Times New Roman" w:hAnsi="Times New Roman"/>
        </w:rPr>
      </w:pPr>
    </w:p>
    <w:p w14:paraId="4FFDFD29">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b/>
          <w:bCs/>
          <w:kern w:val="0"/>
          <w:sz w:val="32"/>
          <w:szCs w:val="32"/>
        </w:rPr>
        <w:t>第一条</w:t>
      </w:r>
      <w:r>
        <w:rPr>
          <w:rFonts w:ascii="Times New Roman" w:hAnsi="Times New Roman" w:eastAsia="方正仿宋_GBK"/>
          <w:bCs/>
          <w:kern w:val="0"/>
          <w:sz w:val="32"/>
          <w:szCs w:val="32"/>
        </w:rPr>
        <w:t xml:space="preserve">  </w:t>
      </w:r>
      <w:r>
        <w:rPr>
          <w:rFonts w:ascii="Times New Roman" w:hAnsi="Times New Roman" w:eastAsia="方正仿宋_GBK"/>
          <w:kern w:val="0"/>
          <w:sz w:val="32"/>
          <w:szCs w:val="32"/>
        </w:rPr>
        <w:t>为规范我省监控化学品管理行政处罚裁量权的行使，保障公民、法人或者其他组织的合法权益，根据《中华人民共和国行政处罚法》《中华人民共和国监控化学品管理条例》《&lt;中华人民共和国监控化学品管理条例&gt;实施细则》等规定，结合工作实际，制定本规则。</w:t>
      </w:r>
    </w:p>
    <w:p w14:paraId="70086B36">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b/>
          <w:bCs/>
          <w:kern w:val="0"/>
          <w:sz w:val="32"/>
          <w:szCs w:val="32"/>
        </w:rPr>
        <w:t>第二条</w:t>
      </w:r>
      <w:r>
        <w:rPr>
          <w:rFonts w:ascii="Times New Roman" w:hAnsi="Times New Roman" w:eastAsia="方正仿宋_GBK"/>
          <w:bCs/>
          <w:kern w:val="0"/>
          <w:sz w:val="32"/>
          <w:szCs w:val="32"/>
        </w:rPr>
        <w:t xml:space="preserve">  </w:t>
      </w:r>
      <w:r>
        <w:rPr>
          <w:rFonts w:ascii="Times New Roman" w:hAnsi="Times New Roman" w:eastAsia="方正仿宋_GBK"/>
          <w:kern w:val="0"/>
          <w:sz w:val="32"/>
          <w:szCs w:val="32"/>
        </w:rPr>
        <w:t>设区的市以上工业和信息化主管部门（以下简称监控化学品管理部门）依照监控化学品管理相关法律、法规和规章实施监控化学品管理行政处罚行使裁量权时，适用本规则。法律、法规、规章对行政处罚裁量权的适用规则另有规定的，从其规定。</w:t>
      </w:r>
    </w:p>
    <w:p w14:paraId="612EABA7">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b/>
          <w:bCs/>
          <w:kern w:val="0"/>
          <w:sz w:val="32"/>
          <w:szCs w:val="32"/>
        </w:rPr>
        <w:t>第三条</w:t>
      </w:r>
      <w:r>
        <w:rPr>
          <w:rFonts w:ascii="Times New Roman" w:hAnsi="Times New Roman" w:eastAsia="方正仿宋_GBK"/>
          <w:bCs/>
          <w:kern w:val="0"/>
          <w:sz w:val="32"/>
          <w:szCs w:val="32"/>
        </w:rPr>
        <w:t xml:space="preserve">  </w:t>
      </w:r>
      <w:r>
        <w:rPr>
          <w:rFonts w:ascii="Times New Roman" w:hAnsi="Times New Roman" w:eastAsia="方正仿宋_GBK"/>
          <w:kern w:val="0"/>
          <w:sz w:val="32"/>
          <w:szCs w:val="32"/>
        </w:rPr>
        <w:t>本规则所称监控化学品管理行政处罚裁量权，是指监控化学品管理部门在法律、法规、规章规定的行政处罚权限范围内，对当事人在本省行政区域内实施的违反监控化学品管理相关规定的行为，综合考虑违法行为的事实、性质、情节、危害程度等因素，决定是否给予行政处罚以及处罚种类和幅度的权限。</w:t>
      </w:r>
    </w:p>
    <w:p w14:paraId="6FF33288">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b/>
          <w:bCs/>
          <w:kern w:val="0"/>
          <w:sz w:val="32"/>
          <w:szCs w:val="32"/>
        </w:rPr>
        <w:t>第四条</w:t>
      </w:r>
      <w:r>
        <w:rPr>
          <w:rFonts w:ascii="Times New Roman" w:hAnsi="Times New Roman" w:eastAsia="方正仿宋_GBK"/>
          <w:bCs/>
          <w:kern w:val="0"/>
          <w:sz w:val="32"/>
          <w:szCs w:val="32"/>
        </w:rPr>
        <w:t xml:space="preserve">  </w:t>
      </w:r>
      <w:r>
        <w:rPr>
          <w:rFonts w:ascii="Times New Roman" w:hAnsi="Times New Roman" w:eastAsia="方正仿宋_GBK"/>
          <w:kern w:val="0"/>
          <w:sz w:val="32"/>
          <w:szCs w:val="32"/>
        </w:rPr>
        <w:t>行使监控化学品管理行政处罚裁量权，应当遵循以下原则：</w:t>
      </w:r>
    </w:p>
    <w:p w14:paraId="15112491">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kern w:val="0"/>
          <w:sz w:val="32"/>
          <w:szCs w:val="32"/>
        </w:rPr>
        <w:t>（一）处罚法定原则，处罚主体具有法定权限，遵循法定程序，在法律、法规、规章规定的行政处罚的种类和幅度内行使；</w:t>
      </w:r>
    </w:p>
    <w:p w14:paraId="0FAA0C5D">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kern w:val="0"/>
          <w:sz w:val="32"/>
          <w:szCs w:val="32"/>
        </w:rPr>
        <w:t>（二）过罚相当原则，案件以事实为依据，与违法行为的事实、性质、情节以及社会危害程度等相当，所适用的处罚种类和幅度基本相同；</w:t>
      </w:r>
    </w:p>
    <w:p w14:paraId="45688C6A">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kern w:val="0"/>
          <w:sz w:val="32"/>
          <w:szCs w:val="32"/>
        </w:rPr>
        <w:t>（三）公正公平原则，不得以案件事实以外的因素差别对待，对违法事实、性质、情节、社会危害程度等因素相同或者相似的违法行为，所适用的处罚种类和幅度应当基本相同；</w:t>
      </w:r>
    </w:p>
    <w:p w14:paraId="49ACEADE">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kern w:val="0"/>
          <w:sz w:val="32"/>
          <w:szCs w:val="32"/>
        </w:rPr>
        <w:t>（四）处罚与教育相结合原则，纠正违法行为，教育公民、法人或者其他组织自觉守法。</w:t>
      </w:r>
    </w:p>
    <w:p w14:paraId="627AAFC7">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b/>
          <w:bCs/>
          <w:kern w:val="0"/>
          <w:sz w:val="32"/>
          <w:szCs w:val="32"/>
        </w:rPr>
        <w:t>第五条</w:t>
      </w:r>
      <w:r>
        <w:rPr>
          <w:rFonts w:ascii="Times New Roman" w:hAnsi="Times New Roman" w:eastAsia="方正仿宋_GBK"/>
          <w:bCs/>
          <w:kern w:val="0"/>
          <w:sz w:val="32"/>
          <w:szCs w:val="32"/>
        </w:rPr>
        <w:t xml:space="preserve">  </w:t>
      </w:r>
      <w:r>
        <w:rPr>
          <w:rFonts w:ascii="Times New Roman" w:hAnsi="Times New Roman" w:eastAsia="方正仿宋_GBK"/>
          <w:kern w:val="0"/>
          <w:sz w:val="32"/>
          <w:szCs w:val="32"/>
        </w:rPr>
        <w:t>行使监控化学品管理行政处罚裁量权，应当综合考虑下列因素：</w:t>
      </w:r>
    </w:p>
    <w:p w14:paraId="0F450163">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kern w:val="0"/>
          <w:sz w:val="32"/>
          <w:szCs w:val="32"/>
        </w:rPr>
        <w:t>（一）违法行为人的主观过错；</w:t>
      </w:r>
    </w:p>
    <w:p w14:paraId="5ABEFBBD">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kern w:val="0"/>
          <w:sz w:val="32"/>
          <w:szCs w:val="32"/>
        </w:rPr>
        <w:t xml:space="preserve">（二）违法行为涉及的范围； </w:t>
      </w:r>
    </w:p>
    <w:p w14:paraId="3263B556">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kern w:val="0"/>
          <w:sz w:val="32"/>
          <w:szCs w:val="32"/>
        </w:rPr>
        <w:t>（三）违法所得；</w:t>
      </w:r>
    </w:p>
    <w:p w14:paraId="5D1937A5">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kern w:val="0"/>
          <w:sz w:val="32"/>
          <w:szCs w:val="32"/>
        </w:rPr>
        <w:t>（四）违法次数；</w:t>
      </w:r>
    </w:p>
    <w:p w14:paraId="45C3C6D7">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kern w:val="0"/>
          <w:sz w:val="32"/>
          <w:szCs w:val="32"/>
        </w:rPr>
        <w:t>（五）违法行为手段；</w:t>
      </w:r>
    </w:p>
    <w:p w14:paraId="7C2C0FDB">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kern w:val="0"/>
          <w:sz w:val="32"/>
          <w:szCs w:val="32"/>
        </w:rPr>
        <w:t>（六）违法行为的危害后果、社会影响程度；</w:t>
      </w:r>
    </w:p>
    <w:p w14:paraId="03B6202B">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kern w:val="0"/>
          <w:sz w:val="32"/>
          <w:szCs w:val="32"/>
        </w:rPr>
        <w:t>（七）其他依法应当予以考虑的因素。</w:t>
      </w:r>
    </w:p>
    <w:p w14:paraId="124BFBF9">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b/>
          <w:bCs/>
          <w:kern w:val="0"/>
          <w:sz w:val="32"/>
          <w:szCs w:val="32"/>
        </w:rPr>
        <w:t>第六条</w:t>
      </w:r>
      <w:r>
        <w:rPr>
          <w:rFonts w:ascii="Times New Roman" w:hAnsi="Times New Roman" w:eastAsia="方正仿宋_GBK"/>
          <w:bCs/>
          <w:kern w:val="0"/>
          <w:sz w:val="32"/>
          <w:szCs w:val="32"/>
        </w:rPr>
        <w:t xml:space="preserve">  </w:t>
      </w:r>
      <w:r>
        <w:rPr>
          <w:rFonts w:ascii="Times New Roman" w:hAnsi="Times New Roman" w:eastAsia="方正仿宋_GBK"/>
          <w:kern w:val="0"/>
          <w:sz w:val="32"/>
          <w:szCs w:val="32"/>
        </w:rPr>
        <w:t>行使行政处罚裁量权，应当对可能影响裁量结果的案情作充分调查，听取和核实当事人有关陈述和申辩意见。当事人提出的事实、理由和证据成立的应当采纳，不得因当事人陈述、申辩而加重处罚。</w:t>
      </w:r>
    </w:p>
    <w:p w14:paraId="1323C749">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b/>
          <w:bCs/>
          <w:kern w:val="0"/>
          <w:sz w:val="32"/>
          <w:szCs w:val="32"/>
        </w:rPr>
        <w:t>第七条</w:t>
      </w:r>
      <w:r>
        <w:rPr>
          <w:rFonts w:ascii="Times New Roman" w:hAnsi="Times New Roman" w:eastAsia="方正仿宋_GBK"/>
          <w:bCs/>
          <w:kern w:val="0"/>
          <w:sz w:val="32"/>
          <w:szCs w:val="32"/>
        </w:rPr>
        <w:t xml:space="preserve">  </w:t>
      </w:r>
      <w:r>
        <w:rPr>
          <w:rFonts w:ascii="Times New Roman" w:hAnsi="Times New Roman" w:eastAsia="方正仿宋_GBK"/>
          <w:kern w:val="0"/>
          <w:sz w:val="32"/>
          <w:szCs w:val="32"/>
        </w:rPr>
        <w:t>行政处罚案件的集体讨论情况记录、案件调查报告、行政处罚听证告知书、行政处罚决定书应当载明行使裁量权的理由和依据。</w:t>
      </w:r>
    </w:p>
    <w:p w14:paraId="06C7A240">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b/>
          <w:bCs/>
          <w:kern w:val="0"/>
          <w:sz w:val="32"/>
          <w:szCs w:val="32"/>
        </w:rPr>
        <w:t>第八条</w:t>
      </w:r>
      <w:r>
        <w:rPr>
          <w:rFonts w:ascii="Times New Roman" w:hAnsi="Times New Roman" w:eastAsia="方正仿宋_GBK"/>
          <w:bCs/>
          <w:kern w:val="0"/>
          <w:sz w:val="32"/>
          <w:szCs w:val="32"/>
        </w:rPr>
        <w:t xml:space="preserve">  决定减轻、从轻、从重行政处罚的，应当在作出行政处罚决定时，载明行使裁量权的事实、理由和依据</w:t>
      </w:r>
      <w:r>
        <w:rPr>
          <w:rFonts w:ascii="Times New Roman" w:hAnsi="Times New Roman" w:eastAsia="方正仿宋_GBK"/>
          <w:kern w:val="0"/>
          <w:sz w:val="32"/>
          <w:szCs w:val="32"/>
        </w:rPr>
        <w:t>。</w:t>
      </w:r>
    </w:p>
    <w:p w14:paraId="011FEB27">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b/>
          <w:bCs/>
          <w:kern w:val="0"/>
          <w:sz w:val="32"/>
          <w:szCs w:val="32"/>
        </w:rPr>
        <w:t>第九条</w:t>
      </w:r>
      <w:r>
        <w:rPr>
          <w:rFonts w:ascii="Times New Roman" w:hAnsi="Times New Roman" w:eastAsia="方正仿宋_GBK"/>
          <w:bCs/>
          <w:kern w:val="0"/>
          <w:sz w:val="32"/>
          <w:szCs w:val="32"/>
        </w:rPr>
        <w:t xml:space="preserve">  </w:t>
      </w:r>
      <w:r>
        <w:rPr>
          <w:rFonts w:ascii="Times New Roman" w:hAnsi="Times New Roman" w:eastAsia="方正仿宋_GBK"/>
          <w:kern w:val="0"/>
          <w:sz w:val="32"/>
          <w:szCs w:val="32"/>
        </w:rPr>
        <w:t>监控化学品管理部门应当建立健全行政执法责任制、行政执法公示制度、行政执法全过程记录制度、重大行政执法决定法制审核制度等工作制度，严格规范行政处罚裁量权的行使和监督。</w:t>
      </w:r>
    </w:p>
    <w:p w14:paraId="2343486D">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b/>
          <w:bCs/>
          <w:kern w:val="0"/>
          <w:sz w:val="32"/>
          <w:szCs w:val="32"/>
        </w:rPr>
        <w:t>第十条</w:t>
      </w:r>
      <w:r>
        <w:rPr>
          <w:rFonts w:ascii="Times New Roman" w:hAnsi="Times New Roman" w:eastAsia="方正仿宋_GBK"/>
          <w:bCs/>
          <w:kern w:val="0"/>
          <w:sz w:val="32"/>
          <w:szCs w:val="32"/>
        </w:rPr>
        <w:t xml:space="preserve">  </w:t>
      </w:r>
      <w:r>
        <w:rPr>
          <w:rFonts w:ascii="Times New Roman" w:hAnsi="Times New Roman" w:eastAsia="方正仿宋_GBK"/>
          <w:kern w:val="0"/>
          <w:sz w:val="32"/>
          <w:szCs w:val="32"/>
        </w:rPr>
        <w:t>附件《江苏省监控化学品管理行政处罚裁量权基准表》与本规则配套使用，实施时间和有效期与本规则一致；除特别说明外，处罚违法情节及处罚裁量标准中的“以下”包含本数，“以上”不包含本数。</w:t>
      </w:r>
    </w:p>
    <w:p w14:paraId="7BC93748">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b/>
          <w:bCs/>
          <w:kern w:val="0"/>
          <w:sz w:val="32"/>
          <w:szCs w:val="32"/>
        </w:rPr>
        <w:t xml:space="preserve">第十一条  </w:t>
      </w:r>
      <w:r>
        <w:rPr>
          <w:rFonts w:ascii="Times New Roman" w:hAnsi="Times New Roman" w:eastAsia="方正仿宋_GBK"/>
          <w:kern w:val="0"/>
          <w:sz w:val="32"/>
          <w:szCs w:val="32"/>
        </w:rPr>
        <w:t>本规则由江苏省工业和信息化厅负责解释。</w:t>
      </w:r>
    </w:p>
    <w:p w14:paraId="7F3775FC">
      <w:pPr>
        <w:spacing w:line="590" w:lineRule="exact"/>
        <w:ind w:firstLine="624" w:firstLineChars="200"/>
        <w:jc w:val="left"/>
        <w:rPr>
          <w:rFonts w:ascii="Times New Roman" w:hAnsi="Times New Roman" w:eastAsia="方正仿宋_GBK"/>
          <w:kern w:val="0"/>
          <w:sz w:val="32"/>
          <w:szCs w:val="32"/>
        </w:rPr>
      </w:pPr>
      <w:r>
        <w:rPr>
          <w:rFonts w:ascii="Times New Roman" w:hAnsi="Times New Roman" w:eastAsia="方正仿宋_GBK"/>
          <w:b/>
          <w:bCs/>
          <w:kern w:val="0"/>
          <w:sz w:val="32"/>
          <w:szCs w:val="32"/>
        </w:rPr>
        <w:t>第十二条</w:t>
      </w:r>
      <w:r>
        <w:rPr>
          <w:rFonts w:ascii="Times New Roman" w:hAnsi="Times New Roman" w:eastAsia="方正仿宋_GBK"/>
          <w:bCs/>
          <w:kern w:val="0"/>
          <w:sz w:val="32"/>
          <w:szCs w:val="32"/>
        </w:rPr>
        <w:t xml:space="preserve">  </w:t>
      </w:r>
      <w:r>
        <w:rPr>
          <w:rFonts w:ascii="Times New Roman" w:hAnsi="Times New Roman" w:eastAsia="方正仿宋_GBK"/>
          <w:kern w:val="0"/>
          <w:sz w:val="32"/>
          <w:szCs w:val="32"/>
        </w:rPr>
        <w:t>本规则自202</w:t>
      </w:r>
      <w:r>
        <w:rPr>
          <w:rFonts w:hint="eastAsia" w:ascii="Times New Roman" w:hAnsi="Times New Roman" w:eastAsia="方正仿宋_GBK"/>
          <w:kern w:val="0"/>
          <w:sz w:val="32"/>
          <w:szCs w:val="32"/>
          <w:lang w:val="en-US" w:eastAsia="zh-CN"/>
        </w:rPr>
        <w:t>6</w:t>
      </w:r>
      <w:r>
        <w:rPr>
          <w:rFonts w:ascii="Times New Roman" w:hAnsi="Times New Roman" w:eastAsia="方正仿宋_GBK"/>
          <w:kern w:val="0"/>
          <w:sz w:val="32"/>
          <w:szCs w:val="32"/>
        </w:rPr>
        <w:t>年X月X日起施行，有效期</w:t>
      </w:r>
      <w:r>
        <w:rPr>
          <w:rFonts w:hint="eastAsia" w:ascii="Times New Roman" w:hAnsi="Times New Roman" w:eastAsia="方正仿宋_GBK"/>
          <w:kern w:val="0"/>
          <w:sz w:val="32"/>
          <w:szCs w:val="32"/>
          <w:lang w:eastAsia="zh-CN"/>
        </w:rPr>
        <w:t>至</w:t>
      </w:r>
      <w:r>
        <w:rPr>
          <w:rFonts w:hint="eastAsia" w:ascii="Times New Roman" w:hAnsi="Times New Roman" w:eastAsia="方正仿宋_GBK"/>
          <w:kern w:val="0"/>
          <w:sz w:val="32"/>
          <w:szCs w:val="32"/>
          <w:lang w:val="en-US" w:eastAsia="zh-CN"/>
        </w:rPr>
        <w:t>X</w:t>
      </w:r>
      <w:r>
        <w:rPr>
          <w:rFonts w:ascii="Times New Roman" w:hAnsi="Times New Roman" w:eastAsia="方正仿宋_GBK"/>
          <w:kern w:val="0"/>
          <w:sz w:val="32"/>
          <w:szCs w:val="32"/>
        </w:rPr>
        <w:t>年</w:t>
      </w:r>
      <w:r>
        <w:rPr>
          <w:rFonts w:hint="eastAsia" w:ascii="Times New Roman" w:hAnsi="Times New Roman" w:eastAsia="方正仿宋_GBK"/>
          <w:kern w:val="0"/>
          <w:sz w:val="32"/>
          <w:szCs w:val="32"/>
          <w:lang w:val="en-US" w:eastAsia="zh-CN"/>
        </w:rPr>
        <w:t>X月X日</w:t>
      </w:r>
      <w:r>
        <w:rPr>
          <w:rFonts w:ascii="Times New Roman" w:hAnsi="Times New Roman" w:eastAsia="方正仿宋_GBK"/>
          <w:kern w:val="0"/>
          <w:sz w:val="32"/>
          <w:szCs w:val="32"/>
        </w:rPr>
        <w:t>。</w:t>
      </w:r>
    </w:p>
    <w:p w14:paraId="1D3918D7">
      <w:pPr>
        <w:spacing w:line="590" w:lineRule="exact"/>
        <w:ind w:firstLine="624" w:firstLineChars="200"/>
        <w:jc w:val="left"/>
        <w:rPr>
          <w:rFonts w:ascii="Times New Roman" w:hAnsi="Times New Roman" w:eastAsia="方正仿宋_GBK"/>
          <w:kern w:val="0"/>
          <w:sz w:val="32"/>
          <w:szCs w:val="32"/>
        </w:rPr>
      </w:pPr>
    </w:p>
    <w:p w14:paraId="179300B7">
      <w:pPr>
        <w:spacing w:line="590" w:lineRule="exact"/>
        <w:ind w:firstLine="624" w:firstLineChars="200"/>
        <w:jc w:val="left"/>
        <w:rPr>
          <w:rFonts w:ascii="Times New Roman" w:hAnsi="Times New Roman" w:eastAsia="方正仿宋_GBK"/>
          <w:sz w:val="32"/>
          <w:szCs w:val="32"/>
        </w:rPr>
      </w:pPr>
      <w:r>
        <w:rPr>
          <w:rFonts w:ascii="Times New Roman" w:hAnsi="Times New Roman" w:eastAsia="方正仿宋_GBK"/>
          <w:kern w:val="0"/>
          <w:sz w:val="32"/>
          <w:szCs w:val="32"/>
        </w:rPr>
        <w:t>附件：江苏省监控化学品管理行政处罚裁量权基准表</w:t>
      </w:r>
    </w:p>
    <w:p w14:paraId="22172136">
      <w:pPr>
        <w:sectPr>
          <w:headerReference r:id="rId3" w:type="default"/>
          <w:footerReference r:id="rId4" w:type="default"/>
          <w:pgSz w:w="11906" w:h="16838"/>
          <w:pgMar w:top="1814" w:right="1531" w:bottom="1985" w:left="1531" w:header="851" w:footer="992" w:gutter="0"/>
          <w:pgNumType w:fmt="numberInDash"/>
          <w:cols w:space="720" w:num="1"/>
          <w:docGrid w:type="linesAndChars" w:linePitch="579" w:charSpace="-1839"/>
        </w:sectPr>
      </w:pPr>
    </w:p>
    <w:p w14:paraId="47A12524">
      <w:pPr>
        <w:spacing w:line="590" w:lineRule="exact"/>
        <w:jc w:val="left"/>
        <w:rPr>
          <w:rFonts w:ascii="Times New Roman" w:hAnsi="Times New Roman" w:eastAsia="方正黑体_GBK"/>
          <w:szCs w:val="32"/>
        </w:rPr>
      </w:pPr>
      <w:r>
        <w:rPr>
          <w:rFonts w:ascii="Times New Roman" w:hAnsi="Times New Roman" w:eastAsia="方正黑体_GBK"/>
          <w:szCs w:val="32"/>
        </w:rPr>
        <w:t>附件</w:t>
      </w:r>
    </w:p>
    <w:p w14:paraId="5E2EF4A5">
      <w:pPr>
        <w:spacing w:before="240" w:after="240" w:line="590" w:lineRule="exact"/>
        <w:jc w:val="center"/>
        <w:rPr>
          <w:rFonts w:ascii="Times New Roman" w:hAnsi="Times New Roman" w:eastAsia="方正小标宋_GBK"/>
          <w:szCs w:val="32"/>
        </w:rPr>
      </w:pPr>
      <w:r>
        <w:rPr>
          <w:rFonts w:ascii="Times New Roman" w:hAnsi="Times New Roman" w:eastAsia="方正小标宋_GBK"/>
          <w:szCs w:val="32"/>
        </w:rPr>
        <w:t>江苏省监控化学品管理行政处罚裁量权基准表</w:t>
      </w:r>
    </w:p>
    <w:tbl>
      <w:tblPr>
        <w:tblStyle w:val="5"/>
        <w:tblW w:w="14844" w:type="dxa"/>
        <w:jc w:val="center"/>
        <w:tblLayout w:type="autofit"/>
        <w:tblCellMar>
          <w:top w:w="0" w:type="dxa"/>
          <w:left w:w="108" w:type="dxa"/>
          <w:bottom w:w="0" w:type="dxa"/>
          <w:right w:w="108" w:type="dxa"/>
        </w:tblCellMar>
      </w:tblPr>
      <w:tblGrid>
        <w:gridCol w:w="640"/>
        <w:gridCol w:w="1221"/>
        <w:gridCol w:w="5103"/>
        <w:gridCol w:w="4986"/>
        <w:gridCol w:w="2894"/>
      </w:tblGrid>
      <w:tr w14:paraId="21A92C9C">
        <w:tblPrEx>
          <w:tblCellMar>
            <w:top w:w="0" w:type="dxa"/>
            <w:left w:w="108" w:type="dxa"/>
            <w:bottom w:w="0" w:type="dxa"/>
            <w:right w:w="108" w:type="dxa"/>
          </w:tblCellMar>
        </w:tblPrEx>
        <w:trPr>
          <w:trHeight w:val="300" w:hRule="atLeast"/>
          <w:tblHeader/>
          <w:jc w:val="center"/>
        </w:trPr>
        <w:tc>
          <w:tcPr>
            <w:tcW w:w="64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062204">
            <w:pPr>
              <w:widowControl/>
              <w:spacing w:line="240" w:lineRule="exact"/>
              <w:jc w:val="center"/>
              <w:rPr>
                <w:rFonts w:ascii="Times New Roman" w:hAnsi="Times New Roman" w:eastAsia="宋体"/>
                <w:color w:val="000000"/>
                <w:kern w:val="0"/>
                <w:sz w:val="21"/>
                <w:szCs w:val="21"/>
              </w:rPr>
            </w:pPr>
            <w:r>
              <w:rPr>
                <w:rFonts w:ascii="Times New Roman" w:hAnsi="Times New Roman" w:eastAsia="方正黑体_GBK"/>
                <w:color w:val="000000"/>
                <w:kern w:val="0"/>
                <w:sz w:val="21"/>
                <w:szCs w:val="21"/>
              </w:rPr>
              <w:t>序号</w:t>
            </w:r>
          </w:p>
        </w:tc>
        <w:tc>
          <w:tcPr>
            <w:tcW w:w="1221" w:type="dxa"/>
            <w:tcBorders>
              <w:top w:val="single" w:color="auto" w:sz="4" w:space="0"/>
              <w:left w:val="nil"/>
              <w:bottom w:val="single" w:color="auto" w:sz="4" w:space="0"/>
              <w:right w:val="single" w:color="auto" w:sz="4" w:space="0"/>
            </w:tcBorders>
            <w:shd w:val="clear" w:color="auto" w:fill="auto"/>
            <w:noWrap w:val="0"/>
            <w:vAlign w:val="center"/>
          </w:tcPr>
          <w:p w14:paraId="14B13512">
            <w:pPr>
              <w:widowControl/>
              <w:spacing w:line="240" w:lineRule="exact"/>
              <w:jc w:val="center"/>
              <w:rPr>
                <w:rFonts w:ascii="Times New Roman" w:hAnsi="Times New Roman" w:eastAsia="方正黑体_GBK"/>
                <w:color w:val="000000"/>
                <w:kern w:val="0"/>
                <w:sz w:val="21"/>
                <w:szCs w:val="21"/>
              </w:rPr>
            </w:pPr>
            <w:r>
              <w:rPr>
                <w:rFonts w:ascii="Times New Roman" w:hAnsi="Times New Roman" w:eastAsia="方正黑体_GBK"/>
                <w:color w:val="000000"/>
                <w:kern w:val="0"/>
                <w:sz w:val="21"/>
                <w:szCs w:val="21"/>
              </w:rPr>
              <w:t>违法</w:t>
            </w:r>
          </w:p>
          <w:p w14:paraId="2298B825">
            <w:pPr>
              <w:widowControl/>
              <w:spacing w:line="240" w:lineRule="exact"/>
              <w:jc w:val="center"/>
              <w:rPr>
                <w:rFonts w:ascii="Times New Roman" w:hAnsi="Times New Roman" w:eastAsia="宋体"/>
                <w:color w:val="000000"/>
                <w:kern w:val="0"/>
                <w:sz w:val="21"/>
                <w:szCs w:val="21"/>
              </w:rPr>
            </w:pPr>
            <w:r>
              <w:rPr>
                <w:rFonts w:ascii="Times New Roman" w:hAnsi="Times New Roman" w:eastAsia="方正黑体_GBK"/>
                <w:color w:val="000000"/>
                <w:kern w:val="0"/>
                <w:sz w:val="21"/>
                <w:szCs w:val="21"/>
              </w:rPr>
              <w:t>行为</w:t>
            </w:r>
          </w:p>
        </w:tc>
        <w:tc>
          <w:tcPr>
            <w:tcW w:w="5103" w:type="dxa"/>
            <w:tcBorders>
              <w:top w:val="single" w:color="auto" w:sz="4" w:space="0"/>
              <w:left w:val="nil"/>
              <w:bottom w:val="single" w:color="auto" w:sz="4" w:space="0"/>
              <w:right w:val="single" w:color="auto" w:sz="4" w:space="0"/>
            </w:tcBorders>
            <w:shd w:val="clear" w:color="auto" w:fill="auto"/>
            <w:noWrap w:val="0"/>
            <w:vAlign w:val="center"/>
          </w:tcPr>
          <w:p w14:paraId="5825219B">
            <w:pPr>
              <w:widowControl/>
              <w:spacing w:line="240" w:lineRule="exact"/>
              <w:jc w:val="center"/>
              <w:rPr>
                <w:rFonts w:ascii="Times New Roman" w:hAnsi="Times New Roman" w:eastAsia="宋体"/>
                <w:color w:val="000000"/>
                <w:kern w:val="0"/>
                <w:sz w:val="21"/>
                <w:szCs w:val="21"/>
              </w:rPr>
            </w:pPr>
            <w:r>
              <w:rPr>
                <w:rFonts w:ascii="Times New Roman" w:hAnsi="Times New Roman" w:eastAsia="方正黑体_GBK"/>
                <w:color w:val="000000"/>
                <w:kern w:val="0"/>
                <w:sz w:val="21"/>
                <w:szCs w:val="21"/>
              </w:rPr>
              <w:t>处罚依据</w:t>
            </w:r>
          </w:p>
        </w:tc>
        <w:tc>
          <w:tcPr>
            <w:tcW w:w="4986" w:type="dxa"/>
            <w:tcBorders>
              <w:top w:val="single" w:color="auto" w:sz="4" w:space="0"/>
              <w:left w:val="nil"/>
              <w:bottom w:val="single" w:color="auto" w:sz="4" w:space="0"/>
              <w:right w:val="single" w:color="auto" w:sz="4" w:space="0"/>
            </w:tcBorders>
            <w:shd w:val="clear" w:color="auto" w:fill="auto"/>
            <w:noWrap w:val="0"/>
            <w:vAlign w:val="center"/>
          </w:tcPr>
          <w:p w14:paraId="66F12343">
            <w:pPr>
              <w:widowControl/>
              <w:spacing w:line="240" w:lineRule="exact"/>
              <w:jc w:val="center"/>
              <w:rPr>
                <w:rFonts w:ascii="Times New Roman" w:hAnsi="Times New Roman" w:eastAsia="宋体"/>
                <w:color w:val="000000"/>
                <w:kern w:val="0"/>
                <w:sz w:val="21"/>
                <w:szCs w:val="21"/>
              </w:rPr>
            </w:pPr>
            <w:r>
              <w:rPr>
                <w:rFonts w:ascii="Times New Roman" w:hAnsi="Times New Roman" w:eastAsia="方正黑体_GBK"/>
                <w:color w:val="000000"/>
                <w:kern w:val="0"/>
                <w:sz w:val="21"/>
                <w:szCs w:val="21"/>
              </w:rPr>
              <w:t>违法行为情形</w:t>
            </w:r>
          </w:p>
        </w:tc>
        <w:tc>
          <w:tcPr>
            <w:tcW w:w="2894" w:type="dxa"/>
            <w:tcBorders>
              <w:top w:val="single" w:color="auto" w:sz="4" w:space="0"/>
              <w:left w:val="nil"/>
              <w:bottom w:val="single" w:color="auto" w:sz="4" w:space="0"/>
              <w:right w:val="single" w:color="auto" w:sz="4" w:space="0"/>
            </w:tcBorders>
            <w:shd w:val="clear" w:color="auto" w:fill="auto"/>
            <w:noWrap w:val="0"/>
            <w:vAlign w:val="center"/>
          </w:tcPr>
          <w:p w14:paraId="64CBC91B">
            <w:pPr>
              <w:widowControl/>
              <w:spacing w:line="240" w:lineRule="exact"/>
              <w:jc w:val="center"/>
              <w:rPr>
                <w:rFonts w:ascii="Times New Roman" w:hAnsi="Times New Roman" w:eastAsia="宋体"/>
                <w:color w:val="000000"/>
                <w:kern w:val="0"/>
                <w:sz w:val="21"/>
                <w:szCs w:val="21"/>
              </w:rPr>
            </w:pPr>
            <w:r>
              <w:rPr>
                <w:rFonts w:ascii="Times New Roman" w:hAnsi="Times New Roman" w:eastAsia="方正黑体_GBK"/>
                <w:color w:val="000000"/>
                <w:kern w:val="0"/>
                <w:sz w:val="21"/>
                <w:szCs w:val="21"/>
              </w:rPr>
              <w:t>裁量基准</w:t>
            </w:r>
          </w:p>
        </w:tc>
      </w:tr>
      <w:tr w14:paraId="68A4DA9D">
        <w:tblPrEx>
          <w:tblCellMar>
            <w:top w:w="0" w:type="dxa"/>
            <w:left w:w="108" w:type="dxa"/>
            <w:bottom w:w="0" w:type="dxa"/>
            <w:right w:w="108" w:type="dxa"/>
          </w:tblCellMar>
        </w:tblPrEx>
        <w:trPr>
          <w:trHeight w:val="310" w:hRule="atLeast"/>
          <w:jc w:val="center"/>
        </w:trPr>
        <w:tc>
          <w:tcPr>
            <w:tcW w:w="640" w:type="dxa"/>
            <w:vMerge w:val="restart"/>
            <w:tcBorders>
              <w:top w:val="nil"/>
              <w:left w:val="single" w:color="auto" w:sz="4" w:space="0"/>
              <w:bottom w:val="single" w:color="auto" w:sz="4" w:space="0"/>
              <w:right w:val="single" w:color="auto" w:sz="4" w:space="0"/>
            </w:tcBorders>
            <w:shd w:val="clear" w:color="auto" w:fill="auto"/>
            <w:noWrap w:val="0"/>
            <w:vAlign w:val="center"/>
          </w:tcPr>
          <w:p w14:paraId="4F9B29DC">
            <w:pPr>
              <w:widowControl/>
              <w:spacing w:line="2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1</w:t>
            </w:r>
          </w:p>
        </w:tc>
        <w:tc>
          <w:tcPr>
            <w:tcW w:w="1221" w:type="dxa"/>
            <w:vMerge w:val="restart"/>
            <w:tcBorders>
              <w:top w:val="nil"/>
              <w:left w:val="single" w:color="auto" w:sz="4" w:space="0"/>
              <w:bottom w:val="single" w:color="auto" w:sz="4" w:space="0"/>
              <w:right w:val="single" w:color="auto" w:sz="4" w:space="0"/>
            </w:tcBorders>
            <w:shd w:val="clear" w:color="auto" w:fill="auto"/>
            <w:noWrap w:val="0"/>
            <w:vAlign w:val="center"/>
          </w:tcPr>
          <w:p w14:paraId="7AA0B357">
            <w:pPr>
              <w:widowControl/>
              <w:spacing w:line="240" w:lineRule="exact"/>
              <w:jc w:val="center"/>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违法生产监控化学品的</w:t>
            </w:r>
          </w:p>
        </w:tc>
        <w:tc>
          <w:tcPr>
            <w:tcW w:w="5103" w:type="dxa"/>
            <w:vMerge w:val="restart"/>
            <w:tcBorders>
              <w:top w:val="nil"/>
              <w:left w:val="single" w:color="auto" w:sz="4" w:space="0"/>
              <w:bottom w:val="single" w:color="auto" w:sz="4" w:space="0"/>
              <w:right w:val="single" w:color="auto" w:sz="4" w:space="0"/>
            </w:tcBorders>
            <w:shd w:val="clear" w:color="auto" w:fill="auto"/>
            <w:noWrap w:val="0"/>
            <w:vAlign w:val="center"/>
          </w:tcPr>
          <w:p w14:paraId="6FF25867">
            <w:pPr>
              <w:widowControl/>
              <w:spacing w:line="240" w:lineRule="exact"/>
              <w:jc w:val="left"/>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【行政法规】《中华人民共和国监控化学品管理条例》第二十一条：</w:t>
            </w:r>
            <w:r>
              <w:rPr>
                <w:rFonts w:ascii="Times New Roman" w:hAnsi="Times New Roman" w:eastAsia="宋体"/>
                <w:color w:val="000000"/>
                <w:kern w:val="0"/>
                <w:sz w:val="21"/>
                <w:szCs w:val="21"/>
              </w:rPr>
              <w:t>“</w:t>
            </w:r>
            <w:r>
              <w:rPr>
                <w:rFonts w:ascii="Times New Roman" w:hAnsi="Times New Roman" w:eastAsia="方正仿宋_GBK"/>
                <w:color w:val="000000"/>
                <w:kern w:val="0"/>
                <w:sz w:val="21"/>
                <w:szCs w:val="21"/>
              </w:rPr>
              <w:t>违反本条例规定，生产监控化学品的，由省、自治区、直辖市人民政府化学工业主管部门责令限期改正；逾期不改正的，可以处</w:t>
            </w:r>
            <w:r>
              <w:rPr>
                <w:rFonts w:ascii="Times New Roman" w:hAnsi="Times New Roman" w:eastAsia="宋体"/>
                <w:color w:val="000000"/>
                <w:kern w:val="0"/>
                <w:sz w:val="21"/>
                <w:szCs w:val="21"/>
              </w:rPr>
              <w:t>20</w:t>
            </w:r>
            <w:r>
              <w:rPr>
                <w:rFonts w:ascii="Times New Roman" w:hAnsi="Times New Roman" w:eastAsia="方正仿宋_GBK"/>
                <w:color w:val="000000"/>
                <w:kern w:val="0"/>
                <w:sz w:val="21"/>
                <w:szCs w:val="21"/>
              </w:rPr>
              <w:t>万元以下的罚款；情节严重的，可以提请省、自治区、直辖市人民政府责令停产整顿。</w:t>
            </w:r>
            <w:r>
              <w:rPr>
                <w:rFonts w:ascii="Times New Roman" w:hAnsi="Times New Roman" w:eastAsia="宋体"/>
                <w:color w:val="000000"/>
                <w:kern w:val="0"/>
                <w:sz w:val="21"/>
                <w:szCs w:val="21"/>
              </w:rPr>
              <w:t>”</w:t>
            </w:r>
            <w:r>
              <w:rPr>
                <w:rFonts w:ascii="Times New Roman" w:hAnsi="Times New Roman" w:eastAsia="宋体"/>
                <w:color w:val="000000"/>
                <w:kern w:val="0"/>
                <w:sz w:val="21"/>
                <w:szCs w:val="21"/>
              </w:rPr>
              <w:br w:type="textWrapping"/>
            </w:r>
          </w:p>
          <w:p w14:paraId="4BD511FE">
            <w:pPr>
              <w:widowControl/>
              <w:spacing w:line="240" w:lineRule="exact"/>
              <w:jc w:val="left"/>
              <w:rPr>
                <w:rFonts w:hint="eastAsia"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【部门规章】《</w:t>
            </w:r>
            <w:r>
              <w:rPr>
                <w:rFonts w:ascii="Times New Roman" w:hAnsi="Times New Roman" w:eastAsia="宋体"/>
                <w:color w:val="000000"/>
                <w:kern w:val="0"/>
                <w:sz w:val="21"/>
                <w:szCs w:val="21"/>
              </w:rPr>
              <w:t>&lt;</w:t>
            </w:r>
            <w:r>
              <w:rPr>
                <w:rFonts w:ascii="Times New Roman" w:hAnsi="Times New Roman" w:eastAsia="方正仿宋_GBK"/>
                <w:color w:val="000000"/>
                <w:kern w:val="0"/>
                <w:sz w:val="21"/>
                <w:szCs w:val="21"/>
              </w:rPr>
              <w:t>中华人民共和国监控化学品管理条例</w:t>
            </w:r>
            <w:r>
              <w:rPr>
                <w:rFonts w:ascii="Times New Roman" w:hAnsi="Times New Roman" w:eastAsia="宋体"/>
                <w:color w:val="000000"/>
                <w:kern w:val="0"/>
                <w:sz w:val="21"/>
                <w:szCs w:val="21"/>
              </w:rPr>
              <w:t>&gt;</w:t>
            </w:r>
            <w:r>
              <w:rPr>
                <w:rFonts w:ascii="Times New Roman" w:hAnsi="Times New Roman" w:eastAsia="方正仿宋_GBK"/>
                <w:color w:val="000000"/>
                <w:kern w:val="0"/>
                <w:sz w:val="21"/>
                <w:szCs w:val="21"/>
              </w:rPr>
              <w:t>实施细则》第五条</w:t>
            </w:r>
            <w:r>
              <w:rPr>
                <w:rFonts w:hint="eastAsia" w:ascii="Times New Roman" w:hAnsi="Times New Roman" w:eastAsia="方正仿宋_GBK"/>
                <w:color w:val="000000"/>
                <w:kern w:val="0"/>
                <w:sz w:val="21"/>
                <w:szCs w:val="21"/>
              </w:rPr>
              <w:t>：“国家严格控制第一类监控化学品的生产。</w:t>
            </w:r>
          </w:p>
          <w:p w14:paraId="3AAE019D">
            <w:pPr>
              <w:widowControl/>
              <w:spacing w:line="240" w:lineRule="exact"/>
              <w:jc w:val="left"/>
              <w:rPr>
                <w:rFonts w:hint="eastAsia"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为科研、医疗、制造药物或者防护目的需要生产第一类监控化学品的，应当报工业和信息化部批准，并在工业和信息化部指定的小型设施中生产。</w:t>
            </w:r>
          </w:p>
          <w:p w14:paraId="3C3CE360">
            <w:pPr>
              <w:widowControl/>
              <w:spacing w:line="240" w:lineRule="exact"/>
              <w:jc w:val="left"/>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严禁在未经工业和信息化部指定的设施中生产第一类监控化学品。”</w:t>
            </w:r>
          </w:p>
          <w:p w14:paraId="613D13D6">
            <w:pPr>
              <w:widowControl/>
              <w:spacing w:line="240" w:lineRule="exact"/>
              <w:jc w:val="left"/>
              <w:rPr>
                <w:rFonts w:hint="eastAsia"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第九条</w:t>
            </w:r>
            <w:r>
              <w:rPr>
                <w:rFonts w:hint="eastAsia" w:ascii="Times New Roman" w:hAnsi="Times New Roman" w:eastAsia="方正仿宋_GBK"/>
                <w:color w:val="000000"/>
                <w:kern w:val="0"/>
                <w:sz w:val="21"/>
                <w:szCs w:val="21"/>
              </w:rPr>
              <w:t>：“国家对第二类、第三类监控化学品和第四类监控化学品中含磷、硫、氟的特定有机化学品的生产，实行特别许可制度。”</w:t>
            </w:r>
          </w:p>
          <w:p w14:paraId="55AE60DF">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第四十六条：</w:t>
            </w:r>
            <w:r>
              <w:rPr>
                <w:rFonts w:ascii="Times New Roman" w:hAnsi="Times New Roman" w:eastAsia="宋体"/>
                <w:color w:val="000000"/>
                <w:kern w:val="0"/>
                <w:sz w:val="21"/>
                <w:szCs w:val="21"/>
              </w:rPr>
              <w:t>“</w:t>
            </w:r>
            <w:r>
              <w:rPr>
                <w:rFonts w:ascii="Times New Roman" w:hAnsi="Times New Roman" w:eastAsia="方正仿宋_GBK"/>
                <w:color w:val="000000"/>
                <w:kern w:val="0"/>
                <w:sz w:val="21"/>
                <w:szCs w:val="21"/>
              </w:rPr>
              <w:t>违反本细则第五条、第九条的规定，未经批准，生产第一类、第二类、第三类监控化学品或者第四类监控化学品中含磷、硫、氟的特定有机化学品的，按照《中华人民共和国监控化学品管理条例》第二十一条的规定处罚。</w:t>
            </w:r>
            <w:r>
              <w:rPr>
                <w:rFonts w:ascii="Times New Roman" w:hAnsi="Times New Roman" w:eastAsia="宋体"/>
                <w:color w:val="000000"/>
                <w:kern w:val="0"/>
                <w:sz w:val="21"/>
                <w:szCs w:val="21"/>
              </w:rPr>
              <w:t>”</w:t>
            </w:r>
          </w:p>
          <w:p w14:paraId="3878BF2A">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第四十九条：</w:t>
            </w:r>
            <w:r>
              <w:rPr>
                <w:rFonts w:ascii="Times New Roman" w:hAnsi="Times New Roman" w:eastAsia="宋体"/>
                <w:color w:val="000000"/>
                <w:kern w:val="0"/>
                <w:sz w:val="21"/>
                <w:szCs w:val="21"/>
              </w:rPr>
              <w:t>“</w:t>
            </w:r>
            <w:r>
              <w:rPr>
                <w:rFonts w:ascii="Times New Roman" w:hAnsi="Times New Roman" w:eastAsia="方正仿宋_GBK"/>
                <w:color w:val="000000"/>
                <w:kern w:val="0"/>
                <w:sz w:val="21"/>
                <w:szCs w:val="21"/>
              </w:rPr>
              <w:t>监控化学品生产特别许可证、经营许可证、使用许可证有效期届满，未办理延期手续仍继续生产、经营、使用的，按照《中华人民共和国监控化学品管理条例》第二十一条、第二十二条、第二十三条的规定处罚。</w:t>
            </w:r>
            <w:r>
              <w:rPr>
                <w:rFonts w:ascii="Times New Roman" w:hAnsi="Times New Roman" w:eastAsia="宋体"/>
                <w:color w:val="000000"/>
                <w:kern w:val="0"/>
                <w:sz w:val="21"/>
                <w:szCs w:val="21"/>
              </w:rPr>
              <w:t>”</w:t>
            </w:r>
          </w:p>
        </w:tc>
        <w:tc>
          <w:tcPr>
            <w:tcW w:w="4986" w:type="dxa"/>
            <w:tcBorders>
              <w:top w:val="single" w:color="auto" w:sz="4" w:space="0"/>
              <w:left w:val="nil"/>
              <w:bottom w:val="single" w:color="auto" w:sz="4" w:space="0"/>
              <w:right w:val="single" w:color="auto" w:sz="4" w:space="0"/>
            </w:tcBorders>
            <w:shd w:val="clear" w:color="auto" w:fill="auto"/>
            <w:noWrap w:val="0"/>
            <w:vAlign w:val="center"/>
          </w:tcPr>
          <w:p w14:paraId="27B557A2">
            <w:pPr>
              <w:widowControl/>
              <w:spacing w:line="240" w:lineRule="exact"/>
              <w:rPr>
                <w:rFonts w:hint="eastAsia" w:ascii="Times New Roman" w:hAnsi="Times New Roman" w:eastAsia="宋体"/>
                <w:color w:val="000000"/>
                <w:kern w:val="0"/>
                <w:sz w:val="21"/>
                <w:szCs w:val="21"/>
              </w:rPr>
            </w:pPr>
            <w:r>
              <w:rPr>
                <w:rFonts w:ascii="Times New Roman" w:hAnsi="Times New Roman" w:eastAsia="方正仿宋_GBK"/>
                <w:color w:val="000000"/>
                <w:kern w:val="0"/>
                <w:sz w:val="21"/>
                <w:szCs w:val="21"/>
              </w:rPr>
              <w:t>未经批准，生产第四类监控化学品中含磷、硫、氟的特定有机化学品的</w:t>
            </w:r>
          </w:p>
        </w:tc>
        <w:tc>
          <w:tcPr>
            <w:tcW w:w="2894" w:type="dxa"/>
            <w:tcBorders>
              <w:top w:val="single" w:color="auto" w:sz="4" w:space="0"/>
              <w:left w:val="nil"/>
              <w:bottom w:val="single" w:color="auto" w:sz="4" w:space="0"/>
              <w:right w:val="single" w:color="auto" w:sz="4" w:space="0"/>
            </w:tcBorders>
            <w:shd w:val="clear" w:color="auto" w:fill="auto"/>
            <w:noWrap w:val="0"/>
            <w:vAlign w:val="center"/>
          </w:tcPr>
          <w:p w14:paraId="03833B8D">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责令限期改正；逾期不改正的，处3万元以下罚款，情节严重的，可以提请省人民政府责令停产整顿</w:t>
            </w:r>
          </w:p>
        </w:tc>
      </w:tr>
      <w:tr w14:paraId="16AA6EF8">
        <w:tblPrEx>
          <w:tblCellMar>
            <w:top w:w="0" w:type="dxa"/>
            <w:left w:w="108" w:type="dxa"/>
            <w:bottom w:w="0" w:type="dxa"/>
            <w:right w:w="108" w:type="dxa"/>
          </w:tblCellMar>
        </w:tblPrEx>
        <w:trPr>
          <w:trHeight w:val="620" w:hRule="atLeast"/>
          <w:jc w:val="center"/>
        </w:trPr>
        <w:tc>
          <w:tcPr>
            <w:tcW w:w="6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363D68AF">
            <w:pPr>
              <w:widowControl/>
              <w:spacing w:line="240" w:lineRule="exact"/>
              <w:jc w:val="left"/>
              <w:rPr>
                <w:rFonts w:ascii="Times New Roman" w:hAnsi="Times New Roman" w:eastAsia="宋体"/>
                <w:color w:val="000000"/>
                <w:kern w:val="0"/>
                <w:sz w:val="21"/>
                <w:szCs w:val="21"/>
              </w:rPr>
            </w:pPr>
          </w:p>
        </w:tc>
        <w:tc>
          <w:tcPr>
            <w:tcW w:w="122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31242A75">
            <w:pPr>
              <w:widowControl/>
              <w:spacing w:line="240" w:lineRule="exact"/>
              <w:jc w:val="left"/>
              <w:rPr>
                <w:rFonts w:ascii="Times New Roman" w:hAnsi="Times New Roman" w:eastAsia="宋体"/>
                <w:color w:val="000000"/>
                <w:kern w:val="0"/>
                <w:sz w:val="21"/>
                <w:szCs w:val="21"/>
              </w:rPr>
            </w:pPr>
          </w:p>
        </w:tc>
        <w:tc>
          <w:tcPr>
            <w:tcW w:w="5103" w:type="dxa"/>
            <w:vMerge w:val="continue"/>
            <w:tcBorders>
              <w:top w:val="nil"/>
              <w:left w:val="single" w:color="auto" w:sz="4" w:space="0"/>
              <w:bottom w:val="single" w:color="auto" w:sz="4" w:space="0"/>
              <w:right w:val="single" w:color="auto" w:sz="4" w:space="0"/>
            </w:tcBorders>
            <w:shd w:val="clear" w:color="auto" w:fill="auto"/>
            <w:noWrap w:val="0"/>
            <w:vAlign w:val="center"/>
          </w:tcPr>
          <w:p w14:paraId="2D675B38">
            <w:pPr>
              <w:widowControl/>
              <w:spacing w:line="240" w:lineRule="exact"/>
              <w:jc w:val="left"/>
              <w:rPr>
                <w:rFonts w:ascii="Times New Roman" w:hAnsi="Times New Roman" w:eastAsia="宋体"/>
                <w:color w:val="000000"/>
                <w:kern w:val="0"/>
                <w:sz w:val="21"/>
                <w:szCs w:val="21"/>
              </w:rPr>
            </w:pPr>
          </w:p>
        </w:tc>
        <w:tc>
          <w:tcPr>
            <w:tcW w:w="4986" w:type="dxa"/>
            <w:tcBorders>
              <w:top w:val="nil"/>
              <w:left w:val="nil"/>
              <w:bottom w:val="single" w:color="auto" w:sz="4" w:space="0"/>
              <w:right w:val="single" w:color="auto" w:sz="4" w:space="0"/>
            </w:tcBorders>
            <w:shd w:val="clear" w:color="auto" w:fill="auto"/>
            <w:noWrap w:val="0"/>
            <w:vAlign w:val="center"/>
          </w:tcPr>
          <w:p w14:paraId="503D67F6">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未经批准，生产第三类监控化学品的，生产量未达到或未超过《禁止化学武器公约》规定的宣布阈值的</w:t>
            </w:r>
          </w:p>
        </w:tc>
        <w:tc>
          <w:tcPr>
            <w:tcW w:w="2894" w:type="dxa"/>
            <w:tcBorders>
              <w:top w:val="nil"/>
              <w:left w:val="nil"/>
              <w:bottom w:val="single" w:color="auto" w:sz="4" w:space="0"/>
              <w:right w:val="single" w:color="auto" w:sz="4" w:space="0"/>
            </w:tcBorders>
            <w:shd w:val="clear" w:color="auto" w:fill="auto"/>
            <w:noWrap w:val="0"/>
            <w:vAlign w:val="center"/>
          </w:tcPr>
          <w:p w14:paraId="4B6564FD">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责令限期改正；逾期不改正的，处</w:t>
            </w:r>
            <w:r>
              <w:rPr>
                <w:rFonts w:ascii="Times New Roman" w:hAnsi="Times New Roman" w:eastAsia="宋体"/>
                <w:color w:val="000000"/>
                <w:kern w:val="0"/>
                <w:sz w:val="21"/>
                <w:szCs w:val="21"/>
              </w:rPr>
              <w:t>3</w:t>
            </w:r>
            <w:r>
              <w:rPr>
                <w:rFonts w:ascii="Times New Roman" w:hAnsi="Times New Roman" w:eastAsia="方正仿宋_GBK"/>
                <w:color w:val="000000"/>
                <w:kern w:val="0"/>
                <w:sz w:val="21"/>
                <w:szCs w:val="21"/>
              </w:rPr>
              <w:t>万元以上</w:t>
            </w:r>
            <w:r>
              <w:rPr>
                <w:rFonts w:ascii="Times New Roman" w:hAnsi="Times New Roman" w:eastAsia="宋体"/>
                <w:color w:val="000000"/>
                <w:kern w:val="0"/>
                <w:sz w:val="21"/>
                <w:szCs w:val="21"/>
              </w:rPr>
              <w:t>5</w:t>
            </w:r>
            <w:r>
              <w:rPr>
                <w:rFonts w:ascii="Times New Roman" w:hAnsi="Times New Roman" w:eastAsia="方正仿宋_GBK"/>
                <w:color w:val="000000"/>
                <w:kern w:val="0"/>
                <w:sz w:val="21"/>
                <w:szCs w:val="21"/>
              </w:rPr>
              <w:t>万元以下罚款，情节严重的，可以提请省人民政府责令停产整顿</w:t>
            </w:r>
          </w:p>
        </w:tc>
      </w:tr>
      <w:tr w14:paraId="5D34F3FB">
        <w:tblPrEx>
          <w:tblCellMar>
            <w:top w:w="0" w:type="dxa"/>
            <w:left w:w="108" w:type="dxa"/>
            <w:bottom w:w="0" w:type="dxa"/>
            <w:right w:w="108" w:type="dxa"/>
          </w:tblCellMar>
        </w:tblPrEx>
        <w:trPr>
          <w:trHeight w:val="620" w:hRule="atLeast"/>
          <w:jc w:val="center"/>
        </w:trPr>
        <w:tc>
          <w:tcPr>
            <w:tcW w:w="6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70FEAF12">
            <w:pPr>
              <w:widowControl/>
              <w:spacing w:line="240" w:lineRule="exact"/>
              <w:jc w:val="left"/>
              <w:rPr>
                <w:rFonts w:ascii="Times New Roman" w:hAnsi="Times New Roman" w:eastAsia="宋体"/>
                <w:color w:val="000000"/>
                <w:kern w:val="0"/>
                <w:sz w:val="21"/>
                <w:szCs w:val="21"/>
              </w:rPr>
            </w:pPr>
          </w:p>
        </w:tc>
        <w:tc>
          <w:tcPr>
            <w:tcW w:w="122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012BE4D1">
            <w:pPr>
              <w:widowControl/>
              <w:spacing w:line="240" w:lineRule="exact"/>
              <w:jc w:val="left"/>
              <w:rPr>
                <w:rFonts w:ascii="Times New Roman" w:hAnsi="Times New Roman" w:eastAsia="宋体"/>
                <w:color w:val="000000"/>
                <w:kern w:val="0"/>
                <w:sz w:val="21"/>
                <w:szCs w:val="21"/>
              </w:rPr>
            </w:pPr>
          </w:p>
        </w:tc>
        <w:tc>
          <w:tcPr>
            <w:tcW w:w="5103" w:type="dxa"/>
            <w:vMerge w:val="continue"/>
            <w:tcBorders>
              <w:top w:val="nil"/>
              <w:left w:val="single" w:color="auto" w:sz="4" w:space="0"/>
              <w:bottom w:val="single" w:color="auto" w:sz="4" w:space="0"/>
              <w:right w:val="single" w:color="auto" w:sz="4" w:space="0"/>
            </w:tcBorders>
            <w:shd w:val="clear" w:color="auto" w:fill="auto"/>
            <w:noWrap w:val="0"/>
            <w:vAlign w:val="center"/>
          </w:tcPr>
          <w:p w14:paraId="3B142971">
            <w:pPr>
              <w:widowControl/>
              <w:spacing w:line="240" w:lineRule="exact"/>
              <w:jc w:val="left"/>
              <w:rPr>
                <w:rFonts w:ascii="Times New Roman" w:hAnsi="Times New Roman" w:eastAsia="宋体"/>
                <w:color w:val="000000"/>
                <w:kern w:val="0"/>
                <w:sz w:val="21"/>
                <w:szCs w:val="21"/>
              </w:rPr>
            </w:pPr>
          </w:p>
        </w:tc>
        <w:tc>
          <w:tcPr>
            <w:tcW w:w="4986" w:type="dxa"/>
            <w:tcBorders>
              <w:top w:val="nil"/>
              <w:left w:val="nil"/>
              <w:bottom w:val="single" w:color="auto" w:sz="4" w:space="0"/>
              <w:right w:val="single" w:color="auto" w:sz="4" w:space="0"/>
            </w:tcBorders>
            <w:shd w:val="clear" w:color="auto" w:fill="auto"/>
            <w:noWrap w:val="0"/>
            <w:vAlign w:val="center"/>
          </w:tcPr>
          <w:p w14:paraId="7E356A44">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未经批准，生产第三类监控化学品的，生产量达到或超过《禁止化学武器公约》规定的宣布阈值但未达到或未超过《禁止化学武器公约》规定的核查阈值的</w:t>
            </w:r>
          </w:p>
        </w:tc>
        <w:tc>
          <w:tcPr>
            <w:tcW w:w="2894" w:type="dxa"/>
            <w:tcBorders>
              <w:top w:val="nil"/>
              <w:left w:val="nil"/>
              <w:bottom w:val="single" w:color="auto" w:sz="4" w:space="0"/>
              <w:right w:val="single" w:color="auto" w:sz="4" w:space="0"/>
            </w:tcBorders>
            <w:shd w:val="clear" w:color="auto" w:fill="auto"/>
            <w:noWrap w:val="0"/>
            <w:vAlign w:val="center"/>
          </w:tcPr>
          <w:p w14:paraId="579AD543">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责令限期改正；逾期不改正的，处</w:t>
            </w:r>
            <w:r>
              <w:rPr>
                <w:rFonts w:ascii="Times New Roman" w:hAnsi="Times New Roman" w:eastAsia="宋体"/>
                <w:color w:val="000000"/>
                <w:kern w:val="0"/>
                <w:sz w:val="21"/>
                <w:szCs w:val="21"/>
              </w:rPr>
              <w:t>5</w:t>
            </w:r>
            <w:r>
              <w:rPr>
                <w:rFonts w:ascii="Times New Roman" w:hAnsi="Times New Roman" w:eastAsia="方正仿宋_GBK"/>
                <w:color w:val="000000"/>
                <w:kern w:val="0"/>
                <w:sz w:val="21"/>
                <w:szCs w:val="21"/>
              </w:rPr>
              <w:t>万元以上</w:t>
            </w:r>
            <w:r>
              <w:rPr>
                <w:rFonts w:ascii="Times New Roman" w:hAnsi="Times New Roman" w:eastAsia="宋体"/>
                <w:color w:val="000000"/>
                <w:kern w:val="0"/>
                <w:sz w:val="21"/>
                <w:szCs w:val="21"/>
              </w:rPr>
              <w:t>8</w:t>
            </w:r>
            <w:r>
              <w:rPr>
                <w:rFonts w:ascii="Times New Roman" w:hAnsi="Times New Roman" w:eastAsia="方正仿宋_GBK"/>
                <w:color w:val="000000"/>
                <w:kern w:val="0"/>
                <w:sz w:val="21"/>
                <w:szCs w:val="21"/>
              </w:rPr>
              <w:t>万元以下罚款，情节严重的，可以提请省人民政府责令停产整顿</w:t>
            </w:r>
          </w:p>
        </w:tc>
      </w:tr>
      <w:tr w14:paraId="1A521AD8">
        <w:tblPrEx>
          <w:tblCellMar>
            <w:top w:w="0" w:type="dxa"/>
            <w:left w:w="108" w:type="dxa"/>
            <w:bottom w:w="0" w:type="dxa"/>
            <w:right w:w="108" w:type="dxa"/>
          </w:tblCellMar>
        </w:tblPrEx>
        <w:trPr>
          <w:trHeight w:val="620" w:hRule="atLeast"/>
          <w:jc w:val="center"/>
        </w:trPr>
        <w:tc>
          <w:tcPr>
            <w:tcW w:w="6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21791890">
            <w:pPr>
              <w:widowControl/>
              <w:spacing w:line="240" w:lineRule="exact"/>
              <w:jc w:val="left"/>
              <w:rPr>
                <w:rFonts w:ascii="Times New Roman" w:hAnsi="Times New Roman" w:eastAsia="宋体"/>
                <w:color w:val="000000"/>
                <w:kern w:val="0"/>
                <w:sz w:val="21"/>
                <w:szCs w:val="21"/>
              </w:rPr>
            </w:pPr>
          </w:p>
        </w:tc>
        <w:tc>
          <w:tcPr>
            <w:tcW w:w="122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1C0220EA">
            <w:pPr>
              <w:widowControl/>
              <w:spacing w:line="240" w:lineRule="exact"/>
              <w:jc w:val="left"/>
              <w:rPr>
                <w:rFonts w:ascii="Times New Roman" w:hAnsi="Times New Roman" w:eastAsia="宋体"/>
                <w:color w:val="000000"/>
                <w:kern w:val="0"/>
                <w:sz w:val="21"/>
                <w:szCs w:val="21"/>
              </w:rPr>
            </w:pPr>
          </w:p>
        </w:tc>
        <w:tc>
          <w:tcPr>
            <w:tcW w:w="5103" w:type="dxa"/>
            <w:vMerge w:val="continue"/>
            <w:tcBorders>
              <w:top w:val="nil"/>
              <w:left w:val="single" w:color="auto" w:sz="4" w:space="0"/>
              <w:bottom w:val="single" w:color="auto" w:sz="4" w:space="0"/>
              <w:right w:val="single" w:color="auto" w:sz="4" w:space="0"/>
            </w:tcBorders>
            <w:shd w:val="clear" w:color="auto" w:fill="auto"/>
            <w:noWrap w:val="0"/>
            <w:vAlign w:val="center"/>
          </w:tcPr>
          <w:p w14:paraId="38D04C89">
            <w:pPr>
              <w:widowControl/>
              <w:spacing w:line="240" w:lineRule="exact"/>
              <w:jc w:val="left"/>
              <w:rPr>
                <w:rFonts w:ascii="Times New Roman" w:hAnsi="Times New Roman" w:eastAsia="宋体"/>
                <w:color w:val="000000"/>
                <w:kern w:val="0"/>
                <w:sz w:val="21"/>
                <w:szCs w:val="21"/>
              </w:rPr>
            </w:pPr>
          </w:p>
        </w:tc>
        <w:tc>
          <w:tcPr>
            <w:tcW w:w="4986" w:type="dxa"/>
            <w:tcBorders>
              <w:top w:val="nil"/>
              <w:left w:val="nil"/>
              <w:bottom w:val="single" w:color="auto" w:sz="4" w:space="0"/>
              <w:right w:val="single" w:color="auto" w:sz="4" w:space="0"/>
            </w:tcBorders>
            <w:shd w:val="clear" w:color="auto" w:fill="auto"/>
            <w:noWrap w:val="0"/>
            <w:vAlign w:val="center"/>
          </w:tcPr>
          <w:p w14:paraId="0F45C770">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未经批准，生产第三类监控化学品的，生产量达到或超过《禁止化学武器公约》规定的核查阈值的</w:t>
            </w:r>
          </w:p>
        </w:tc>
        <w:tc>
          <w:tcPr>
            <w:tcW w:w="2894" w:type="dxa"/>
            <w:tcBorders>
              <w:top w:val="nil"/>
              <w:left w:val="nil"/>
              <w:bottom w:val="single" w:color="auto" w:sz="4" w:space="0"/>
              <w:right w:val="single" w:color="auto" w:sz="4" w:space="0"/>
            </w:tcBorders>
            <w:shd w:val="clear" w:color="auto" w:fill="auto"/>
            <w:noWrap w:val="0"/>
            <w:vAlign w:val="center"/>
          </w:tcPr>
          <w:p w14:paraId="2DCD858D">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责令限期改正；逾期不改正的，处</w:t>
            </w:r>
            <w:r>
              <w:rPr>
                <w:rFonts w:ascii="Times New Roman" w:hAnsi="Times New Roman" w:eastAsia="宋体"/>
                <w:color w:val="000000"/>
                <w:kern w:val="0"/>
                <w:sz w:val="21"/>
                <w:szCs w:val="21"/>
              </w:rPr>
              <w:t>8</w:t>
            </w:r>
            <w:r>
              <w:rPr>
                <w:rFonts w:ascii="Times New Roman" w:hAnsi="Times New Roman" w:eastAsia="方正仿宋_GBK"/>
                <w:color w:val="000000"/>
                <w:kern w:val="0"/>
                <w:sz w:val="21"/>
                <w:szCs w:val="21"/>
              </w:rPr>
              <w:t>万元以上</w:t>
            </w:r>
            <w:r>
              <w:rPr>
                <w:rFonts w:ascii="Times New Roman" w:hAnsi="Times New Roman" w:eastAsia="宋体"/>
                <w:color w:val="000000"/>
                <w:kern w:val="0"/>
                <w:sz w:val="21"/>
                <w:szCs w:val="21"/>
              </w:rPr>
              <w:t>10</w:t>
            </w:r>
            <w:r>
              <w:rPr>
                <w:rFonts w:ascii="Times New Roman" w:hAnsi="Times New Roman" w:eastAsia="方正仿宋_GBK"/>
                <w:color w:val="000000"/>
                <w:kern w:val="0"/>
                <w:sz w:val="21"/>
                <w:szCs w:val="21"/>
              </w:rPr>
              <w:t>万元以下罚款，情节严重的，可以提请省人民政府责令停产整顿</w:t>
            </w:r>
          </w:p>
        </w:tc>
      </w:tr>
      <w:tr w14:paraId="7B60B605">
        <w:tblPrEx>
          <w:tblCellMar>
            <w:top w:w="0" w:type="dxa"/>
            <w:left w:w="108" w:type="dxa"/>
            <w:bottom w:w="0" w:type="dxa"/>
            <w:right w:w="108" w:type="dxa"/>
          </w:tblCellMar>
        </w:tblPrEx>
        <w:trPr>
          <w:trHeight w:val="620" w:hRule="atLeast"/>
          <w:jc w:val="center"/>
        </w:trPr>
        <w:tc>
          <w:tcPr>
            <w:tcW w:w="6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3BD9AFCC">
            <w:pPr>
              <w:widowControl/>
              <w:spacing w:line="240" w:lineRule="exact"/>
              <w:jc w:val="left"/>
              <w:rPr>
                <w:rFonts w:ascii="Times New Roman" w:hAnsi="Times New Roman" w:eastAsia="宋体"/>
                <w:color w:val="000000"/>
                <w:kern w:val="0"/>
                <w:sz w:val="21"/>
                <w:szCs w:val="21"/>
              </w:rPr>
            </w:pPr>
          </w:p>
        </w:tc>
        <w:tc>
          <w:tcPr>
            <w:tcW w:w="122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20F271C6">
            <w:pPr>
              <w:widowControl/>
              <w:spacing w:line="240" w:lineRule="exact"/>
              <w:jc w:val="left"/>
              <w:rPr>
                <w:rFonts w:ascii="Times New Roman" w:hAnsi="Times New Roman" w:eastAsia="宋体"/>
                <w:color w:val="000000"/>
                <w:kern w:val="0"/>
                <w:sz w:val="21"/>
                <w:szCs w:val="21"/>
              </w:rPr>
            </w:pPr>
          </w:p>
        </w:tc>
        <w:tc>
          <w:tcPr>
            <w:tcW w:w="5103" w:type="dxa"/>
            <w:vMerge w:val="continue"/>
            <w:tcBorders>
              <w:top w:val="nil"/>
              <w:left w:val="single" w:color="auto" w:sz="4" w:space="0"/>
              <w:bottom w:val="single" w:color="auto" w:sz="4" w:space="0"/>
              <w:right w:val="single" w:color="auto" w:sz="4" w:space="0"/>
            </w:tcBorders>
            <w:shd w:val="clear" w:color="auto" w:fill="auto"/>
            <w:noWrap w:val="0"/>
            <w:vAlign w:val="center"/>
          </w:tcPr>
          <w:p w14:paraId="432EA8BA">
            <w:pPr>
              <w:widowControl/>
              <w:spacing w:line="240" w:lineRule="exact"/>
              <w:jc w:val="left"/>
              <w:rPr>
                <w:rFonts w:ascii="Times New Roman" w:hAnsi="Times New Roman" w:eastAsia="宋体"/>
                <w:color w:val="000000"/>
                <w:kern w:val="0"/>
                <w:sz w:val="21"/>
                <w:szCs w:val="21"/>
              </w:rPr>
            </w:pPr>
          </w:p>
        </w:tc>
        <w:tc>
          <w:tcPr>
            <w:tcW w:w="4986" w:type="dxa"/>
            <w:tcBorders>
              <w:top w:val="nil"/>
              <w:left w:val="nil"/>
              <w:bottom w:val="single" w:color="auto" w:sz="4" w:space="0"/>
              <w:right w:val="single" w:color="auto" w:sz="4" w:space="0"/>
            </w:tcBorders>
            <w:shd w:val="clear" w:color="auto" w:fill="auto"/>
            <w:noWrap w:val="0"/>
            <w:vAlign w:val="center"/>
          </w:tcPr>
          <w:p w14:paraId="1C175425">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未经批准，生产第二类监控化学品的，生产量未达到或未超过《禁止化学武器公约》规定的宣布阈值的</w:t>
            </w:r>
          </w:p>
        </w:tc>
        <w:tc>
          <w:tcPr>
            <w:tcW w:w="2894" w:type="dxa"/>
            <w:tcBorders>
              <w:top w:val="nil"/>
              <w:left w:val="nil"/>
              <w:bottom w:val="single" w:color="auto" w:sz="4" w:space="0"/>
              <w:right w:val="single" w:color="auto" w:sz="4" w:space="0"/>
            </w:tcBorders>
            <w:shd w:val="clear" w:color="auto" w:fill="auto"/>
            <w:noWrap w:val="0"/>
            <w:vAlign w:val="center"/>
          </w:tcPr>
          <w:p w14:paraId="1F022667">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责令限期改正；逾期不改正的，处</w:t>
            </w:r>
            <w:r>
              <w:rPr>
                <w:rFonts w:ascii="Times New Roman" w:hAnsi="Times New Roman" w:eastAsia="宋体"/>
                <w:color w:val="000000"/>
                <w:kern w:val="0"/>
                <w:sz w:val="21"/>
                <w:szCs w:val="21"/>
              </w:rPr>
              <w:t>10</w:t>
            </w:r>
            <w:r>
              <w:rPr>
                <w:rFonts w:ascii="Times New Roman" w:hAnsi="Times New Roman" w:eastAsia="方正仿宋_GBK"/>
                <w:color w:val="000000"/>
                <w:kern w:val="0"/>
                <w:sz w:val="21"/>
                <w:szCs w:val="21"/>
              </w:rPr>
              <w:t>万元以上</w:t>
            </w:r>
            <w:r>
              <w:rPr>
                <w:rFonts w:ascii="Times New Roman" w:hAnsi="Times New Roman" w:eastAsia="宋体"/>
                <w:color w:val="000000"/>
                <w:kern w:val="0"/>
                <w:sz w:val="21"/>
                <w:szCs w:val="21"/>
              </w:rPr>
              <w:t>15</w:t>
            </w:r>
            <w:r>
              <w:rPr>
                <w:rFonts w:ascii="Times New Roman" w:hAnsi="Times New Roman" w:eastAsia="方正仿宋_GBK"/>
                <w:color w:val="000000"/>
                <w:kern w:val="0"/>
                <w:sz w:val="21"/>
                <w:szCs w:val="21"/>
              </w:rPr>
              <w:t>万元以下罚款，情节严重的，可以提请省人民政府责令停产整顿</w:t>
            </w:r>
          </w:p>
        </w:tc>
      </w:tr>
      <w:tr w14:paraId="4E467EC6">
        <w:tblPrEx>
          <w:tblCellMar>
            <w:top w:w="0" w:type="dxa"/>
            <w:left w:w="108" w:type="dxa"/>
            <w:bottom w:w="0" w:type="dxa"/>
            <w:right w:w="108" w:type="dxa"/>
          </w:tblCellMar>
        </w:tblPrEx>
        <w:trPr>
          <w:trHeight w:val="620" w:hRule="atLeast"/>
          <w:jc w:val="center"/>
        </w:trPr>
        <w:tc>
          <w:tcPr>
            <w:tcW w:w="6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0952D01F">
            <w:pPr>
              <w:widowControl/>
              <w:spacing w:line="240" w:lineRule="exact"/>
              <w:jc w:val="left"/>
              <w:rPr>
                <w:rFonts w:ascii="Times New Roman" w:hAnsi="Times New Roman" w:eastAsia="宋体"/>
                <w:color w:val="000000"/>
                <w:kern w:val="0"/>
                <w:sz w:val="21"/>
                <w:szCs w:val="21"/>
              </w:rPr>
            </w:pPr>
          </w:p>
        </w:tc>
        <w:tc>
          <w:tcPr>
            <w:tcW w:w="122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5A554977">
            <w:pPr>
              <w:widowControl/>
              <w:spacing w:line="240" w:lineRule="exact"/>
              <w:jc w:val="left"/>
              <w:rPr>
                <w:rFonts w:ascii="Times New Roman" w:hAnsi="Times New Roman" w:eastAsia="宋体"/>
                <w:color w:val="000000"/>
                <w:kern w:val="0"/>
                <w:sz w:val="21"/>
                <w:szCs w:val="21"/>
              </w:rPr>
            </w:pPr>
          </w:p>
        </w:tc>
        <w:tc>
          <w:tcPr>
            <w:tcW w:w="5103" w:type="dxa"/>
            <w:vMerge w:val="continue"/>
            <w:tcBorders>
              <w:top w:val="nil"/>
              <w:left w:val="single" w:color="auto" w:sz="4" w:space="0"/>
              <w:bottom w:val="single" w:color="auto" w:sz="4" w:space="0"/>
              <w:right w:val="single" w:color="auto" w:sz="4" w:space="0"/>
            </w:tcBorders>
            <w:shd w:val="clear" w:color="auto" w:fill="auto"/>
            <w:noWrap w:val="0"/>
            <w:vAlign w:val="center"/>
          </w:tcPr>
          <w:p w14:paraId="4E083119">
            <w:pPr>
              <w:widowControl/>
              <w:spacing w:line="240" w:lineRule="exact"/>
              <w:jc w:val="left"/>
              <w:rPr>
                <w:rFonts w:ascii="Times New Roman" w:hAnsi="Times New Roman" w:eastAsia="宋体"/>
                <w:color w:val="000000"/>
                <w:kern w:val="0"/>
                <w:sz w:val="21"/>
                <w:szCs w:val="21"/>
              </w:rPr>
            </w:pPr>
          </w:p>
        </w:tc>
        <w:tc>
          <w:tcPr>
            <w:tcW w:w="4986" w:type="dxa"/>
            <w:tcBorders>
              <w:top w:val="nil"/>
              <w:left w:val="nil"/>
              <w:bottom w:val="single" w:color="auto" w:sz="4" w:space="0"/>
              <w:right w:val="single" w:color="auto" w:sz="4" w:space="0"/>
            </w:tcBorders>
            <w:shd w:val="clear" w:color="auto" w:fill="auto"/>
            <w:noWrap w:val="0"/>
            <w:vAlign w:val="center"/>
          </w:tcPr>
          <w:p w14:paraId="4BDB21C6">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未经批准，生产第二类监控化学品的，生产量达到或超过《禁止化学武器公约》规定的宣布阈值但未达到或未超过《禁止化学武器公约》规定的核查阈值的</w:t>
            </w:r>
          </w:p>
        </w:tc>
        <w:tc>
          <w:tcPr>
            <w:tcW w:w="2894" w:type="dxa"/>
            <w:tcBorders>
              <w:top w:val="nil"/>
              <w:left w:val="nil"/>
              <w:bottom w:val="single" w:color="auto" w:sz="4" w:space="0"/>
              <w:right w:val="single" w:color="auto" w:sz="4" w:space="0"/>
            </w:tcBorders>
            <w:shd w:val="clear" w:color="auto" w:fill="auto"/>
            <w:noWrap w:val="0"/>
            <w:vAlign w:val="center"/>
          </w:tcPr>
          <w:p w14:paraId="2B4DDEB4">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责令限期改正；逾期不改正的，处</w:t>
            </w:r>
            <w:r>
              <w:rPr>
                <w:rFonts w:ascii="Times New Roman" w:hAnsi="Times New Roman" w:eastAsia="宋体"/>
                <w:color w:val="000000"/>
                <w:kern w:val="0"/>
                <w:sz w:val="21"/>
                <w:szCs w:val="21"/>
              </w:rPr>
              <w:t>15</w:t>
            </w:r>
            <w:r>
              <w:rPr>
                <w:rFonts w:ascii="Times New Roman" w:hAnsi="Times New Roman" w:eastAsia="方正仿宋_GBK"/>
                <w:color w:val="000000"/>
                <w:kern w:val="0"/>
                <w:sz w:val="21"/>
                <w:szCs w:val="21"/>
              </w:rPr>
              <w:t>万元以上</w:t>
            </w:r>
            <w:r>
              <w:rPr>
                <w:rFonts w:ascii="Times New Roman" w:hAnsi="Times New Roman" w:eastAsia="宋体"/>
                <w:color w:val="000000"/>
                <w:kern w:val="0"/>
                <w:sz w:val="21"/>
                <w:szCs w:val="21"/>
              </w:rPr>
              <w:t>18</w:t>
            </w:r>
            <w:r>
              <w:rPr>
                <w:rFonts w:ascii="Times New Roman" w:hAnsi="Times New Roman" w:eastAsia="方正仿宋_GBK"/>
                <w:color w:val="000000"/>
                <w:kern w:val="0"/>
                <w:sz w:val="21"/>
                <w:szCs w:val="21"/>
              </w:rPr>
              <w:t>万元以下罚款，情节严重的，可以提请省人民政府责令停产整顿</w:t>
            </w:r>
          </w:p>
        </w:tc>
      </w:tr>
      <w:tr w14:paraId="163FF5A5">
        <w:tblPrEx>
          <w:tblCellMar>
            <w:top w:w="0" w:type="dxa"/>
            <w:left w:w="108" w:type="dxa"/>
            <w:bottom w:w="0" w:type="dxa"/>
            <w:right w:w="108" w:type="dxa"/>
          </w:tblCellMar>
        </w:tblPrEx>
        <w:trPr>
          <w:trHeight w:val="620" w:hRule="atLeast"/>
          <w:jc w:val="center"/>
        </w:trPr>
        <w:tc>
          <w:tcPr>
            <w:tcW w:w="6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177037E4">
            <w:pPr>
              <w:widowControl/>
              <w:spacing w:line="240" w:lineRule="exact"/>
              <w:jc w:val="left"/>
              <w:rPr>
                <w:rFonts w:ascii="Times New Roman" w:hAnsi="Times New Roman" w:eastAsia="宋体"/>
                <w:color w:val="000000"/>
                <w:kern w:val="0"/>
                <w:sz w:val="21"/>
                <w:szCs w:val="21"/>
              </w:rPr>
            </w:pPr>
          </w:p>
        </w:tc>
        <w:tc>
          <w:tcPr>
            <w:tcW w:w="122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4CE04B15">
            <w:pPr>
              <w:widowControl/>
              <w:spacing w:line="240" w:lineRule="exact"/>
              <w:jc w:val="left"/>
              <w:rPr>
                <w:rFonts w:ascii="Times New Roman" w:hAnsi="Times New Roman" w:eastAsia="宋体"/>
                <w:color w:val="000000"/>
                <w:kern w:val="0"/>
                <w:sz w:val="21"/>
                <w:szCs w:val="21"/>
              </w:rPr>
            </w:pPr>
          </w:p>
        </w:tc>
        <w:tc>
          <w:tcPr>
            <w:tcW w:w="5103" w:type="dxa"/>
            <w:vMerge w:val="continue"/>
            <w:tcBorders>
              <w:top w:val="nil"/>
              <w:left w:val="single" w:color="auto" w:sz="4" w:space="0"/>
              <w:bottom w:val="single" w:color="auto" w:sz="4" w:space="0"/>
              <w:right w:val="single" w:color="auto" w:sz="4" w:space="0"/>
            </w:tcBorders>
            <w:shd w:val="clear" w:color="auto" w:fill="auto"/>
            <w:noWrap w:val="0"/>
            <w:vAlign w:val="center"/>
          </w:tcPr>
          <w:p w14:paraId="68895ECB">
            <w:pPr>
              <w:widowControl/>
              <w:spacing w:line="240" w:lineRule="exact"/>
              <w:jc w:val="left"/>
              <w:rPr>
                <w:rFonts w:ascii="Times New Roman" w:hAnsi="Times New Roman" w:eastAsia="宋体"/>
                <w:color w:val="000000"/>
                <w:kern w:val="0"/>
                <w:sz w:val="21"/>
                <w:szCs w:val="21"/>
              </w:rPr>
            </w:pPr>
          </w:p>
        </w:tc>
        <w:tc>
          <w:tcPr>
            <w:tcW w:w="4986" w:type="dxa"/>
            <w:tcBorders>
              <w:top w:val="nil"/>
              <w:left w:val="nil"/>
              <w:bottom w:val="single" w:color="auto" w:sz="4" w:space="0"/>
              <w:right w:val="single" w:color="auto" w:sz="4" w:space="0"/>
            </w:tcBorders>
            <w:shd w:val="clear" w:color="auto" w:fill="auto"/>
            <w:noWrap w:val="0"/>
            <w:vAlign w:val="center"/>
          </w:tcPr>
          <w:p w14:paraId="7D14C1DB">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未经批准，生产第二类监控化学品的，生产量达到或超过《禁止化学武器公约》规定的核查阈值的</w:t>
            </w:r>
          </w:p>
        </w:tc>
        <w:tc>
          <w:tcPr>
            <w:tcW w:w="2894" w:type="dxa"/>
            <w:tcBorders>
              <w:top w:val="nil"/>
              <w:left w:val="nil"/>
              <w:bottom w:val="single" w:color="auto" w:sz="4" w:space="0"/>
              <w:right w:val="single" w:color="auto" w:sz="4" w:space="0"/>
            </w:tcBorders>
            <w:shd w:val="clear" w:color="auto" w:fill="auto"/>
            <w:noWrap w:val="0"/>
            <w:vAlign w:val="center"/>
          </w:tcPr>
          <w:p w14:paraId="53224747">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责令限期改正；逾期不改正的，处</w:t>
            </w:r>
            <w:r>
              <w:rPr>
                <w:rFonts w:ascii="Times New Roman" w:hAnsi="Times New Roman" w:eastAsia="宋体"/>
                <w:color w:val="000000"/>
                <w:kern w:val="0"/>
                <w:sz w:val="21"/>
                <w:szCs w:val="21"/>
              </w:rPr>
              <w:t>18</w:t>
            </w:r>
            <w:r>
              <w:rPr>
                <w:rFonts w:ascii="Times New Roman" w:hAnsi="Times New Roman" w:eastAsia="方正仿宋_GBK"/>
                <w:color w:val="000000"/>
                <w:kern w:val="0"/>
                <w:sz w:val="21"/>
                <w:szCs w:val="21"/>
              </w:rPr>
              <w:t>万元以上</w:t>
            </w:r>
            <w:r>
              <w:rPr>
                <w:rFonts w:ascii="Times New Roman" w:hAnsi="Times New Roman" w:eastAsia="宋体"/>
                <w:color w:val="000000"/>
                <w:kern w:val="0"/>
                <w:sz w:val="21"/>
                <w:szCs w:val="21"/>
              </w:rPr>
              <w:t>20</w:t>
            </w:r>
            <w:r>
              <w:rPr>
                <w:rFonts w:ascii="Times New Roman" w:hAnsi="Times New Roman" w:eastAsia="方正仿宋_GBK"/>
                <w:color w:val="000000"/>
                <w:kern w:val="0"/>
                <w:sz w:val="21"/>
                <w:szCs w:val="21"/>
              </w:rPr>
              <w:t>万元以下罚款，情节严重的，可以提请省人民政府责令停产整顿</w:t>
            </w:r>
          </w:p>
        </w:tc>
      </w:tr>
      <w:tr w14:paraId="735CB5E2">
        <w:tblPrEx>
          <w:tblCellMar>
            <w:top w:w="0" w:type="dxa"/>
            <w:left w:w="108" w:type="dxa"/>
            <w:bottom w:w="0" w:type="dxa"/>
            <w:right w:w="108" w:type="dxa"/>
          </w:tblCellMar>
        </w:tblPrEx>
        <w:trPr>
          <w:trHeight w:val="310" w:hRule="atLeast"/>
          <w:jc w:val="center"/>
        </w:trPr>
        <w:tc>
          <w:tcPr>
            <w:tcW w:w="6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13B3332B">
            <w:pPr>
              <w:widowControl/>
              <w:spacing w:line="240" w:lineRule="exact"/>
              <w:jc w:val="left"/>
              <w:rPr>
                <w:rFonts w:ascii="Times New Roman" w:hAnsi="Times New Roman" w:eastAsia="宋体"/>
                <w:color w:val="000000"/>
                <w:kern w:val="0"/>
                <w:sz w:val="21"/>
                <w:szCs w:val="21"/>
              </w:rPr>
            </w:pPr>
          </w:p>
        </w:tc>
        <w:tc>
          <w:tcPr>
            <w:tcW w:w="122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26CD6B90">
            <w:pPr>
              <w:widowControl/>
              <w:spacing w:line="240" w:lineRule="exact"/>
              <w:jc w:val="left"/>
              <w:rPr>
                <w:rFonts w:ascii="Times New Roman" w:hAnsi="Times New Roman" w:eastAsia="宋体"/>
                <w:color w:val="000000"/>
                <w:kern w:val="0"/>
                <w:sz w:val="21"/>
                <w:szCs w:val="21"/>
              </w:rPr>
            </w:pPr>
          </w:p>
        </w:tc>
        <w:tc>
          <w:tcPr>
            <w:tcW w:w="5103" w:type="dxa"/>
            <w:vMerge w:val="continue"/>
            <w:tcBorders>
              <w:top w:val="nil"/>
              <w:left w:val="single" w:color="auto" w:sz="4" w:space="0"/>
              <w:bottom w:val="single" w:color="auto" w:sz="4" w:space="0"/>
              <w:right w:val="single" w:color="auto" w:sz="4" w:space="0"/>
            </w:tcBorders>
            <w:shd w:val="clear" w:color="auto" w:fill="auto"/>
            <w:noWrap w:val="0"/>
            <w:vAlign w:val="center"/>
          </w:tcPr>
          <w:p w14:paraId="14F4DEE7">
            <w:pPr>
              <w:widowControl/>
              <w:spacing w:line="240" w:lineRule="exact"/>
              <w:jc w:val="left"/>
              <w:rPr>
                <w:rFonts w:ascii="Times New Roman" w:hAnsi="Times New Roman" w:eastAsia="宋体"/>
                <w:color w:val="000000"/>
                <w:kern w:val="0"/>
                <w:sz w:val="21"/>
                <w:szCs w:val="21"/>
              </w:rPr>
            </w:pPr>
          </w:p>
        </w:tc>
        <w:tc>
          <w:tcPr>
            <w:tcW w:w="4986" w:type="dxa"/>
            <w:tcBorders>
              <w:top w:val="nil"/>
              <w:left w:val="nil"/>
              <w:bottom w:val="single" w:color="auto" w:sz="4" w:space="0"/>
              <w:right w:val="single" w:color="auto" w:sz="4" w:space="0"/>
            </w:tcBorders>
            <w:shd w:val="clear" w:color="auto" w:fill="auto"/>
            <w:noWrap w:val="0"/>
            <w:vAlign w:val="center"/>
          </w:tcPr>
          <w:p w14:paraId="7A746A1F">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未经批准，生产第一类监控化学品的</w:t>
            </w:r>
          </w:p>
        </w:tc>
        <w:tc>
          <w:tcPr>
            <w:tcW w:w="2894" w:type="dxa"/>
            <w:tcBorders>
              <w:top w:val="nil"/>
              <w:left w:val="nil"/>
              <w:bottom w:val="single" w:color="auto" w:sz="4" w:space="0"/>
              <w:right w:val="single" w:color="auto" w:sz="4" w:space="0"/>
            </w:tcBorders>
            <w:shd w:val="clear" w:color="auto" w:fill="auto"/>
            <w:noWrap w:val="0"/>
            <w:vAlign w:val="center"/>
          </w:tcPr>
          <w:p w14:paraId="266A10F9">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责令限期改正；逾期不改正的，处</w:t>
            </w:r>
            <w:r>
              <w:rPr>
                <w:rFonts w:ascii="Times New Roman" w:hAnsi="Times New Roman" w:eastAsia="宋体"/>
                <w:color w:val="000000"/>
                <w:kern w:val="0"/>
                <w:sz w:val="21"/>
                <w:szCs w:val="21"/>
              </w:rPr>
              <w:t>18</w:t>
            </w:r>
            <w:r>
              <w:rPr>
                <w:rFonts w:ascii="Times New Roman" w:hAnsi="Times New Roman" w:eastAsia="方正仿宋_GBK"/>
                <w:color w:val="000000"/>
                <w:kern w:val="0"/>
                <w:sz w:val="21"/>
                <w:szCs w:val="21"/>
              </w:rPr>
              <w:t>万元以上</w:t>
            </w:r>
            <w:r>
              <w:rPr>
                <w:rFonts w:ascii="Times New Roman" w:hAnsi="Times New Roman" w:eastAsia="宋体"/>
                <w:color w:val="000000"/>
                <w:kern w:val="0"/>
                <w:sz w:val="21"/>
                <w:szCs w:val="21"/>
              </w:rPr>
              <w:t>20</w:t>
            </w:r>
            <w:r>
              <w:rPr>
                <w:rFonts w:ascii="Times New Roman" w:hAnsi="Times New Roman" w:eastAsia="方正仿宋_GBK"/>
                <w:color w:val="000000"/>
                <w:kern w:val="0"/>
                <w:sz w:val="21"/>
                <w:szCs w:val="21"/>
              </w:rPr>
              <w:t>万元以下罚款，提请省人民政府责令停产整顿</w:t>
            </w:r>
          </w:p>
        </w:tc>
      </w:tr>
      <w:tr w14:paraId="12F436D2">
        <w:tblPrEx>
          <w:tblCellMar>
            <w:top w:w="0" w:type="dxa"/>
            <w:left w:w="108" w:type="dxa"/>
            <w:bottom w:w="0" w:type="dxa"/>
            <w:right w:w="108" w:type="dxa"/>
          </w:tblCellMar>
        </w:tblPrEx>
        <w:trPr>
          <w:trHeight w:val="910" w:hRule="atLeast"/>
          <w:jc w:val="center"/>
        </w:trPr>
        <w:tc>
          <w:tcPr>
            <w:tcW w:w="640" w:type="dxa"/>
            <w:vMerge w:val="restart"/>
            <w:tcBorders>
              <w:top w:val="nil"/>
              <w:left w:val="single" w:color="auto" w:sz="4" w:space="0"/>
              <w:bottom w:val="single" w:color="auto" w:sz="4" w:space="0"/>
              <w:right w:val="single" w:color="auto" w:sz="4" w:space="0"/>
            </w:tcBorders>
            <w:shd w:val="clear" w:color="auto" w:fill="auto"/>
            <w:noWrap w:val="0"/>
            <w:vAlign w:val="center"/>
          </w:tcPr>
          <w:p w14:paraId="45C79AA7">
            <w:pPr>
              <w:widowControl/>
              <w:spacing w:line="2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2</w:t>
            </w:r>
          </w:p>
        </w:tc>
        <w:tc>
          <w:tcPr>
            <w:tcW w:w="1221" w:type="dxa"/>
            <w:vMerge w:val="restart"/>
            <w:tcBorders>
              <w:top w:val="nil"/>
              <w:left w:val="single" w:color="auto" w:sz="4" w:space="0"/>
              <w:bottom w:val="single" w:color="auto" w:sz="4" w:space="0"/>
              <w:right w:val="single" w:color="auto" w:sz="4" w:space="0"/>
            </w:tcBorders>
            <w:shd w:val="clear" w:color="auto" w:fill="auto"/>
            <w:noWrap w:val="0"/>
            <w:vAlign w:val="center"/>
          </w:tcPr>
          <w:p w14:paraId="19D79873">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违法使用监控化学品的</w:t>
            </w:r>
          </w:p>
        </w:tc>
        <w:tc>
          <w:tcPr>
            <w:tcW w:w="5103" w:type="dxa"/>
            <w:vMerge w:val="restart"/>
            <w:tcBorders>
              <w:top w:val="nil"/>
              <w:left w:val="single" w:color="auto" w:sz="4" w:space="0"/>
              <w:bottom w:val="single" w:color="auto" w:sz="4" w:space="0"/>
              <w:right w:val="single" w:color="auto" w:sz="4" w:space="0"/>
            </w:tcBorders>
            <w:shd w:val="clear" w:color="auto" w:fill="auto"/>
            <w:noWrap w:val="0"/>
            <w:vAlign w:val="center"/>
          </w:tcPr>
          <w:p w14:paraId="697CEF3D">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【行政法规】《中华人民共和国监控化学品管理条例》第二十二条：</w:t>
            </w:r>
            <w:r>
              <w:rPr>
                <w:rFonts w:ascii="Times New Roman" w:hAnsi="Times New Roman" w:eastAsia="宋体"/>
                <w:color w:val="000000"/>
                <w:kern w:val="0"/>
                <w:sz w:val="21"/>
                <w:szCs w:val="21"/>
              </w:rPr>
              <w:t>“</w:t>
            </w:r>
            <w:r>
              <w:rPr>
                <w:rFonts w:ascii="Times New Roman" w:hAnsi="Times New Roman" w:eastAsia="方正仿宋_GBK"/>
                <w:color w:val="000000"/>
                <w:kern w:val="0"/>
                <w:sz w:val="21"/>
                <w:szCs w:val="21"/>
              </w:rPr>
              <w:t>违反本条例规定，使用监控化学品的，由省、自治区、直辖市人民政府化学工业主管部门责令限期改正；逾期不改正的，可以处</w:t>
            </w:r>
            <w:r>
              <w:rPr>
                <w:rFonts w:ascii="Times New Roman" w:hAnsi="Times New Roman" w:eastAsia="宋体"/>
                <w:color w:val="000000"/>
                <w:kern w:val="0"/>
                <w:sz w:val="21"/>
                <w:szCs w:val="21"/>
              </w:rPr>
              <w:t>5</w:t>
            </w:r>
            <w:r>
              <w:rPr>
                <w:rFonts w:ascii="Times New Roman" w:hAnsi="Times New Roman" w:eastAsia="方正仿宋_GBK"/>
                <w:color w:val="000000"/>
                <w:kern w:val="0"/>
                <w:sz w:val="21"/>
                <w:szCs w:val="21"/>
              </w:rPr>
              <w:t>万元以下的罚款。</w:t>
            </w:r>
            <w:r>
              <w:rPr>
                <w:rFonts w:ascii="Times New Roman" w:hAnsi="Times New Roman" w:eastAsia="宋体"/>
                <w:color w:val="000000"/>
                <w:kern w:val="0"/>
                <w:sz w:val="21"/>
                <w:szCs w:val="21"/>
              </w:rPr>
              <w:t>”</w:t>
            </w:r>
          </w:p>
          <w:p w14:paraId="1333EF95">
            <w:pPr>
              <w:widowControl/>
              <w:spacing w:line="240" w:lineRule="exact"/>
              <w:jc w:val="left"/>
              <w:rPr>
                <w:rFonts w:ascii="Times New Roman" w:hAnsi="Times New Roman" w:eastAsia="宋体"/>
                <w:color w:val="000000"/>
                <w:kern w:val="0"/>
                <w:sz w:val="21"/>
                <w:szCs w:val="21"/>
              </w:rPr>
            </w:pPr>
          </w:p>
          <w:p w14:paraId="64B20BC7">
            <w:pPr>
              <w:widowControl/>
              <w:spacing w:line="240" w:lineRule="exact"/>
              <w:jc w:val="left"/>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【部门规章】《</w:t>
            </w:r>
            <w:r>
              <w:rPr>
                <w:rFonts w:ascii="Times New Roman" w:hAnsi="Times New Roman" w:eastAsia="宋体"/>
                <w:color w:val="000000"/>
                <w:kern w:val="0"/>
                <w:sz w:val="21"/>
                <w:szCs w:val="21"/>
              </w:rPr>
              <w:t>&lt;</w:t>
            </w:r>
            <w:r>
              <w:rPr>
                <w:rFonts w:ascii="Times New Roman" w:hAnsi="Times New Roman" w:eastAsia="方正仿宋_GBK"/>
                <w:color w:val="000000"/>
                <w:kern w:val="0"/>
                <w:sz w:val="21"/>
                <w:szCs w:val="21"/>
              </w:rPr>
              <w:t>中华人民共和国监控化学品管理条例</w:t>
            </w:r>
            <w:r>
              <w:rPr>
                <w:rFonts w:ascii="Times New Roman" w:hAnsi="Times New Roman" w:eastAsia="宋体"/>
                <w:color w:val="000000"/>
                <w:kern w:val="0"/>
                <w:sz w:val="21"/>
                <w:szCs w:val="21"/>
              </w:rPr>
              <w:t>&gt;</w:t>
            </w:r>
            <w:r>
              <w:rPr>
                <w:rFonts w:ascii="Times New Roman" w:hAnsi="Times New Roman" w:eastAsia="方正仿宋_GBK"/>
                <w:color w:val="000000"/>
                <w:kern w:val="0"/>
                <w:sz w:val="21"/>
                <w:szCs w:val="21"/>
              </w:rPr>
              <w:t>实施细则》第十七条：“</w:t>
            </w:r>
            <w:r>
              <w:rPr>
                <w:rFonts w:hint="eastAsia" w:ascii="Times New Roman" w:hAnsi="Times New Roman" w:eastAsia="方正仿宋_GBK"/>
                <w:color w:val="000000"/>
                <w:kern w:val="0"/>
                <w:sz w:val="21"/>
                <w:szCs w:val="21"/>
              </w:rPr>
              <w:t>国家对第二类监控化学品的经营、第一类和第二类监控化学品的使用，实行许可制度。</w:t>
            </w:r>
            <w:r>
              <w:rPr>
                <w:rFonts w:ascii="Times New Roman" w:hAnsi="Times New Roman" w:eastAsia="方正仿宋_GBK"/>
                <w:color w:val="000000"/>
                <w:kern w:val="0"/>
                <w:sz w:val="21"/>
                <w:szCs w:val="21"/>
              </w:rPr>
              <w:t>”</w:t>
            </w:r>
          </w:p>
          <w:p w14:paraId="54C54A89">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第四十九条：</w:t>
            </w:r>
            <w:r>
              <w:rPr>
                <w:rFonts w:ascii="Times New Roman" w:hAnsi="Times New Roman" w:eastAsia="宋体"/>
                <w:color w:val="000000"/>
                <w:kern w:val="0"/>
                <w:sz w:val="21"/>
                <w:szCs w:val="21"/>
              </w:rPr>
              <w:t>“</w:t>
            </w:r>
            <w:r>
              <w:rPr>
                <w:rFonts w:ascii="Times New Roman" w:hAnsi="Times New Roman" w:eastAsia="方正仿宋_GBK"/>
                <w:color w:val="000000"/>
                <w:kern w:val="0"/>
                <w:sz w:val="21"/>
                <w:szCs w:val="21"/>
              </w:rPr>
              <w:t>监控化学品生产特别许可证、经营许可证、使用许可证有效期届满，未办理延期手续仍继续生产、经营、使用的，按照《中华人民共和国监控化学品管理条例》第二十一条、第二十二条、第二十三条的规定处罚。</w:t>
            </w:r>
            <w:r>
              <w:rPr>
                <w:rFonts w:ascii="Times New Roman" w:hAnsi="Times New Roman" w:eastAsia="宋体"/>
                <w:color w:val="000000"/>
                <w:kern w:val="0"/>
                <w:sz w:val="21"/>
                <w:szCs w:val="21"/>
              </w:rPr>
              <w:t>”</w:t>
            </w:r>
          </w:p>
          <w:p w14:paraId="5D95ABCA">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第五十一条：</w:t>
            </w:r>
            <w:r>
              <w:rPr>
                <w:rFonts w:ascii="Times New Roman" w:hAnsi="Times New Roman" w:eastAsia="宋体"/>
                <w:color w:val="000000"/>
                <w:kern w:val="0"/>
                <w:sz w:val="21"/>
                <w:szCs w:val="21"/>
              </w:rPr>
              <w:t>“</w:t>
            </w:r>
            <w:r>
              <w:rPr>
                <w:rFonts w:ascii="Times New Roman" w:hAnsi="Times New Roman" w:eastAsia="方正仿宋_GBK"/>
                <w:color w:val="000000"/>
                <w:kern w:val="0"/>
                <w:sz w:val="21"/>
                <w:szCs w:val="21"/>
              </w:rPr>
              <w:t>违反本细则第十七条的规定，未经批准经营、使用第二类监控化学品的，按照《中华人民共和国监控化学品管理条例》第二十二条、第二十三条的规定处罚。</w:t>
            </w:r>
            <w:r>
              <w:rPr>
                <w:rFonts w:ascii="Times New Roman" w:hAnsi="Times New Roman" w:eastAsia="宋体"/>
                <w:color w:val="000000"/>
                <w:kern w:val="0"/>
                <w:sz w:val="21"/>
                <w:szCs w:val="21"/>
              </w:rPr>
              <w:t>”</w:t>
            </w:r>
          </w:p>
        </w:tc>
        <w:tc>
          <w:tcPr>
            <w:tcW w:w="4986" w:type="dxa"/>
            <w:tcBorders>
              <w:top w:val="single" w:color="auto" w:sz="4" w:space="0"/>
              <w:left w:val="nil"/>
              <w:bottom w:val="single" w:color="auto" w:sz="4" w:space="0"/>
              <w:right w:val="single" w:color="auto" w:sz="4" w:space="0"/>
            </w:tcBorders>
            <w:shd w:val="clear" w:color="auto" w:fill="auto"/>
            <w:noWrap w:val="0"/>
            <w:vAlign w:val="center"/>
          </w:tcPr>
          <w:p w14:paraId="20148B57">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未经批准，使用第二类监控化学品，其第二类监控化学品使用量未达到或未超过《禁止化学武器公约》规定的</w:t>
            </w:r>
            <w:r>
              <w:rPr>
                <w:rFonts w:hint="eastAsia" w:ascii="Times New Roman" w:hAnsi="Times New Roman" w:eastAsia="方正仿宋_GBK"/>
                <w:color w:val="000000"/>
                <w:kern w:val="0"/>
                <w:sz w:val="21"/>
                <w:szCs w:val="21"/>
              </w:rPr>
              <w:t>宣布</w:t>
            </w:r>
            <w:r>
              <w:rPr>
                <w:rFonts w:ascii="Times New Roman" w:hAnsi="Times New Roman" w:eastAsia="方正仿宋_GBK"/>
                <w:color w:val="000000"/>
                <w:kern w:val="0"/>
                <w:sz w:val="21"/>
                <w:szCs w:val="21"/>
              </w:rPr>
              <w:t>阈值的</w:t>
            </w:r>
          </w:p>
        </w:tc>
        <w:tc>
          <w:tcPr>
            <w:tcW w:w="2894" w:type="dxa"/>
            <w:tcBorders>
              <w:top w:val="single" w:color="auto" w:sz="4" w:space="0"/>
              <w:left w:val="nil"/>
              <w:bottom w:val="single" w:color="auto" w:sz="4" w:space="0"/>
              <w:right w:val="single" w:color="auto" w:sz="4" w:space="0"/>
            </w:tcBorders>
            <w:shd w:val="clear" w:color="auto" w:fill="auto"/>
            <w:noWrap w:val="0"/>
            <w:vAlign w:val="center"/>
          </w:tcPr>
          <w:p w14:paraId="5ACAB8B0">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责令限期改正；逾期不改正的，处</w:t>
            </w:r>
            <w:r>
              <w:rPr>
                <w:rFonts w:hint="eastAsia" w:ascii="Times New Roman" w:hAnsi="Times New Roman" w:eastAsia="方正仿宋_GBK"/>
                <w:color w:val="000000"/>
                <w:kern w:val="0"/>
                <w:sz w:val="21"/>
                <w:szCs w:val="21"/>
              </w:rPr>
              <w:t>1万元以下</w:t>
            </w:r>
            <w:r>
              <w:rPr>
                <w:rFonts w:ascii="Times New Roman" w:hAnsi="Times New Roman" w:eastAsia="方正仿宋_GBK"/>
                <w:color w:val="000000"/>
                <w:kern w:val="0"/>
                <w:sz w:val="21"/>
                <w:szCs w:val="21"/>
              </w:rPr>
              <w:t>的罚款</w:t>
            </w:r>
          </w:p>
        </w:tc>
      </w:tr>
      <w:tr w14:paraId="3F873A31">
        <w:tblPrEx>
          <w:tblCellMar>
            <w:top w:w="0" w:type="dxa"/>
            <w:left w:w="108" w:type="dxa"/>
            <w:bottom w:w="0" w:type="dxa"/>
            <w:right w:w="108" w:type="dxa"/>
          </w:tblCellMar>
        </w:tblPrEx>
        <w:trPr>
          <w:trHeight w:val="1220" w:hRule="atLeast"/>
          <w:jc w:val="center"/>
        </w:trPr>
        <w:tc>
          <w:tcPr>
            <w:tcW w:w="6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3FFC8CD4">
            <w:pPr>
              <w:widowControl/>
              <w:spacing w:line="240" w:lineRule="exact"/>
              <w:jc w:val="left"/>
              <w:rPr>
                <w:rFonts w:ascii="Times New Roman" w:hAnsi="Times New Roman" w:eastAsia="宋体"/>
                <w:color w:val="000000"/>
                <w:kern w:val="0"/>
                <w:sz w:val="21"/>
                <w:szCs w:val="21"/>
              </w:rPr>
            </w:pPr>
          </w:p>
        </w:tc>
        <w:tc>
          <w:tcPr>
            <w:tcW w:w="122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57DF4E5E">
            <w:pPr>
              <w:widowControl/>
              <w:spacing w:line="240" w:lineRule="exact"/>
              <w:jc w:val="left"/>
              <w:rPr>
                <w:rFonts w:ascii="Times New Roman" w:hAnsi="Times New Roman" w:eastAsia="宋体"/>
                <w:color w:val="000000"/>
                <w:kern w:val="0"/>
                <w:sz w:val="21"/>
                <w:szCs w:val="21"/>
              </w:rPr>
            </w:pPr>
          </w:p>
        </w:tc>
        <w:tc>
          <w:tcPr>
            <w:tcW w:w="5103" w:type="dxa"/>
            <w:vMerge w:val="continue"/>
            <w:tcBorders>
              <w:top w:val="nil"/>
              <w:left w:val="single" w:color="auto" w:sz="4" w:space="0"/>
              <w:bottom w:val="single" w:color="auto" w:sz="4" w:space="0"/>
              <w:right w:val="single" w:color="auto" w:sz="4" w:space="0"/>
            </w:tcBorders>
            <w:shd w:val="clear" w:color="auto" w:fill="auto"/>
            <w:noWrap w:val="0"/>
            <w:vAlign w:val="center"/>
          </w:tcPr>
          <w:p w14:paraId="435894D1">
            <w:pPr>
              <w:widowControl/>
              <w:spacing w:line="240" w:lineRule="exact"/>
              <w:jc w:val="left"/>
              <w:rPr>
                <w:rFonts w:ascii="Times New Roman" w:hAnsi="Times New Roman" w:eastAsia="宋体"/>
                <w:color w:val="000000"/>
                <w:kern w:val="0"/>
                <w:sz w:val="21"/>
                <w:szCs w:val="21"/>
              </w:rPr>
            </w:pPr>
          </w:p>
        </w:tc>
        <w:tc>
          <w:tcPr>
            <w:tcW w:w="4986" w:type="dxa"/>
            <w:tcBorders>
              <w:top w:val="nil"/>
              <w:left w:val="nil"/>
              <w:bottom w:val="single" w:color="auto" w:sz="4" w:space="0"/>
              <w:right w:val="single" w:color="auto" w:sz="4" w:space="0"/>
            </w:tcBorders>
            <w:shd w:val="clear" w:color="auto" w:fill="auto"/>
            <w:noWrap w:val="0"/>
            <w:vAlign w:val="center"/>
          </w:tcPr>
          <w:p w14:paraId="04EA0E82">
            <w:pPr>
              <w:widowControl/>
              <w:spacing w:line="240" w:lineRule="exact"/>
              <w:rPr>
                <w:rFonts w:hint="eastAsia"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未经批准，使用第二类监控化学品，其第二类监控化学品使用量达到或超过《禁止化学武器公约》规定的</w:t>
            </w:r>
            <w:r>
              <w:rPr>
                <w:rFonts w:hint="eastAsia" w:ascii="Times New Roman" w:hAnsi="Times New Roman" w:eastAsia="方正仿宋_GBK"/>
                <w:color w:val="000000"/>
                <w:kern w:val="0"/>
                <w:sz w:val="21"/>
                <w:szCs w:val="21"/>
              </w:rPr>
              <w:t>宣布</w:t>
            </w:r>
            <w:r>
              <w:rPr>
                <w:rFonts w:ascii="Times New Roman" w:hAnsi="Times New Roman" w:eastAsia="方正仿宋_GBK"/>
                <w:color w:val="000000"/>
                <w:kern w:val="0"/>
                <w:sz w:val="21"/>
                <w:szCs w:val="21"/>
              </w:rPr>
              <w:t>阈值但未达到或未超过《禁止化学武器公约》规定的核查阈值的</w:t>
            </w:r>
          </w:p>
        </w:tc>
        <w:tc>
          <w:tcPr>
            <w:tcW w:w="2894" w:type="dxa"/>
            <w:tcBorders>
              <w:top w:val="nil"/>
              <w:left w:val="nil"/>
              <w:bottom w:val="single" w:color="auto" w:sz="4" w:space="0"/>
              <w:right w:val="single" w:color="auto" w:sz="4" w:space="0"/>
            </w:tcBorders>
            <w:shd w:val="clear" w:color="auto" w:fill="auto"/>
            <w:noWrap w:val="0"/>
            <w:vAlign w:val="center"/>
          </w:tcPr>
          <w:p w14:paraId="47059D3E">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责令限期改正；逾期不改正的，处</w:t>
            </w:r>
            <w:r>
              <w:rPr>
                <w:rFonts w:ascii="Times New Roman" w:hAnsi="Times New Roman" w:eastAsia="宋体"/>
                <w:color w:val="000000"/>
                <w:kern w:val="0"/>
                <w:sz w:val="21"/>
                <w:szCs w:val="21"/>
              </w:rPr>
              <w:t>1</w:t>
            </w:r>
            <w:r>
              <w:rPr>
                <w:rFonts w:hint="eastAsia" w:ascii="方正仿宋_GBK" w:hAnsi="Times New Roman" w:eastAsia="方正仿宋_GBK"/>
                <w:color w:val="000000"/>
                <w:kern w:val="0"/>
                <w:sz w:val="21"/>
                <w:szCs w:val="21"/>
              </w:rPr>
              <w:t>万</w:t>
            </w:r>
            <w:r>
              <w:rPr>
                <w:rFonts w:ascii="Times New Roman" w:hAnsi="Times New Roman" w:eastAsia="方正仿宋_GBK"/>
                <w:color w:val="000000"/>
                <w:kern w:val="0"/>
                <w:sz w:val="21"/>
                <w:szCs w:val="21"/>
              </w:rPr>
              <w:t>元以</w:t>
            </w:r>
            <w:r>
              <w:rPr>
                <w:rFonts w:hint="eastAsia" w:ascii="Times New Roman" w:hAnsi="Times New Roman" w:eastAsia="方正仿宋_GBK"/>
                <w:color w:val="000000"/>
                <w:kern w:val="0"/>
                <w:sz w:val="21"/>
                <w:szCs w:val="21"/>
              </w:rPr>
              <w:t>上</w:t>
            </w:r>
            <w:r>
              <w:rPr>
                <w:rFonts w:ascii="Times New Roman" w:hAnsi="Times New Roman" w:eastAsia="方正仿宋_GBK"/>
                <w:color w:val="000000"/>
                <w:kern w:val="0"/>
                <w:sz w:val="21"/>
                <w:szCs w:val="21"/>
              </w:rPr>
              <w:t>3</w:t>
            </w:r>
            <w:r>
              <w:rPr>
                <w:rFonts w:hint="eastAsia" w:ascii="Times New Roman" w:hAnsi="Times New Roman" w:eastAsia="方正仿宋_GBK"/>
                <w:color w:val="000000"/>
                <w:kern w:val="0"/>
                <w:sz w:val="21"/>
                <w:szCs w:val="21"/>
              </w:rPr>
              <w:t>万元以下</w:t>
            </w:r>
            <w:r>
              <w:rPr>
                <w:rFonts w:ascii="Times New Roman" w:hAnsi="Times New Roman" w:eastAsia="方正仿宋_GBK"/>
                <w:color w:val="000000"/>
                <w:kern w:val="0"/>
                <w:sz w:val="21"/>
                <w:szCs w:val="21"/>
              </w:rPr>
              <w:t>的罚款</w:t>
            </w:r>
          </w:p>
        </w:tc>
      </w:tr>
      <w:tr w14:paraId="58DECF88">
        <w:tblPrEx>
          <w:tblCellMar>
            <w:top w:w="0" w:type="dxa"/>
            <w:left w:w="108" w:type="dxa"/>
            <w:bottom w:w="0" w:type="dxa"/>
            <w:right w:w="108" w:type="dxa"/>
          </w:tblCellMar>
        </w:tblPrEx>
        <w:trPr>
          <w:trHeight w:val="900" w:hRule="atLeast"/>
          <w:jc w:val="center"/>
        </w:trPr>
        <w:tc>
          <w:tcPr>
            <w:tcW w:w="6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5D092150">
            <w:pPr>
              <w:widowControl/>
              <w:spacing w:line="240" w:lineRule="exact"/>
              <w:jc w:val="left"/>
              <w:rPr>
                <w:rFonts w:ascii="Times New Roman" w:hAnsi="Times New Roman" w:eastAsia="宋体"/>
                <w:color w:val="000000"/>
                <w:kern w:val="0"/>
                <w:sz w:val="21"/>
                <w:szCs w:val="21"/>
              </w:rPr>
            </w:pPr>
          </w:p>
        </w:tc>
        <w:tc>
          <w:tcPr>
            <w:tcW w:w="122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2F46078A">
            <w:pPr>
              <w:widowControl/>
              <w:spacing w:line="240" w:lineRule="exact"/>
              <w:jc w:val="left"/>
              <w:rPr>
                <w:rFonts w:ascii="Times New Roman" w:hAnsi="Times New Roman" w:eastAsia="宋体"/>
                <w:color w:val="000000"/>
                <w:kern w:val="0"/>
                <w:sz w:val="21"/>
                <w:szCs w:val="21"/>
              </w:rPr>
            </w:pPr>
          </w:p>
        </w:tc>
        <w:tc>
          <w:tcPr>
            <w:tcW w:w="5103" w:type="dxa"/>
            <w:vMerge w:val="continue"/>
            <w:tcBorders>
              <w:top w:val="nil"/>
              <w:left w:val="single" w:color="auto" w:sz="4" w:space="0"/>
              <w:bottom w:val="single" w:color="auto" w:sz="4" w:space="0"/>
              <w:right w:val="single" w:color="auto" w:sz="4" w:space="0"/>
            </w:tcBorders>
            <w:shd w:val="clear" w:color="auto" w:fill="auto"/>
            <w:noWrap w:val="0"/>
            <w:vAlign w:val="center"/>
          </w:tcPr>
          <w:p w14:paraId="3A37F251">
            <w:pPr>
              <w:widowControl/>
              <w:spacing w:line="240" w:lineRule="exact"/>
              <w:jc w:val="left"/>
              <w:rPr>
                <w:rFonts w:ascii="Times New Roman" w:hAnsi="Times New Roman" w:eastAsia="宋体"/>
                <w:color w:val="000000"/>
                <w:kern w:val="0"/>
                <w:sz w:val="21"/>
                <w:szCs w:val="21"/>
              </w:rPr>
            </w:pPr>
          </w:p>
        </w:tc>
        <w:tc>
          <w:tcPr>
            <w:tcW w:w="4986" w:type="dxa"/>
            <w:tcBorders>
              <w:top w:val="nil"/>
              <w:left w:val="nil"/>
              <w:bottom w:val="single" w:color="auto" w:sz="4" w:space="0"/>
              <w:right w:val="single" w:color="auto" w:sz="4" w:space="0"/>
            </w:tcBorders>
            <w:shd w:val="clear" w:color="auto" w:fill="auto"/>
            <w:noWrap w:val="0"/>
            <w:vAlign w:val="center"/>
          </w:tcPr>
          <w:p w14:paraId="3105796A">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未经批准，使用第二类监控化学品，其第二类监控化学品使用量达到或超过《禁止化学武器公约》规定的核查阈值的</w:t>
            </w:r>
          </w:p>
        </w:tc>
        <w:tc>
          <w:tcPr>
            <w:tcW w:w="2894" w:type="dxa"/>
            <w:tcBorders>
              <w:top w:val="nil"/>
              <w:left w:val="nil"/>
              <w:bottom w:val="single" w:color="auto" w:sz="4" w:space="0"/>
              <w:right w:val="single" w:color="auto" w:sz="4" w:space="0"/>
            </w:tcBorders>
            <w:shd w:val="clear" w:color="auto" w:fill="auto"/>
            <w:noWrap w:val="0"/>
            <w:vAlign w:val="center"/>
          </w:tcPr>
          <w:p w14:paraId="7ED2E14A">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责令限期改正；逾期不改正的，处</w:t>
            </w:r>
            <w:r>
              <w:rPr>
                <w:rFonts w:ascii="Times New Roman" w:hAnsi="Times New Roman" w:eastAsia="宋体"/>
                <w:color w:val="000000"/>
                <w:kern w:val="0"/>
                <w:sz w:val="21"/>
                <w:szCs w:val="21"/>
              </w:rPr>
              <w:t>3</w:t>
            </w:r>
            <w:r>
              <w:rPr>
                <w:rFonts w:ascii="Times New Roman" w:hAnsi="Times New Roman" w:eastAsia="方正仿宋_GBK"/>
                <w:color w:val="000000"/>
                <w:kern w:val="0"/>
                <w:sz w:val="21"/>
                <w:szCs w:val="21"/>
              </w:rPr>
              <w:t>万元以上</w:t>
            </w:r>
            <w:r>
              <w:rPr>
                <w:rFonts w:ascii="Times New Roman" w:hAnsi="Times New Roman" w:eastAsia="宋体"/>
                <w:color w:val="000000"/>
                <w:kern w:val="0"/>
                <w:sz w:val="21"/>
                <w:szCs w:val="21"/>
              </w:rPr>
              <w:t>5</w:t>
            </w:r>
            <w:r>
              <w:rPr>
                <w:rFonts w:ascii="Times New Roman" w:hAnsi="Times New Roman" w:eastAsia="方正仿宋_GBK"/>
                <w:color w:val="000000"/>
                <w:kern w:val="0"/>
                <w:sz w:val="21"/>
                <w:szCs w:val="21"/>
              </w:rPr>
              <w:t>万元以下的罚款</w:t>
            </w:r>
          </w:p>
        </w:tc>
      </w:tr>
      <w:tr w14:paraId="00E01217">
        <w:tblPrEx>
          <w:tblCellMar>
            <w:top w:w="0" w:type="dxa"/>
            <w:left w:w="108" w:type="dxa"/>
            <w:bottom w:w="0" w:type="dxa"/>
            <w:right w:w="108" w:type="dxa"/>
          </w:tblCellMar>
        </w:tblPrEx>
        <w:trPr>
          <w:trHeight w:val="660" w:hRule="atLeast"/>
          <w:jc w:val="center"/>
        </w:trPr>
        <w:tc>
          <w:tcPr>
            <w:tcW w:w="640" w:type="dxa"/>
            <w:vMerge w:val="restart"/>
            <w:tcBorders>
              <w:top w:val="nil"/>
              <w:left w:val="single" w:color="auto" w:sz="4" w:space="0"/>
              <w:bottom w:val="single" w:color="auto" w:sz="4" w:space="0"/>
              <w:right w:val="single" w:color="auto" w:sz="4" w:space="0"/>
            </w:tcBorders>
            <w:shd w:val="clear" w:color="auto" w:fill="auto"/>
            <w:noWrap w:val="0"/>
            <w:vAlign w:val="center"/>
          </w:tcPr>
          <w:p w14:paraId="7BA215C7">
            <w:pPr>
              <w:widowControl/>
              <w:spacing w:line="2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3</w:t>
            </w:r>
          </w:p>
        </w:tc>
        <w:tc>
          <w:tcPr>
            <w:tcW w:w="1221" w:type="dxa"/>
            <w:vMerge w:val="restart"/>
            <w:tcBorders>
              <w:top w:val="nil"/>
              <w:left w:val="single" w:color="auto" w:sz="4" w:space="0"/>
              <w:bottom w:val="single" w:color="auto" w:sz="4" w:space="0"/>
              <w:right w:val="single" w:color="auto" w:sz="4" w:space="0"/>
            </w:tcBorders>
            <w:shd w:val="clear" w:color="auto" w:fill="auto"/>
            <w:noWrap w:val="0"/>
            <w:vAlign w:val="center"/>
          </w:tcPr>
          <w:p w14:paraId="04439215">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违法经营第二类监控化学品的</w:t>
            </w:r>
          </w:p>
        </w:tc>
        <w:tc>
          <w:tcPr>
            <w:tcW w:w="5103" w:type="dxa"/>
            <w:vMerge w:val="restart"/>
            <w:tcBorders>
              <w:top w:val="nil"/>
              <w:left w:val="single" w:color="auto" w:sz="4" w:space="0"/>
              <w:bottom w:val="single" w:color="auto" w:sz="4" w:space="0"/>
              <w:right w:val="single" w:color="auto" w:sz="4" w:space="0"/>
            </w:tcBorders>
            <w:shd w:val="clear" w:color="auto" w:fill="auto"/>
            <w:noWrap w:val="0"/>
            <w:vAlign w:val="center"/>
          </w:tcPr>
          <w:p w14:paraId="50895896">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【行政法规】《中华人民共和国监控化学品管理条例》第二十三条：</w:t>
            </w:r>
            <w:r>
              <w:rPr>
                <w:rFonts w:ascii="Times New Roman" w:hAnsi="Times New Roman" w:eastAsia="宋体"/>
                <w:color w:val="000000"/>
                <w:kern w:val="0"/>
                <w:sz w:val="21"/>
                <w:szCs w:val="21"/>
              </w:rPr>
              <w:t>“</w:t>
            </w:r>
            <w:r>
              <w:rPr>
                <w:rFonts w:ascii="Times New Roman" w:hAnsi="Times New Roman" w:eastAsia="方正仿宋_GBK"/>
                <w:color w:val="000000"/>
                <w:kern w:val="0"/>
                <w:sz w:val="21"/>
                <w:szCs w:val="21"/>
              </w:rPr>
              <w:t>违反本条例规定，经营监控化学品的，由省、自治区、直辖市人民政府化学工业主管部门没收其违法经营的监控化学品和违法所得，可以并处违法经营额一倍以上二倍以下的罚款。</w:t>
            </w:r>
            <w:r>
              <w:rPr>
                <w:rFonts w:ascii="Times New Roman" w:hAnsi="Times New Roman" w:eastAsia="宋体"/>
                <w:color w:val="000000"/>
                <w:kern w:val="0"/>
                <w:sz w:val="21"/>
                <w:szCs w:val="21"/>
              </w:rPr>
              <w:t>”</w:t>
            </w:r>
          </w:p>
          <w:p w14:paraId="6A4E9A0F">
            <w:pPr>
              <w:widowControl/>
              <w:spacing w:line="240" w:lineRule="exact"/>
              <w:jc w:val="left"/>
              <w:rPr>
                <w:rFonts w:ascii="Times New Roman" w:hAnsi="Times New Roman" w:eastAsia="宋体"/>
                <w:color w:val="000000"/>
                <w:kern w:val="0"/>
                <w:sz w:val="21"/>
                <w:szCs w:val="21"/>
              </w:rPr>
            </w:pPr>
          </w:p>
          <w:p w14:paraId="3513D35F">
            <w:pPr>
              <w:widowControl/>
              <w:spacing w:line="240" w:lineRule="exact"/>
              <w:jc w:val="left"/>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【部门规章】《</w:t>
            </w:r>
            <w:r>
              <w:rPr>
                <w:rFonts w:ascii="Times New Roman" w:hAnsi="Times New Roman" w:eastAsia="宋体"/>
                <w:color w:val="000000"/>
                <w:kern w:val="0"/>
                <w:sz w:val="21"/>
                <w:szCs w:val="21"/>
              </w:rPr>
              <w:t>&lt;</w:t>
            </w:r>
            <w:r>
              <w:rPr>
                <w:rFonts w:ascii="Times New Roman" w:hAnsi="Times New Roman" w:eastAsia="方正仿宋_GBK"/>
                <w:color w:val="000000"/>
                <w:kern w:val="0"/>
                <w:sz w:val="21"/>
                <w:szCs w:val="21"/>
              </w:rPr>
              <w:t>中华人民共和国监控化学品管理条例</w:t>
            </w:r>
            <w:r>
              <w:rPr>
                <w:rFonts w:ascii="Times New Roman" w:hAnsi="Times New Roman" w:eastAsia="宋体"/>
                <w:color w:val="000000"/>
                <w:kern w:val="0"/>
                <w:sz w:val="21"/>
                <w:szCs w:val="21"/>
              </w:rPr>
              <w:t>&gt;</w:t>
            </w:r>
            <w:r>
              <w:rPr>
                <w:rFonts w:ascii="Times New Roman" w:hAnsi="Times New Roman" w:eastAsia="方正仿宋_GBK"/>
                <w:color w:val="000000"/>
                <w:kern w:val="0"/>
                <w:sz w:val="21"/>
                <w:szCs w:val="21"/>
              </w:rPr>
              <w:t>实施细则》第十七条：“</w:t>
            </w:r>
            <w:r>
              <w:rPr>
                <w:rFonts w:hint="eastAsia" w:ascii="Times New Roman" w:hAnsi="Times New Roman" w:eastAsia="方正仿宋_GBK"/>
                <w:color w:val="000000"/>
                <w:kern w:val="0"/>
                <w:sz w:val="21"/>
                <w:szCs w:val="21"/>
              </w:rPr>
              <w:t>国家对第二类监控化学品的经营、第一类和第二类监控化学品的使用，实行许可制度。</w:t>
            </w:r>
            <w:r>
              <w:rPr>
                <w:rFonts w:ascii="Times New Roman" w:hAnsi="Times New Roman" w:eastAsia="方正仿宋_GBK"/>
                <w:color w:val="000000"/>
                <w:kern w:val="0"/>
                <w:sz w:val="21"/>
                <w:szCs w:val="21"/>
              </w:rPr>
              <w:t>”</w:t>
            </w:r>
          </w:p>
          <w:p w14:paraId="22044DE7">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第四十九条：</w:t>
            </w:r>
            <w:r>
              <w:rPr>
                <w:rFonts w:ascii="Times New Roman" w:hAnsi="Times New Roman" w:eastAsia="宋体"/>
                <w:color w:val="000000"/>
                <w:kern w:val="0"/>
                <w:sz w:val="21"/>
                <w:szCs w:val="21"/>
              </w:rPr>
              <w:t>“</w:t>
            </w:r>
            <w:r>
              <w:rPr>
                <w:rFonts w:ascii="Times New Roman" w:hAnsi="Times New Roman" w:eastAsia="方正仿宋_GBK"/>
                <w:color w:val="000000"/>
                <w:kern w:val="0"/>
                <w:sz w:val="21"/>
                <w:szCs w:val="21"/>
              </w:rPr>
              <w:t>监控化学品生产特别许可证、经营许可证、使用许可证有效期届满，未办理延期手续仍继续生产、经营、使用的，按照《中华人民共和国监控化学品管理条例》第二十一条、第二十二条、第二十三条的规定处罚。</w:t>
            </w:r>
            <w:r>
              <w:rPr>
                <w:rFonts w:ascii="Times New Roman" w:hAnsi="Times New Roman" w:eastAsia="宋体"/>
                <w:color w:val="000000"/>
                <w:kern w:val="0"/>
                <w:sz w:val="21"/>
                <w:szCs w:val="21"/>
              </w:rPr>
              <w:t>”</w:t>
            </w:r>
          </w:p>
          <w:p w14:paraId="168EECC4">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第五十一条：</w:t>
            </w:r>
            <w:r>
              <w:rPr>
                <w:rFonts w:ascii="Times New Roman" w:hAnsi="Times New Roman" w:eastAsia="宋体"/>
                <w:color w:val="000000"/>
                <w:kern w:val="0"/>
                <w:sz w:val="21"/>
                <w:szCs w:val="21"/>
              </w:rPr>
              <w:t>“</w:t>
            </w:r>
            <w:r>
              <w:rPr>
                <w:rFonts w:ascii="Times New Roman" w:hAnsi="Times New Roman" w:eastAsia="方正仿宋_GBK"/>
                <w:color w:val="000000"/>
                <w:kern w:val="0"/>
                <w:sz w:val="21"/>
                <w:szCs w:val="21"/>
              </w:rPr>
              <w:t>违反本细则第十七条的规定，未经批准经营、使用第二类监控化学品的，按照《中华人民共和国监控化学品管理条例》第二十二条、第二十三条的规定处罚。</w:t>
            </w:r>
            <w:r>
              <w:rPr>
                <w:rFonts w:ascii="Times New Roman" w:hAnsi="Times New Roman" w:eastAsia="宋体"/>
                <w:color w:val="000000"/>
                <w:kern w:val="0"/>
                <w:sz w:val="21"/>
                <w:szCs w:val="21"/>
              </w:rPr>
              <w:t>”</w:t>
            </w:r>
          </w:p>
        </w:tc>
        <w:tc>
          <w:tcPr>
            <w:tcW w:w="4986" w:type="dxa"/>
            <w:tcBorders>
              <w:top w:val="single" w:color="auto" w:sz="4" w:space="0"/>
              <w:left w:val="nil"/>
              <w:bottom w:val="single" w:color="auto" w:sz="4" w:space="0"/>
              <w:right w:val="single" w:color="auto" w:sz="4" w:space="0"/>
            </w:tcBorders>
            <w:shd w:val="clear" w:color="auto" w:fill="auto"/>
            <w:noWrap w:val="0"/>
            <w:vAlign w:val="center"/>
          </w:tcPr>
          <w:p w14:paraId="71509CAB">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违法所得（含初次违法的金额）在</w:t>
            </w:r>
            <w:r>
              <w:rPr>
                <w:rFonts w:ascii="Times New Roman" w:hAnsi="Times New Roman" w:eastAsia="宋体"/>
                <w:color w:val="000000"/>
                <w:kern w:val="0"/>
                <w:sz w:val="21"/>
                <w:szCs w:val="21"/>
              </w:rPr>
              <w:t>10</w:t>
            </w:r>
            <w:r>
              <w:rPr>
                <w:rFonts w:ascii="Times New Roman" w:hAnsi="Times New Roman" w:eastAsia="方正仿宋_GBK"/>
                <w:color w:val="000000"/>
                <w:kern w:val="0"/>
                <w:sz w:val="21"/>
                <w:szCs w:val="21"/>
              </w:rPr>
              <w:t>万元以下的</w:t>
            </w:r>
          </w:p>
        </w:tc>
        <w:tc>
          <w:tcPr>
            <w:tcW w:w="2894" w:type="dxa"/>
            <w:tcBorders>
              <w:top w:val="single" w:color="auto" w:sz="4" w:space="0"/>
              <w:left w:val="nil"/>
              <w:bottom w:val="single" w:color="auto" w:sz="4" w:space="0"/>
              <w:right w:val="single" w:color="auto" w:sz="4" w:space="0"/>
            </w:tcBorders>
            <w:shd w:val="clear" w:color="auto" w:fill="auto"/>
            <w:noWrap w:val="0"/>
            <w:vAlign w:val="center"/>
          </w:tcPr>
          <w:p w14:paraId="46763CB7">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没收其违法经营的监控化学品和违法所得</w:t>
            </w:r>
          </w:p>
        </w:tc>
      </w:tr>
      <w:tr w14:paraId="253E18AA">
        <w:tblPrEx>
          <w:tblCellMar>
            <w:top w:w="0" w:type="dxa"/>
            <w:left w:w="108" w:type="dxa"/>
            <w:bottom w:w="0" w:type="dxa"/>
            <w:right w:w="108" w:type="dxa"/>
          </w:tblCellMar>
        </w:tblPrEx>
        <w:trPr>
          <w:trHeight w:val="900" w:hRule="atLeast"/>
          <w:jc w:val="center"/>
        </w:trPr>
        <w:tc>
          <w:tcPr>
            <w:tcW w:w="6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16D5161C">
            <w:pPr>
              <w:widowControl/>
              <w:spacing w:line="240" w:lineRule="exact"/>
              <w:jc w:val="left"/>
              <w:rPr>
                <w:rFonts w:ascii="Times New Roman" w:hAnsi="Times New Roman" w:eastAsia="宋体"/>
                <w:color w:val="000000"/>
                <w:kern w:val="0"/>
                <w:sz w:val="21"/>
                <w:szCs w:val="21"/>
              </w:rPr>
            </w:pPr>
          </w:p>
        </w:tc>
        <w:tc>
          <w:tcPr>
            <w:tcW w:w="122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4AE5E2A0">
            <w:pPr>
              <w:widowControl/>
              <w:spacing w:line="240" w:lineRule="exact"/>
              <w:jc w:val="left"/>
              <w:rPr>
                <w:rFonts w:ascii="Times New Roman" w:hAnsi="Times New Roman" w:eastAsia="宋体"/>
                <w:color w:val="000000"/>
                <w:kern w:val="0"/>
                <w:sz w:val="21"/>
                <w:szCs w:val="21"/>
              </w:rPr>
            </w:pPr>
          </w:p>
        </w:tc>
        <w:tc>
          <w:tcPr>
            <w:tcW w:w="5103" w:type="dxa"/>
            <w:vMerge w:val="continue"/>
            <w:tcBorders>
              <w:top w:val="nil"/>
              <w:left w:val="single" w:color="auto" w:sz="4" w:space="0"/>
              <w:bottom w:val="single" w:color="auto" w:sz="4" w:space="0"/>
              <w:right w:val="single" w:color="auto" w:sz="4" w:space="0"/>
            </w:tcBorders>
            <w:shd w:val="clear" w:color="auto" w:fill="auto"/>
            <w:noWrap w:val="0"/>
            <w:vAlign w:val="center"/>
          </w:tcPr>
          <w:p w14:paraId="11721130">
            <w:pPr>
              <w:widowControl/>
              <w:spacing w:line="240" w:lineRule="exact"/>
              <w:jc w:val="left"/>
              <w:rPr>
                <w:rFonts w:ascii="Times New Roman" w:hAnsi="Times New Roman" w:eastAsia="宋体"/>
                <w:color w:val="000000"/>
                <w:kern w:val="0"/>
                <w:sz w:val="21"/>
                <w:szCs w:val="21"/>
              </w:rPr>
            </w:pPr>
          </w:p>
        </w:tc>
        <w:tc>
          <w:tcPr>
            <w:tcW w:w="4986" w:type="dxa"/>
            <w:tcBorders>
              <w:top w:val="nil"/>
              <w:left w:val="nil"/>
              <w:bottom w:val="single" w:color="auto" w:sz="4" w:space="0"/>
              <w:right w:val="single" w:color="auto" w:sz="4" w:space="0"/>
            </w:tcBorders>
            <w:shd w:val="clear" w:color="auto" w:fill="auto"/>
            <w:noWrap w:val="0"/>
            <w:vAlign w:val="center"/>
          </w:tcPr>
          <w:p w14:paraId="31B0935E">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违法所得（含初次违法的金额）在</w:t>
            </w:r>
            <w:r>
              <w:rPr>
                <w:rFonts w:ascii="Times New Roman" w:hAnsi="Times New Roman" w:eastAsia="宋体"/>
                <w:color w:val="000000"/>
                <w:kern w:val="0"/>
                <w:sz w:val="21"/>
                <w:szCs w:val="21"/>
              </w:rPr>
              <w:t>10</w:t>
            </w:r>
            <w:r>
              <w:rPr>
                <w:rFonts w:ascii="Times New Roman" w:hAnsi="Times New Roman" w:eastAsia="方正仿宋_GBK"/>
                <w:color w:val="000000"/>
                <w:kern w:val="0"/>
                <w:sz w:val="21"/>
                <w:szCs w:val="21"/>
              </w:rPr>
              <w:t>万元以上</w:t>
            </w:r>
            <w:r>
              <w:rPr>
                <w:rFonts w:ascii="Times New Roman" w:hAnsi="Times New Roman" w:eastAsia="宋体"/>
                <w:color w:val="000000"/>
                <w:kern w:val="0"/>
                <w:sz w:val="21"/>
                <w:szCs w:val="21"/>
              </w:rPr>
              <w:t>20</w:t>
            </w:r>
            <w:r>
              <w:rPr>
                <w:rFonts w:ascii="Times New Roman" w:hAnsi="Times New Roman" w:eastAsia="方正仿宋_GBK"/>
                <w:color w:val="000000"/>
                <w:kern w:val="0"/>
                <w:sz w:val="21"/>
                <w:szCs w:val="21"/>
              </w:rPr>
              <w:t>万元以下的</w:t>
            </w:r>
          </w:p>
        </w:tc>
        <w:tc>
          <w:tcPr>
            <w:tcW w:w="2894" w:type="dxa"/>
            <w:tcBorders>
              <w:top w:val="nil"/>
              <w:left w:val="nil"/>
              <w:bottom w:val="single" w:color="auto" w:sz="4" w:space="0"/>
              <w:right w:val="single" w:color="auto" w:sz="4" w:space="0"/>
            </w:tcBorders>
            <w:shd w:val="clear" w:color="auto" w:fill="auto"/>
            <w:noWrap w:val="0"/>
            <w:vAlign w:val="center"/>
          </w:tcPr>
          <w:p w14:paraId="62BCFA67">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没收其违法经营的监控化学品和违法所得，处违法经营额</w:t>
            </w:r>
            <w:r>
              <w:rPr>
                <w:rFonts w:ascii="Times New Roman" w:hAnsi="Times New Roman" w:eastAsia="宋体"/>
                <w:color w:val="000000"/>
                <w:kern w:val="0"/>
                <w:sz w:val="21"/>
                <w:szCs w:val="21"/>
              </w:rPr>
              <w:t>1</w:t>
            </w:r>
            <w:r>
              <w:rPr>
                <w:rFonts w:ascii="Times New Roman" w:hAnsi="Times New Roman" w:eastAsia="方正仿宋_GBK"/>
                <w:color w:val="000000"/>
                <w:kern w:val="0"/>
                <w:sz w:val="21"/>
                <w:szCs w:val="21"/>
              </w:rPr>
              <w:t>倍的罚款</w:t>
            </w:r>
          </w:p>
        </w:tc>
      </w:tr>
      <w:tr w14:paraId="2A55AFB7">
        <w:tblPrEx>
          <w:tblCellMar>
            <w:top w:w="0" w:type="dxa"/>
            <w:left w:w="108" w:type="dxa"/>
            <w:bottom w:w="0" w:type="dxa"/>
            <w:right w:w="108" w:type="dxa"/>
          </w:tblCellMar>
        </w:tblPrEx>
        <w:trPr>
          <w:trHeight w:val="890" w:hRule="atLeast"/>
          <w:jc w:val="center"/>
        </w:trPr>
        <w:tc>
          <w:tcPr>
            <w:tcW w:w="6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23AE1409">
            <w:pPr>
              <w:widowControl/>
              <w:spacing w:line="240" w:lineRule="exact"/>
              <w:jc w:val="left"/>
              <w:rPr>
                <w:rFonts w:ascii="Times New Roman" w:hAnsi="Times New Roman" w:eastAsia="宋体"/>
                <w:color w:val="000000"/>
                <w:kern w:val="0"/>
                <w:sz w:val="21"/>
                <w:szCs w:val="21"/>
              </w:rPr>
            </w:pPr>
          </w:p>
        </w:tc>
        <w:tc>
          <w:tcPr>
            <w:tcW w:w="122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1BDFF68E">
            <w:pPr>
              <w:widowControl/>
              <w:spacing w:line="240" w:lineRule="exact"/>
              <w:jc w:val="left"/>
              <w:rPr>
                <w:rFonts w:ascii="Times New Roman" w:hAnsi="Times New Roman" w:eastAsia="宋体"/>
                <w:color w:val="000000"/>
                <w:kern w:val="0"/>
                <w:sz w:val="21"/>
                <w:szCs w:val="21"/>
              </w:rPr>
            </w:pPr>
          </w:p>
        </w:tc>
        <w:tc>
          <w:tcPr>
            <w:tcW w:w="5103" w:type="dxa"/>
            <w:vMerge w:val="continue"/>
            <w:tcBorders>
              <w:top w:val="nil"/>
              <w:left w:val="single" w:color="auto" w:sz="4" w:space="0"/>
              <w:bottom w:val="single" w:color="auto" w:sz="4" w:space="0"/>
              <w:right w:val="single" w:color="auto" w:sz="4" w:space="0"/>
            </w:tcBorders>
            <w:shd w:val="clear" w:color="auto" w:fill="auto"/>
            <w:noWrap w:val="0"/>
            <w:vAlign w:val="center"/>
          </w:tcPr>
          <w:p w14:paraId="45270825">
            <w:pPr>
              <w:widowControl/>
              <w:spacing w:line="240" w:lineRule="exact"/>
              <w:jc w:val="left"/>
              <w:rPr>
                <w:rFonts w:ascii="Times New Roman" w:hAnsi="Times New Roman" w:eastAsia="宋体"/>
                <w:color w:val="000000"/>
                <w:kern w:val="0"/>
                <w:sz w:val="21"/>
                <w:szCs w:val="21"/>
              </w:rPr>
            </w:pPr>
          </w:p>
        </w:tc>
        <w:tc>
          <w:tcPr>
            <w:tcW w:w="4986" w:type="dxa"/>
            <w:tcBorders>
              <w:top w:val="nil"/>
              <w:left w:val="nil"/>
              <w:bottom w:val="single" w:color="auto" w:sz="4" w:space="0"/>
              <w:right w:val="single" w:color="auto" w:sz="4" w:space="0"/>
            </w:tcBorders>
            <w:shd w:val="clear" w:color="auto" w:fill="auto"/>
            <w:noWrap w:val="0"/>
            <w:vAlign w:val="center"/>
          </w:tcPr>
          <w:p w14:paraId="78CE9B83">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违法所得（含初次违法的金额）在</w:t>
            </w:r>
            <w:r>
              <w:rPr>
                <w:rFonts w:ascii="Times New Roman" w:hAnsi="Times New Roman" w:eastAsia="宋体"/>
                <w:color w:val="000000"/>
                <w:kern w:val="0"/>
                <w:sz w:val="21"/>
                <w:szCs w:val="21"/>
              </w:rPr>
              <w:t>20</w:t>
            </w:r>
            <w:r>
              <w:rPr>
                <w:rFonts w:ascii="Times New Roman" w:hAnsi="Times New Roman" w:eastAsia="方正仿宋_GBK"/>
                <w:color w:val="000000"/>
                <w:kern w:val="0"/>
                <w:sz w:val="21"/>
                <w:szCs w:val="21"/>
              </w:rPr>
              <w:t>万元以上的</w:t>
            </w:r>
          </w:p>
        </w:tc>
        <w:tc>
          <w:tcPr>
            <w:tcW w:w="2894" w:type="dxa"/>
            <w:tcBorders>
              <w:top w:val="nil"/>
              <w:left w:val="nil"/>
              <w:bottom w:val="single" w:color="auto" w:sz="4" w:space="0"/>
              <w:right w:val="single" w:color="auto" w:sz="4" w:space="0"/>
            </w:tcBorders>
            <w:shd w:val="clear" w:color="auto" w:fill="auto"/>
            <w:noWrap w:val="0"/>
            <w:vAlign w:val="center"/>
          </w:tcPr>
          <w:p w14:paraId="29899B5D">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没收其违法经营的监控化学品和违法所得，处违法经营额</w:t>
            </w:r>
            <w:r>
              <w:rPr>
                <w:rFonts w:ascii="Times New Roman" w:hAnsi="Times New Roman" w:eastAsia="宋体"/>
                <w:color w:val="000000"/>
                <w:kern w:val="0"/>
                <w:sz w:val="21"/>
                <w:szCs w:val="21"/>
              </w:rPr>
              <w:t>2</w:t>
            </w:r>
            <w:r>
              <w:rPr>
                <w:rFonts w:ascii="Times New Roman" w:hAnsi="Times New Roman" w:eastAsia="方正仿宋_GBK"/>
                <w:color w:val="000000"/>
                <w:kern w:val="0"/>
                <w:sz w:val="21"/>
                <w:szCs w:val="21"/>
              </w:rPr>
              <w:t>倍的罚款</w:t>
            </w:r>
          </w:p>
        </w:tc>
      </w:tr>
      <w:tr w14:paraId="3D9B97DB">
        <w:tblPrEx>
          <w:tblCellMar>
            <w:top w:w="0" w:type="dxa"/>
            <w:left w:w="108" w:type="dxa"/>
            <w:bottom w:w="0" w:type="dxa"/>
            <w:right w:w="108" w:type="dxa"/>
          </w:tblCellMar>
        </w:tblPrEx>
        <w:trPr>
          <w:trHeight w:val="500" w:hRule="atLeast"/>
          <w:jc w:val="center"/>
        </w:trPr>
        <w:tc>
          <w:tcPr>
            <w:tcW w:w="640" w:type="dxa"/>
            <w:vMerge w:val="restart"/>
            <w:tcBorders>
              <w:top w:val="nil"/>
              <w:left w:val="single" w:color="auto" w:sz="4" w:space="0"/>
              <w:bottom w:val="single" w:color="auto" w:sz="4" w:space="0"/>
              <w:right w:val="single" w:color="auto" w:sz="4" w:space="0"/>
            </w:tcBorders>
            <w:shd w:val="clear" w:color="auto" w:fill="auto"/>
            <w:noWrap w:val="0"/>
            <w:vAlign w:val="center"/>
          </w:tcPr>
          <w:p w14:paraId="36B1083C">
            <w:pPr>
              <w:widowControl/>
              <w:spacing w:line="2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4</w:t>
            </w:r>
          </w:p>
        </w:tc>
        <w:tc>
          <w:tcPr>
            <w:tcW w:w="1221" w:type="dxa"/>
            <w:vMerge w:val="restart"/>
            <w:tcBorders>
              <w:top w:val="nil"/>
              <w:left w:val="single" w:color="auto" w:sz="4" w:space="0"/>
              <w:bottom w:val="single" w:color="auto" w:sz="4" w:space="0"/>
              <w:right w:val="single" w:color="auto" w:sz="4" w:space="0"/>
            </w:tcBorders>
            <w:shd w:val="clear" w:color="auto" w:fill="auto"/>
            <w:noWrap w:val="0"/>
            <w:vAlign w:val="center"/>
          </w:tcPr>
          <w:p w14:paraId="0984A417">
            <w:pPr>
              <w:widowControl/>
              <w:spacing w:line="240" w:lineRule="exact"/>
              <w:jc w:val="left"/>
              <w:rPr>
                <w:rFonts w:hint="eastAsia" w:ascii="Times New Roman" w:hAnsi="Times New Roman" w:eastAsia="宋体"/>
                <w:color w:val="000000"/>
                <w:kern w:val="0"/>
                <w:sz w:val="21"/>
                <w:szCs w:val="21"/>
              </w:rPr>
            </w:pPr>
            <w:r>
              <w:rPr>
                <w:rFonts w:hint="eastAsia" w:ascii="Times New Roman" w:hAnsi="Times New Roman" w:eastAsia="方正仿宋_GBK"/>
                <w:color w:val="000000"/>
                <w:kern w:val="0"/>
                <w:sz w:val="21"/>
                <w:szCs w:val="21"/>
              </w:rPr>
              <w:t>隐瞒</w:t>
            </w:r>
            <w:r>
              <w:rPr>
                <w:rFonts w:ascii="Times New Roman" w:hAnsi="Times New Roman" w:eastAsia="方正仿宋_GBK"/>
                <w:color w:val="000000"/>
                <w:kern w:val="0"/>
                <w:sz w:val="21"/>
                <w:szCs w:val="21"/>
              </w:rPr>
              <w:t>、拒报有关监控化学品的资料、数据，或者妨碍、阻挠化学工业主管部门依照条例规定履行检查监督职责的</w:t>
            </w:r>
          </w:p>
        </w:tc>
        <w:tc>
          <w:tcPr>
            <w:tcW w:w="5103" w:type="dxa"/>
            <w:tcBorders>
              <w:top w:val="nil"/>
              <w:left w:val="single" w:color="auto" w:sz="4" w:space="0"/>
              <w:bottom w:val="single" w:color="auto" w:sz="4" w:space="0"/>
              <w:right w:val="single" w:color="auto" w:sz="4" w:space="0"/>
            </w:tcBorders>
            <w:shd w:val="clear" w:color="auto" w:fill="auto"/>
            <w:noWrap w:val="0"/>
            <w:vAlign w:val="center"/>
          </w:tcPr>
          <w:p w14:paraId="7B1D70F1">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【行政法规】《中华人民共和国监控化学品管理条例》第二十四条：</w:t>
            </w:r>
            <w:r>
              <w:rPr>
                <w:rFonts w:ascii="Times New Roman" w:hAnsi="Times New Roman" w:eastAsia="宋体"/>
                <w:color w:val="000000"/>
                <w:kern w:val="0"/>
                <w:sz w:val="21"/>
                <w:szCs w:val="21"/>
              </w:rPr>
              <w:t>“</w:t>
            </w:r>
            <w:r>
              <w:rPr>
                <w:rFonts w:ascii="Times New Roman" w:hAnsi="Times New Roman" w:eastAsia="方正仿宋_GBK"/>
                <w:color w:val="000000"/>
                <w:kern w:val="0"/>
                <w:sz w:val="21"/>
                <w:szCs w:val="21"/>
              </w:rPr>
              <w:t>违反本条例规定，隐瞒、拒报有关监控化学品的资料、数据，或者妨碍、阻挠化学工业主管部门依照本条例的规定履行检查监督职责的，由省、自治区、直辖市人民政府化学工业主管部门处以</w:t>
            </w:r>
            <w:r>
              <w:rPr>
                <w:rFonts w:ascii="Times New Roman" w:hAnsi="Times New Roman" w:eastAsia="宋体"/>
                <w:color w:val="000000"/>
                <w:kern w:val="0"/>
                <w:sz w:val="21"/>
                <w:szCs w:val="21"/>
              </w:rPr>
              <w:t>5</w:t>
            </w:r>
            <w:r>
              <w:rPr>
                <w:rFonts w:ascii="Times New Roman" w:hAnsi="Times New Roman" w:eastAsia="方正仿宋_GBK"/>
                <w:color w:val="000000"/>
                <w:kern w:val="0"/>
                <w:sz w:val="21"/>
                <w:szCs w:val="21"/>
              </w:rPr>
              <w:t>万元以下的罚款。</w:t>
            </w:r>
            <w:r>
              <w:rPr>
                <w:rFonts w:ascii="Times New Roman" w:hAnsi="Times New Roman" w:eastAsia="宋体"/>
                <w:color w:val="000000"/>
                <w:kern w:val="0"/>
                <w:sz w:val="21"/>
                <w:szCs w:val="21"/>
              </w:rPr>
              <w:t>”</w:t>
            </w:r>
          </w:p>
          <w:p w14:paraId="241B317B">
            <w:pPr>
              <w:widowControl/>
              <w:spacing w:line="240" w:lineRule="exact"/>
              <w:jc w:val="left"/>
              <w:rPr>
                <w:rFonts w:ascii="Times New Roman" w:hAnsi="Times New Roman" w:eastAsia="方正仿宋_GBK"/>
                <w:color w:val="000000"/>
                <w:kern w:val="0"/>
                <w:sz w:val="21"/>
                <w:szCs w:val="21"/>
              </w:rPr>
            </w:pPr>
          </w:p>
          <w:p w14:paraId="1FB41485">
            <w:pPr>
              <w:widowControl/>
              <w:spacing w:line="240" w:lineRule="exact"/>
              <w:jc w:val="left"/>
              <w:rPr>
                <w:rFonts w:hint="eastAsia"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【部门规章】《</w:t>
            </w:r>
            <w:r>
              <w:rPr>
                <w:rFonts w:ascii="Times New Roman" w:hAnsi="Times New Roman" w:eastAsia="宋体"/>
                <w:color w:val="000000"/>
                <w:kern w:val="0"/>
                <w:sz w:val="21"/>
                <w:szCs w:val="21"/>
              </w:rPr>
              <w:t>&lt;</w:t>
            </w:r>
            <w:r>
              <w:rPr>
                <w:rFonts w:ascii="Times New Roman" w:hAnsi="Times New Roman" w:eastAsia="方正仿宋_GBK"/>
                <w:color w:val="000000"/>
                <w:kern w:val="0"/>
                <w:sz w:val="21"/>
                <w:szCs w:val="21"/>
              </w:rPr>
              <w:t>中华人民共和国监控化学品管理条例</w:t>
            </w:r>
            <w:r>
              <w:rPr>
                <w:rFonts w:ascii="Times New Roman" w:hAnsi="Times New Roman" w:eastAsia="宋体"/>
                <w:color w:val="000000"/>
                <w:kern w:val="0"/>
                <w:sz w:val="21"/>
                <w:szCs w:val="21"/>
              </w:rPr>
              <w:t>&gt;</w:t>
            </w:r>
            <w:r>
              <w:rPr>
                <w:rFonts w:ascii="Times New Roman" w:hAnsi="Times New Roman" w:eastAsia="方正仿宋_GBK"/>
                <w:color w:val="000000"/>
                <w:kern w:val="0"/>
                <w:sz w:val="21"/>
                <w:szCs w:val="21"/>
              </w:rPr>
              <w:t>实施细则》第三十</w:t>
            </w:r>
            <w:r>
              <w:rPr>
                <w:rFonts w:hint="eastAsia" w:ascii="Times New Roman" w:hAnsi="Times New Roman" w:eastAsia="方正仿宋_GBK"/>
                <w:color w:val="000000"/>
                <w:kern w:val="0"/>
                <w:sz w:val="21"/>
                <w:szCs w:val="21"/>
              </w:rPr>
              <w:t>八</w:t>
            </w:r>
            <w:r>
              <w:rPr>
                <w:rFonts w:ascii="Times New Roman" w:hAnsi="Times New Roman" w:eastAsia="方正仿宋_GBK"/>
                <w:color w:val="000000"/>
                <w:kern w:val="0"/>
                <w:sz w:val="21"/>
                <w:szCs w:val="21"/>
              </w:rPr>
              <w:t>条</w:t>
            </w:r>
            <w:r>
              <w:rPr>
                <w:rFonts w:hint="eastAsia" w:ascii="Times New Roman" w:hAnsi="Times New Roman" w:eastAsia="方正仿宋_GBK"/>
                <w:color w:val="000000"/>
                <w:kern w:val="0"/>
                <w:sz w:val="21"/>
                <w:szCs w:val="21"/>
              </w:rPr>
              <w:t>：</w:t>
            </w:r>
            <w:r>
              <w:rPr>
                <w:rFonts w:ascii="Times New Roman" w:hAnsi="Times New Roman" w:eastAsia="方正仿宋_GBK"/>
                <w:color w:val="000000"/>
                <w:kern w:val="0"/>
                <w:sz w:val="21"/>
                <w:szCs w:val="21"/>
              </w:rPr>
              <w:t>“</w:t>
            </w:r>
            <w:r>
              <w:rPr>
                <w:rFonts w:hint="eastAsia" w:ascii="Times New Roman" w:hAnsi="Times New Roman" w:eastAsia="方正仿宋_GBK"/>
                <w:color w:val="000000"/>
                <w:kern w:val="0"/>
                <w:sz w:val="21"/>
                <w:szCs w:val="21"/>
              </w:rPr>
              <w:t>生产第四类监控化学品的，应当按时申报关于年度宣布的《全国监控化学品统计报表》。</w:t>
            </w:r>
          </w:p>
          <w:p w14:paraId="2FBEA816">
            <w:pPr>
              <w:widowControl/>
              <w:spacing w:line="240" w:lineRule="exact"/>
              <w:jc w:val="left"/>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生产第四类监控化学品的，应当妥善保存与第四类监控化学品有关的生产记录，保存期限不得少于1年。终止生产经营活动的，应当将与第四类监控化学品生产有关的生产记录移交所在地设区的市级以上地方工业和信息化主管部门或者地方人民政府确定的监控化学品管理部门存档。</w:t>
            </w:r>
            <w:r>
              <w:rPr>
                <w:rFonts w:ascii="Times New Roman" w:hAnsi="Times New Roman" w:eastAsia="方正仿宋_GBK"/>
                <w:color w:val="000000"/>
                <w:kern w:val="0"/>
                <w:sz w:val="21"/>
                <w:szCs w:val="21"/>
              </w:rPr>
              <w:t>”</w:t>
            </w:r>
          </w:p>
          <w:p w14:paraId="323AD00B">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第五十三条：</w:t>
            </w:r>
            <w:r>
              <w:rPr>
                <w:rFonts w:ascii="Times New Roman" w:hAnsi="Times New Roman" w:eastAsia="宋体"/>
                <w:color w:val="000000"/>
                <w:kern w:val="0"/>
                <w:sz w:val="21"/>
                <w:szCs w:val="21"/>
              </w:rPr>
              <w:t>“</w:t>
            </w:r>
            <w:r>
              <w:rPr>
                <w:rFonts w:ascii="Times New Roman" w:hAnsi="Times New Roman" w:eastAsia="方正仿宋_GBK"/>
                <w:color w:val="000000"/>
                <w:kern w:val="0"/>
                <w:sz w:val="21"/>
                <w:szCs w:val="21"/>
              </w:rPr>
              <w:t>违反本细则第三十五条、第三十七条至第三十九条的规定申报监控化学品数据，或者拒报、虚报、漏报或者瞒报有关监控化学品数据的，按照《中华人民共和国监控化学品管理条例》第二十四条的规定处罚。</w:t>
            </w:r>
            <w:r>
              <w:rPr>
                <w:rFonts w:ascii="Times New Roman" w:hAnsi="Times New Roman" w:eastAsia="宋体"/>
                <w:color w:val="000000"/>
                <w:kern w:val="0"/>
                <w:sz w:val="21"/>
                <w:szCs w:val="21"/>
              </w:rPr>
              <w:t>”</w:t>
            </w:r>
          </w:p>
        </w:tc>
        <w:tc>
          <w:tcPr>
            <w:tcW w:w="4986" w:type="dxa"/>
            <w:tcBorders>
              <w:top w:val="single" w:color="auto" w:sz="4" w:space="0"/>
              <w:left w:val="nil"/>
              <w:bottom w:val="single" w:color="auto" w:sz="4" w:space="0"/>
              <w:right w:val="single" w:color="auto" w:sz="4" w:space="0"/>
            </w:tcBorders>
            <w:shd w:val="clear" w:color="auto" w:fill="auto"/>
            <w:noWrap w:val="0"/>
            <w:vAlign w:val="center"/>
          </w:tcPr>
          <w:p w14:paraId="71696DE2">
            <w:pPr>
              <w:widowControl/>
              <w:spacing w:line="240" w:lineRule="exact"/>
              <w:rPr>
                <w:rFonts w:hint="eastAsia" w:ascii="Times New Roman" w:hAnsi="Times New Roman" w:eastAsia="宋体"/>
                <w:color w:val="000000"/>
                <w:kern w:val="0"/>
                <w:sz w:val="21"/>
                <w:szCs w:val="21"/>
              </w:rPr>
            </w:pPr>
            <w:r>
              <w:rPr>
                <w:rFonts w:ascii="Times New Roman" w:hAnsi="Times New Roman" w:eastAsia="方正仿宋_GBK"/>
                <w:color w:val="000000"/>
                <w:kern w:val="0"/>
                <w:sz w:val="21"/>
                <w:szCs w:val="21"/>
              </w:rPr>
              <w:t>违反《</w:t>
            </w:r>
            <w:r>
              <w:rPr>
                <w:rFonts w:ascii="Times New Roman" w:hAnsi="Times New Roman" w:eastAsia="宋体"/>
                <w:color w:val="000000"/>
                <w:kern w:val="0"/>
                <w:sz w:val="21"/>
                <w:szCs w:val="21"/>
              </w:rPr>
              <w:t>&lt;</w:t>
            </w:r>
            <w:r>
              <w:rPr>
                <w:rFonts w:ascii="Times New Roman" w:hAnsi="Times New Roman" w:eastAsia="方正仿宋_GBK"/>
                <w:color w:val="000000"/>
                <w:kern w:val="0"/>
                <w:sz w:val="21"/>
                <w:szCs w:val="21"/>
              </w:rPr>
              <w:t>监控化学品管理条例</w:t>
            </w:r>
            <w:r>
              <w:rPr>
                <w:rFonts w:ascii="Times New Roman" w:hAnsi="Times New Roman" w:eastAsia="宋体"/>
                <w:color w:val="000000"/>
                <w:kern w:val="0"/>
                <w:sz w:val="21"/>
                <w:szCs w:val="21"/>
              </w:rPr>
              <w:t>&gt;</w:t>
            </w:r>
            <w:r>
              <w:rPr>
                <w:rFonts w:ascii="Times New Roman" w:hAnsi="Times New Roman" w:eastAsia="方正仿宋_GBK"/>
                <w:color w:val="000000"/>
                <w:kern w:val="0"/>
                <w:sz w:val="21"/>
                <w:szCs w:val="21"/>
              </w:rPr>
              <w:t>实施细则》第三十五条、第三十七条至第三十九条的规定申报第四类监控化学品数据，或者</w:t>
            </w:r>
            <w:r>
              <w:rPr>
                <w:rFonts w:hint="eastAsia" w:ascii="Times New Roman" w:hAnsi="Times New Roman" w:eastAsia="方正仿宋_GBK"/>
                <w:color w:val="000000"/>
                <w:kern w:val="0"/>
                <w:sz w:val="21"/>
                <w:szCs w:val="21"/>
              </w:rPr>
              <w:t>拒报、虚报、漏报、瞒报第四类监控化学品数据的</w:t>
            </w:r>
          </w:p>
        </w:tc>
        <w:tc>
          <w:tcPr>
            <w:tcW w:w="2894" w:type="dxa"/>
            <w:tcBorders>
              <w:top w:val="single" w:color="auto" w:sz="4" w:space="0"/>
              <w:left w:val="nil"/>
              <w:bottom w:val="single" w:color="auto" w:sz="4" w:space="0"/>
              <w:right w:val="single" w:color="auto" w:sz="4" w:space="0"/>
            </w:tcBorders>
            <w:shd w:val="clear" w:color="auto" w:fill="auto"/>
            <w:noWrap w:val="0"/>
            <w:vAlign w:val="center"/>
          </w:tcPr>
          <w:p w14:paraId="28381EF8">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处</w:t>
            </w:r>
            <w:r>
              <w:rPr>
                <w:rFonts w:ascii="Times New Roman" w:hAnsi="Times New Roman" w:eastAsia="宋体"/>
                <w:color w:val="000000"/>
                <w:kern w:val="0"/>
                <w:sz w:val="21"/>
                <w:szCs w:val="21"/>
              </w:rPr>
              <w:t>1</w:t>
            </w:r>
            <w:r>
              <w:rPr>
                <w:rFonts w:ascii="Times New Roman" w:hAnsi="Times New Roman" w:eastAsia="方正仿宋_GBK"/>
                <w:color w:val="000000"/>
                <w:kern w:val="0"/>
                <w:sz w:val="21"/>
                <w:szCs w:val="21"/>
              </w:rPr>
              <w:t>万元以下罚款</w:t>
            </w:r>
          </w:p>
        </w:tc>
      </w:tr>
      <w:tr w14:paraId="6633C99B">
        <w:tblPrEx>
          <w:tblCellMar>
            <w:top w:w="0" w:type="dxa"/>
            <w:left w:w="108" w:type="dxa"/>
            <w:bottom w:w="0" w:type="dxa"/>
            <w:right w:w="108" w:type="dxa"/>
          </w:tblCellMar>
        </w:tblPrEx>
        <w:trPr>
          <w:trHeight w:val="4789" w:hRule="atLeast"/>
          <w:jc w:val="center"/>
        </w:trPr>
        <w:tc>
          <w:tcPr>
            <w:tcW w:w="6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10B0AE05">
            <w:pPr>
              <w:widowControl/>
              <w:spacing w:line="240" w:lineRule="exact"/>
              <w:jc w:val="left"/>
              <w:rPr>
                <w:rFonts w:ascii="Times New Roman" w:hAnsi="Times New Roman" w:eastAsia="宋体"/>
                <w:color w:val="000000"/>
                <w:kern w:val="0"/>
                <w:sz w:val="21"/>
                <w:szCs w:val="21"/>
              </w:rPr>
            </w:pPr>
          </w:p>
        </w:tc>
        <w:tc>
          <w:tcPr>
            <w:tcW w:w="122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16D61F3A">
            <w:pPr>
              <w:widowControl/>
              <w:spacing w:line="240" w:lineRule="exact"/>
              <w:jc w:val="left"/>
              <w:rPr>
                <w:rFonts w:ascii="Times New Roman" w:hAnsi="Times New Roman" w:eastAsia="宋体"/>
                <w:color w:val="000000"/>
                <w:kern w:val="0"/>
                <w:sz w:val="21"/>
                <w:szCs w:val="21"/>
              </w:rPr>
            </w:pPr>
          </w:p>
        </w:tc>
        <w:tc>
          <w:tcPr>
            <w:tcW w:w="5103" w:type="dxa"/>
            <w:vMerge w:val="restart"/>
            <w:tcBorders>
              <w:top w:val="nil"/>
              <w:left w:val="single" w:color="auto" w:sz="4" w:space="0"/>
              <w:right w:val="single" w:color="auto" w:sz="4" w:space="0"/>
            </w:tcBorders>
            <w:shd w:val="clear" w:color="auto" w:fill="auto"/>
            <w:noWrap w:val="0"/>
            <w:vAlign w:val="center"/>
          </w:tcPr>
          <w:p w14:paraId="11F430E0">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【行政法规】《中华人民共和国监控化学品管理条例》第二十四条：</w:t>
            </w:r>
            <w:r>
              <w:rPr>
                <w:rFonts w:ascii="Times New Roman" w:hAnsi="Times New Roman" w:eastAsia="宋体"/>
                <w:color w:val="000000"/>
                <w:kern w:val="0"/>
                <w:sz w:val="21"/>
                <w:szCs w:val="21"/>
              </w:rPr>
              <w:t>“</w:t>
            </w:r>
            <w:r>
              <w:rPr>
                <w:rFonts w:ascii="Times New Roman" w:hAnsi="Times New Roman" w:eastAsia="方正仿宋_GBK"/>
                <w:color w:val="000000"/>
                <w:kern w:val="0"/>
                <w:sz w:val="21"/>
                <w:szCs w:val="21"/>
              </w:rPr>
              <w:t>违反本条例规定，隐瞒、拒报有关监控化学品的资料、数据，或者妨碍、阻挠化学工业主管部门依照本条例的规定履行检查监督职责的，由省、自治区、直辖市人民政府化学工业主管部门处以</w:t>
            </w:r>
            <w:r>
              <w:rPr>
                <w:rFonts w:ascii="Times New Roman" w:hAnsi="Times New Roman" w:eastAsia="宋体"/>
                <w:color w:val="000000"/>
                <w:kern w:val="0"/>
                <w:sz w:val="21"/>
                <w:szCs w:val="21"/>
              </w:rPr>
              <w:t>5</w:t>
            </w:r>
            <w:r>
              <w:rPr>
                <w:rFonts w:ascii="Times New Roman" w:hAnsi="Times New Roman" w:eastAsia="方正仿宋_GBK"/>
                <w:color w:val="000000"/>
                <w:kern w:val="0"/>
                <w:sz w:val="21"/>
                <w:szCs w:val="21"/>
              </w:rPr>
              <w:t>万元以下的罚款。</w:t>
            </w:r>
            <w:r>
              <w:rPr>
                <w:rFonts w:ascii="Times New Roman" w:hAnsi="Times New Roman" w:eastAsia="宋体"/>
                <w:color w:val="000000"/>
                <w:kern w:val="0"/>
                <w:sz w:val="21"/>
                <w:szCs w:val="21"/>
              </w:rPr>
              <w:t>”</w:t>
            </w:r>
          </w:p>
          <w:p w14:paraId="6FC5243E">
            <w:pPr>
              <w:widowControl/>
              <w:spacing w:line="240" w:lineRule="exact"/>
              <w:jc w:val="left"/>
              <w:rPr>
                <w:rFonts w:ascii="Times New Roman" w:hAnsi="Times New Roman" w:eastAsia="宋体"/>
                <w:color w:val="000000"/>
                <w:kern w:val="0"/>
                <w:sz w:val="21"/>
                <w:szCs w:val="21"/>
              </w:rPr>
            </w:pPr>
          </w:p>
          <w:p w14:paraId="07F3163F">
            <w:pPr>
              <w:widowControl/>
              <w:spacing w:line="240" w:lineRule="exact"/>
              <w:jc w:val="left"/>
              <w:rPr>
                <w:rFonts w:hint="eastAsia"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【部门规章】第三十七条</w:t>
            </w:r>
            <w:r>
              <w:rPr>
                <w:rFonts w:hint="eastAsia" w:ascii="Times New Roman" w:hAnsi="Times New Roman" w:eastAsia="方正仿宋_GBK"/>
                <w:color w:val="000000"/>
                <w:kern w:val="0"/>
                <w:sz w:val="21"/>
                <w:szCs w:val="21"/>
              </w:rPr>
              <w:t>：</w:t>
            </w:r>
            <w:r>
              <w:rPr>
                <w:rFonts w:ascii="Times New Roman" w:hAnsi="Times New Roman" w:eastAsia="方正仿宋_GBK"/>
                <w:color w:val="000000"/>
                <w:kern w:val="0"/>
                <w:sz w:val="21"/>
                <w:szCs w:val="21"/>
              </w:rPr>
              <w:t>“</w:t>
            </w:r>
            <w:r>
              <w:rPr>
                <w:rFonts w:hint="eastAsia" w:ascii="Times New Roman" w:hAnsi="Times New Roman" w:eastAsia="方正仿宋_GBK"/>
                <w:color w:val="000000"/>
                <w:kern w:val="0"/>
                <w:sz w:val="21"/>
                <w:szCs w:val="21"/>
              </w:rPr>
              <w:t>生产第二类、第三类监控化学品或者使用第二类监控化学品的，应当按时申报关于年度宣布和预计宣布的《全国监控化学品统计报表》。预计宣布统计报表提交后，预计生产、使用活动超出原宣布计划的，应当在有关活动开始前不少于20个工作日申报关于变更宣布的《全国监控化学品统计报表》。</w:t>
            </w:r>
          </w:p>
          <w:p w14:paraId="708BE019">
            <w:pPr>
              <w:widowControl/>
              <w:spacing w:line="240" w:lineRule="exact"/>
              <w:jc w:val="left"/>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生产、使用第二类监控化学品的，应当妥善保存与第二类监控化学品的生产、使用有关的记录，保存期限不得少于3年。生产第三类监控化学品的，应当妥善保存与第三类监控化学品有关的生产记录，保存期限不得少于1年。终止生产经营活动的，应当将与监控化学品生产、使用有关的记录移交所在地设区的市级以上地方工业和信息化主管部门或者地方人民政府确定的监控化学品管理部门存档。</w:t>
            </w:r>
            <w:r>
              <w:rPr>
                <w:rFonts w:ascii="Times New Roman" w:hAnsi="Times New Roman" w:eastAsia="方正仿宋_GBK"/>
                <w:color w:val="000000"/>
                <w:kern w:val="0"/>
                <w:sz w:val="21"/>
                <w:szCs w:val="21"/>
              </w:rPr>
              <w:t>”</w:t>
            </w:r>
          </w:p>
          <w:p w14:paraId="4F79CE1B">
            <w:pPr>
              <w:widowControl/>
              <w:spacing w:line="240" w:lineRule="exact"/>
              <w:jc w:val="left"/>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第三十九条：“</w:t>
            </w:r>
            <w:r>
              <w:rPr>
                <w:rFonts w:hint="eastAsia" w:ascii="Times New Roman" w:hAnsi="Times New Roman" w:eastAsia="方正仿宋_GBK"/>
                <w:color w:val="000000"/>
                <w:kern w:val="0"/>
                <w:sz w:val="21"/>
                <w:szCs w:val="21"/>
              </w:rPr>
              <w:t>从事第一类监控化学品和第二类、第三类监控化学品及其生产技术和专用设备进出口业务的被指定单位，应当按时向工业和信息化部申报年度第一类、第二类和第三类监控化学品进出口数据，并妥善保存与监控化学品进出口活动有关的记录，保存期限不得少于3年。终止进出口活动的，应当将与监控化学品进出口有关的记录移交工业和信息化部存档。</w:t>
            </w:r>
            <w:r>
              <w:rPr>
                <w:rFonts w:ascii="Times New Roman" w:hAnsi="Times New Roman" w:eastAsia="方正仿宋_GBK"/>
                <w:color w:val="000000"/>
                <w:kern w:val="0"/>
                <w:sz w:val="21"/>
                <w:szCs w:val="21"/>
              </w:rPr>
              <w:t>”</w:t>
            </w:r>
          </w:p>
          <w:p w14:paraId="26760C40">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第五十三条：</w:t>
            </w:r>
            <w:r>
              <w:rPr>
                <w:rFonts w:ascii="Times New Roman" w:hAnsi="Times New Roman" w:eastAsia="宋体"/>
                <w:color w:val="000000"/>
                <w:kern w:val="0"/>
                <w:sz w:val="21"/>
                <w:szCs w:val="21"/>
              </w:rPr>
              <w:t>“</w:t>
            </w:r>
            <w:r>
              <w:rPr>
                <w:rFonts w:ascii="Times New Roman" w:hAnsi="Times New Roman" w:eastAsia="方正仿宋_GBK"/>
                <w:color w:val="000000"/>
                <w:kern w:val="0"/>
                <w:sz w:val="21"/>
                <w:szCs w:val="21"/>
              </w:rPr>
              <w:t>违反本细则第三十五条、第三十七条至第三十九条的规定申报监控化学品数据，或者拒报、虚报、漏报或者瞒报有关监控化学品数据的，按照《中华人民共和国监控化学品管理条例》第二十四条的规定处罚。</w:t>
            </w:r>
            <w:r>
              <w:rPr>
                <w:rFonts w:ascii="Times New Roman" w:hAnsi="Times New Roman" w:eastAsia="宋体"/>
                <w:color w:val="000000"/>
                <w:kern w:val="0"/>
                <w:sz w:val="21"/>
                <w:szCs w:val="21"/>
              </w:rPr>
              <w:t>”</w:t>
            </w:r>
          </w:p>
        </w:tc>
        <w:tc>
          <w:tcPr>
            <w:tcW w:w="4986" w:type="dxa"/>
            <w:tcBorders>
              <w:top w:val="nil"/>
              <w:left w:val="nil"/>
              <w:bottom w:val="single" w:color="auto" w:sz="4" w:space="0"/>
              <w:right w:val="single" w:color="auto" w:sz="4" w:space="0"/>
            </w:tcBorders>
            <w:shd w:val="clear" w:color="auto" w:fill="auto"/>
            <w:noWrap w:val="0"/>
            <w:vAlign w:val="center"/>
          </w:tcPr>
          <w:p w14:paraId="42A1EAF2">
            <w:pPr>
              <w:widowControl/>
              <w:spacing w:line="240" w:lineRule="exact"/>
              <w:rPr>
                <w:rFonts w:hint="eastAsia" w:ascii="Times New Roman" w:hAnsi="Times New Roman" w:eastAsia="宋体"/>
                <w:color w:val="000000"/>
                <w:kern w:val="0"/>
                <w:sz w:val="21"/>
                <w:szCs w:val="21"/>
              </w:rPr>
            </w:pPr>
            <w:r>
              <w:rPr>
                <w:rFonts w:ascii="Times New Roman" w:hAnsi="Times New Roman" w:eastAsia="方正仿宋_GBK"/>
                <w:color w:val="000000"/>
                <w:kern w:val="0"/>
                <w:sz w:val="21"/>
                <w:szCs w:val="21"/>
              </w:rPr>
              <w:t>违反《</w:t>
            </w:r>
            <w:r>
              <w:rPr>
                <w:rFonts w:ascii="Times New Roman" w:hAnsi="Times New Roman" w:eastAsia="宋体"/>
                <w:color w:val="000000"/>
                <w:kern w:val="0"/>
                <w:sz w:val="21"/>
                <w:szCs w:val="21"/>
              </w:rPr>
              <w:t>&lt;</w:t>
            </w:r>
            <w:r>
              <w:rPr>
                <w:rFonts w:ascii="Times New Roman" w:hAnsi="Times New Roman" w:eastAsia="方正仿宋_GBK"/>
                <w:color w:val="000000"/>
                <w:kern w:val="0"/>
                <w:sz w:val="21"/>
                <w:szCs w:val="21"/>
              </w:rPr>
              <w:t>监控化学品管理条例</w:t>
            </w:r>
            <w:r>
              <w:rPr>
                <w:rFonts w:ascii="Times New Roman" w:hAnsi="Times New Roman" w:eastAsia="宋体"/>
                <w:color w:val="000000"/>
                <w:kern w:val="0"/>
                <w:sz w:val="21"/>
                <w:szCs w:val="21"/>
              </w:rPr>
              <w:t>&gt;</w:t>
            </w:r>
            <w:r>
              <w:rPr>
                <w:rFonts w:ascii="Times New Roman" w:hAnsi="Times New Roman" w:eastAsia="方正仿宋_GBK"/>
                <w:color w:val="000000"/>
                <w:kern w:val="0"/>
                <w:sz w:val="21"/>
                <w:szCs w:val="21"/>
              </w:rPr>
              <w:t>实施细则》第三十五条、第三十七条至第三十九条的规定申报第</w:t>
            </w:r>
            <w:r>
              <w:rPr>
                <w:rFonts w:hint="eastAsia" w:ascii="Times New Roman" w:hAnsi="Times New Roman" w:eastAsia="方正仿宋_GBK"/>
                <w:color w:val="000000"/>
                <w:kern w:val="0"/>
                <w:sz w:val="21"/>
                <w:szCs w:val="21"/>
              </w:rPr>
              <w:t>三</w:t>
            </w:r>
            <w:r>
              <w:rPr>
                <w:rFonts w:ascii="Times New Roman" w:hAnsi="Times New Roman" w:eastAsia="方正仿宋_GBK"/>
                <w:color w:val="000000"/>
                <w:kern w:val="0"/>
                <w:sz w:val="21"/>
                <w:szCs w:val="21"/>
              </w:rPr>
              <w:t>类监控化学品数据，或者</w:t>
            </w:r>
            <w:r>
              <w:rPr>
                <w:rFonts w:hint="eastAsia" w:ascii="Times New Roman" w:hAnsi="Times New Roman" w:eastAsia="方正仿宋_GBK"/>
                <w:color w:val="000000"/>
                <w:kern w:val="0"/>
                <w:sz w:val="21"/>
                <w:szCs w:val="21"/>
              </w:rPr>
              <w:t>拒报、虚报、漏报、瞒报第三类监控化学品数据的</w:t>
            </w:r>
          </w:p>
        </w:tc>
        <w:tc>
          <w:tcPr>
            <w:tcW w:w="2894" w:type="dxa"/>
            <w:tcBorders>
              <w:top w:val="nil"/>
              <w:left w:val="nil"/>
              <w:bottom w:val="single" w:color="auto" w:sz="4" w:space="0"/>
              <w:right w:val="single" w:color="auto" w:sz="4" w:space="0"/>
            </w:tcBorders>
            <w:shd w:val="clear" w:color="auto" w:fill="auto"/>
            <w:noWrap w:val="0"/>
            <w:vAlign w:val="center"/>
          </w:tcPr>
          <w:p w14:paraId="28378AEB">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处1</w:t>
            </w:r>
            <w:r>
              <w:rPr>
                <w:rFonts w:hint="eastAsia" w:ascii="Times New Roman" w:hAnsi="Times New Roman" w:eastAsia="方正仿宋_GBK"/>
                <w:color w:val="000000"/>
                <w:kern w:val="0"/>
                <w:sz w:val="21"/>
                <w:szCs w:val="21"/>
              </w:rPr>
              <w:t>万元以上</w:t>
            </w:r>
            <w:r>
              <w:rPr>
                <w:rFonts w:ascii="Times New Roman" w:hAnsi="Times New Roman" w:eastAsia="宋体"/>
                <w:color w:val="000000"/>
                <w:kern w:val="0"/>
                <w:sz w:val="21"/>
                <w:szCs w:val="21"/>
              </w:rPr>
              <w:t>3</w:t>
            </w:r>
            <w:r>
              <w:rPr>
                <w:rFonts w:ascii="Times New Roman" w:hAnsi="Times New Roman" w:eastAsia="方正仿宋_GBK"/>
                <w:color w:val="000000"/>
                <w:kern w:val="0"/>
                <w:sz w:val="21"/>
                <w:szCs w:val="21"/>
              </w:rPr>
              <w:t>万元以下罚款</w:t>
            </w:r>
          </w:p>
        </w:tc>
      </w:tr>
      <w:tr w14:paraId="1D283307">
        <w:tblPrEx>
          <w:tblCellMar>
            <w:top w:w="0" w:type="dxa"/>
            <w:left w:w="108" w:type="dxa"/>
            <w:bottom w:w="0" w:type="dxa"/>
            <w:right w:w="108" w:type="dxa"/>
          </w:tblCellMar>
        </w:tblPrEx>
        <w:trPr>
          <w:trHeight w:val="680" w:hRule="atLeast"/>
          <w:jc w:val="center"/>
        </w:trPr>
        <w:tc>
          <w:tcPr>
            <w:tcW w:w="6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6AE5B85B">
            <w:pPr>
              <w:widowControl/>
              <w:spacing w:line="240" w:lineRule="exact"/>
              <w:jc w:val="left"/>
              <w:rPr>
                <w:rFonts w:ascii="Times New Roman" w:hAnsi="Times New Roman" w:eastAsia="宋体"/>
                <w:color w:val="000000"/>
                <w:kern w:val="0"/>
                <w:sz w:val="21"/>
                <w:szCs w:val="21"/>
              </w:rPr>
            </w:pPr>
          </w:p>
        </w:tc>
        <w:tc>
          <w:tcPr>
            <w:tcW w:w="122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3CE18E4A">
            <w:pPr>
              <w:widowControl/>
              <w:spacing w:line="240" w:lineRule="exact"/>
              <w:jc w:val="left"/>
              <w:rPr>
                <w:rFonts w:ascii="Times New Roman" w:hAnsi="Times New Roman" w:eastAsia="宋体"/>
                <w:color w:val="000000"/>
                <w:kern w:val="0"/>
                <w:sz w:val="21"/>
                <w:szCs w:val="21"/>
              </w:rPr>
            </w:pPr>
          </w:p>
        </w:tc>
        <w:tc>
          <w:tcPr>
            <w:tcW w:w="5103" w:type="dxa"/>
            <w:vMerge w:val="continue"/>
            <w:tcBorders>
              <w:left w:val="single" w:color="auto" w:sz="4" w:space="0"/>
              <w:bottom w:val="single" w:color="auto" w:sz="4" w:space="0"/>
              <w:right w:val="single" w:color="auto" w:sz="4" w:space="0"/>
            </w:tcBorders>
            <w:shd w:val="clear" w:color="auto" w:fill="auto"/>
            <w:noWrap w:val="0"/>
            <w:vAlign w:val="center"/>
          </w:tcPr>
          <w:p w14:paraId="5FB5064E">
            <w:pPr>
              <w:widowControl/>
              <w:spacing w:line="240" w:lineRule="exact"/>
              <w:jc w:val="left"/>
              <w:rPr>
                <w:rFonts w:ascii="Times New Roman" w:hAnsi="Times New Roman" w:eastAsia="宋体"/>
                <w:color w:val="000000"/>
                <w:kern w:val="0"/>
                <w:sz w:val="21"/>
                <w:szCs w:val="21"/>
              </w:rPr>
            </w:pPr>
          </w:p>
        </w:tc>
        <w:tc>
          <w:tcPr>
            <w:tcW w:w="4986" w:type="dxa"/>
            <w:tcBorders>
              <w:top w:val="nil"/>
              <w:left w:val="nil"/>
              <w:bottom w:val="single" w:color="auto" w:sz="4" w:space="0"/>
              <w:right w:val="single" w:color="auto" w:sz="4" w:space="0"/>
            </w:tcBorders>
            <w:shd w:val="clear" w:color="auto" w:fill="auto"/>
            <w:noWrap w:val="0"/>
            <w:vAlign w:val="center"/>
          </w:tcPr>
          <w:p w14:paraId="4D702F33">
            <w:pPr>
              <w:widowControl/>
              <w:spacing w:line="240" w:lineRule="exact"/>
              <w:rPr>
                <w:rFonts w:hint="eastAsia"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违反《</w:t>
            </w:r>
            <w:r>
              <w:rPr>
                <w:rFonts w:ascii="Times New Roman" w:hAnsi="Times New Roman" w:eastAsia="宋体"/>
                <w:color w:val="000000"/>
                <w:kern w:val="0"/>
                <w:sz w:val="21"/>
                <w:szCs w:val="21"/>
              </w:rPr>
              <w:t>&lt;</w:t>
            </w:r>
            <w:r>
              <w:rPr>
                <w:rFonts w:ascii="Times New Roman" w:hAnsi="Times New Roman" w:eastAsia="方正仿宋_GBK"/>
                <w:color w:val="000000"/>
                <w:kern w:val="0"/>
                <w:sz w:val="21"/>
                <w:szCs w:val="21"/>
              </w:rPr>
              <w:t>监控化学品管理条例</w:t>
            </w:r>
            <w:r>
              <w:rPr>
                <w:rFonts w:ascii="Times New Roman" w:hAnsi="Times New Roman" w:eastAsia="宋体"/>
                <w:color w:val="000000"/>
                <w:kern w:val="0"/>
                <w:sz w:val="21"/>
                <w:szCs w:val="21"/>
              </w:rPr>
              <w:t>&gt;</w:t>
            </w:r>
            <w:r>
              <w:rPr>
                <w:rFonts w:ascii="Times New Roman" w:hAnsi="Times New Roman" w:eastAsia="方正仿宋_GBK"/>
                <w:color w:val="000000"/>
                <w:kern w:val="0"/>
                <w:sz w:val="21"/>
                <w:szCs w:val="21"/>
              </w:rPr>
              <w:t>实施细则》第三十五条、第三十七条至第三十九条的规定申报第</w:t>
            </w:r>
            <w:r>
              <w:rPr>
                <w:rFonts w:hint="eastAsia" w:ascii="Times New Roman" w:hAnsi="Times New Roman" w:eastAsia="方正仿宋_GBK"/>
                <w:color w:val="000000"/>
                <w:kern w:val="0"/>
                <w:sz w:val="21"/>
                <w:szCs w:val="21"/>
              </w:rPr>
              <w:t>二</w:t>
            </w:r>
            <w:r>
              <w:rPr>
                <w:rFonts w:ascii="Times New Roman" w:hAnsi="Times New Roman" w:eastAsia="方正仿宋_GBK"/>
                <w:color w:val="000000"/>
                <w:kern w:val="0"/>
                <w:sz w:val="21"/>
                <w:szCs w:val="21"/>
              </w:rPr>
              <w:t>类监控化学品数据，或者</w:t>
            </w:r>
            <w:r>
              <w:rPr>
                <w:rFonts w:hint="eastAsia" w:ascii="Times New Roman" w:hAnsi="Times New Roman" w:eastAsia="方正仿宋_GBK"/>
                <w:color w:val="000000"/>
                <w:kern w:val="0"/>
                <w:sz w:val="21"/>
                <w:szCs w:val="21"/>
              </w:rPr>
              <w:t>拒报、虚报、漏报、瞒报第二类监控化学品数据的</w:t>
            </w:r>
          </w:p>
        </w:tc>
        <w:tc>
          <w:tcPr>
            <w:tcW w:w="2894" w:type="dxa"/>
            <w:tcBorders>
              <w:top w:val="nil"/>
              <w:left w:val="nil"/>
              <w:bottom w:val="single" w:color="auto" w:sz="4" w:space="0"/>
              <w:right w:val="single" w:color="auto" w:sz="4" w:space="0"/>
            </w:tcBorders>
            <w:shd w:val="clear" w:color="auto" w:fill="auto"/>
            <w:noWrap w:val="0"/>
            <w:vAlign w:val="center"/>
          </w:tcPr>
          <w:p w14:paraId="3355B731">
            <w:pPr>
              <w:widowControl/>
              <w:spacing w:line="240" w:lineRule="exact"/>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处3</w:t>
            </w:r>
            <w:r>
              <w:rPr>
                <w:rFonts w:hint="eastAsia" w:ascii="Times New Roman" w:hAnsi="Times New Roman" w:eastAsia="方正仿宋_GBK"/>
                <w:color w:val="000000"/>
                <w:kern w:val="0"/>
                <w:sz w:val="21"/>
                <w:szCs w:val="21"/>
              </w:rPr>
              <w:t>万元以上</w:t>
            </w:r>
            <w:r>
              <w:rPr>
                <w:rFonts w:ascii="Times New Roman" w:hAnsi="Times New Roman" w:eastAsia="宋体"/>
                <w:color w:val="000000"/>
                <w:kern w:val="0"/>
                <w:sz w:val="21"/>
                <w:szCs w:val="21"/>
              </w:rPr>
              <w:t>5</w:t>
            </w:r>
            <w:r>
              <w:rPr>
                <w:rFonts w:ascii="Times New Roman" w:hAnsi="Times New Roman" w:eastAsia="方正仿宋_GBK"/>
                <w:color w:val="000000"/>
                <w:kern w:val="0"/>
                <w:sz w:val="21"/>
                <w:szCs w:val="21"/>
              </w:rPr>
              <w:t>万元以下罚款</w:t>
            </w:r>
          </w:p>
        </w:tc>
      </w:tr>
      <w:tr w14:paraId="241DE3A7">
        <w:tblPrEx>
          <w:tblCellMar>
            <w:top w:w="0" w:type="dxa"/>
            <w:left w:w="108" w:type="dxa"/>
            <w:bottom w:w="0" w:type="dxa"/>
            <w:right w:w="108" w:type="dxa"/>
          </w:tblCellMar>
        </w:tblPrEx>
        <w:trPr>
          <w:trHeight w:val="780" w:hRule="atLeast"/>
          <w:jc w:val="center"/>
        </w:trPr>
        <w:tc>
          <w:tcPr>
            <w:tcW w:w="6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472861AE">
            <w:pPr>
              <w:widowControl/>
              <w:spacing w:line="240" w:lineRule="exact"/>
              <w:jc w:val="left"/>
              <w:rPr>
                <w:rFonts w:ascii="Times New Roman" w:hAnsi="Times New Roman" w:eastAsia="宋体"/>
                <w:color w:val="000000"/>
                <w:kern w:val="0"/>
                <w:sz w:val="21"/>
                <w:szCs w:val="21"/>
              </w:rPr>
            </w:pPr>
          </w:p>
        </w:tc>
        <w:tc>
          <w:tcPr>
            <w:tcW w:w="122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157AF5E6">
            <w:pPr>
              <w:widowControl/>
              <w:spacing w:line="240" w:lineRule="exact"/>
              <w:jc w:val="left"/>
              <w:rPr>
                <w:rFonts w:ascii="Times New Roman" w:hAnsi="Times New Roman" w:eastAsia="宋体"/>
                <w:color w:val="000000"/>
                <w:kern w:val="0"/>
                <w:sz w:val="21"/>
                <w:szCs w:val="21"/>
              </w:rPr>
            </w:pPr>
          </w:p>
        </w:tc>
        <w:tc>
          <w:tcPr>
            <w:tcW w:w="5103" w:type="dxa"/>
            <w:tcBorders>
              <w:top w:val="nil"/>
              <w:left w:val="single" w:color="auto" w:sz="4" w:space="0"/>
              <w:bottom w:val="single" w:color="auto" w:sz="4" w:space="0"/>
              <w:right w:val="single" w:color="auto" w:sz="4" w:space="0"/>
            </w:tcBorders>
            <w:shd w:val="clear" w:color="auto" w:fill="auto"/>
            <w:noWrap w:val="0"/>
            <w:vAlign w:val="center"/>
          </w:tcPr>
          <w:p w14:paraId="52FAE91D">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【行政法规】《中华人民共和国监控化学品管理条例》第二十四条：</w:t>
            </w:r>
            <w:r>
              <w:rPr>
                <w:rFonts w:ascii="Times New Roman" w:hAnsi="Times New Roman" w:eastAsia="宋体"/>
                <w:color w:val="000000"/>
                <w:kern w:val="0"/>
                <w:sz w:val="21"/>
                <w:szCs w:val="21"/>
              </w:rPr>
              <w:t>“</w:t>
            </w:r>
            <w:r>
              <w:rPr>
                <w:rFonts w:ascii="Times New Roman" w:hAnsi="Times New Roman" w:eastAsia="方正仿宋_GBK"/>
                <w:color w:val="000000"/>
                <w:kern w:val="0"/>
                <w:sz w:val="21"/>
                <w:szCs w:val="21"/>
              </w:rPr>
              <w:t>违反本条例规定，隐瞒、拒报有关监控化学品的资料、数据，或者妨碍、阻挠化学工业主管部门依照本条例的规定履行检查监督职责的，由省、自治区、直辖市人民政府化学工业主管部门处以</w:t>
            </w:r>
            <w:r>
              <w:rPr>
                <w:rFonts w:ascii="Times New Roman" w:hAnsi="Times New Roman" w:eastAsia="宋体"/>
                <w:color w:val="000000"/>
                <w:kern w:val="0"/>
                <w:sz w:val="21"/>
                <w:szCs w:val="21"/>
              </w:rPr>
              <w:t>5</w:t>
            </w:r>
            <w:r>
              <w:rPr>
                <w:rFonts w:ascii="Times New Roman" w:hAnsi="Times New Roman" w:eastAsia="方正仿宋_GBK"/>
                <w:color w:val="000000"/>
                <w:kern w:val="0"/>
                <w:sz w:val="21"/>
                <w:szCs w:val="21"/>
              </w:rPr>
              <w:t>万元以下的罚款。</w:t>
            </w:r>
            <w:r>
              <w:rPr>
                <w:rFonts w:ascii="Times New Roman" w:hAnsi="Times New Roman" w:eastAsia="宋体"/>
                <w:color w:val="000000"/>
                <w:kern w:val="0"/>
                <w:sz w:val="21"/>
                <w:szCs w:val="21"/>
              </w:rPr>
              <w:t>”</w:t>
            </w:r>
          </w:p>
        </w:tc>
        <w:tc>
          <w:tcPr>
            <w:tcW w:w="4986" w:type="dxa"/>
            <w:tcBorders>
              <w:top w:val="nil"/>
              <w:left w:val="nil"/>
              <w:bottom w:val="single" w:color="auto" w:sz="4" w:space="0"/>
              <w:right w:val="single" w:color="auto" w:sz="4" w:space="0"/>
            </w:tcBorders>
            <w:shd w:val="clear" w:color="auto" w:fill="auto"/>
            <w:noWrap w:val="0"/>
            <w:vAlign w:val="center"/>
          </w:tcPr>
          <w:p w14:paraId="21866058">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妨碍、阻挠化学工业主管部门依照《监控化学品管理条例》的规定履行检查监督职责的</w:t>
            </w:r>
          </w:p>
        </w:tc>
        <w:tc>
          <w:tcPr>
            <w:tcW w:w="2894" w:type="dxa"/>
            <w:tcBorders>
              <w:top w:val="nil"/>
              <w:left w:val="nil"/>
              <w:bottom w:val="single" w:color="auto" w:sz="4" w:space="0"/>
              <w:right w:val="single" w:color="auto" w:sz="4" w:space="0"/>
            </w:tcBorders>
            <w:shd w:val="clear" w:color="auto" w:fill="auto"/>
            <w:noWrap w:val="0"/>
            <w:vAlign w:val="center"/>
          </w:tcPr>
          <w:p w14:paraId="2873DF42">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处3</w:t>
            </w:r>
            <w:r>
              <w:rPr>
                <w:rFonts w:hint="eastAsia" w:ascii="Times New Roman" w:hAnsi="Times New Roman" w:eastAsia="方正仿宋_GBK"/>
                <w:color w:val="000000"/>
                <w:kern w:val="0"/>
                <w:sz w:val="21"/>
                <w:szCs w:val="21"/>
              </w:rPr>
              <w:t>万元以上</w:t>
            </w:r>
            <w:r>
              <w:rPr>
                <w:rFonts w:ascii="Times New Roman" w:hAnsi="Times New Roman" w:eastAsia="宋体"/>
                <w:color w:val="000000"/>
                <w:kern w:val="0"/>
                <w:sz w:val="21"/>
                <w:szCs w:val="21"/>
              </w:rPr>
              <w:t>5</w:t>
            </w:r>
            <w:r>
              <w:rPr>
                <w:rFonts w:ascii="Times New Roman" w:hAnsi="Times New Roman" w:eastAsia="方正仿宋_GBK"/>
                <w:color w:val="000000"/>
                <w:kern w:val="0"/>
                <w:sz w:val="21"/>
                <w:szCs w:val="21"/>
              </w:rPr>
              <w:t>万元以下罚款</w:t>
            </w:r>
          </w:p>
        </w:tc>
      </w:tr>
      <w:tr w14:paraId="0EEA928E">
        <w:tblPrEx>
          <w:tblCellMar>
            <w:top w:w="0" w:type="dxa"/>
            <w:left w:w="108" w:type="dxa"/>
            <w:bottom w:w="0" w:type="dxa"/>
            <w:right w:w="108" w:type="dxa"/>
          </w:tblCellMar>
        </w:tblPrEx>
        <w:trPr>
          <w:trHeight w:val="640" w:hRule="atLeast"/>
          <w:jc w:val="center"/>
        </w:trPr>
        <w:tc>
          <w:tcPr>
            <w:tcW w:w="640" w:type="dxa"/>
            <w:vMerge w:val="restart"/>
            <w:tcBorders>
              <w:top w:val="nil"/>
              <w:left w:val="single" w:color="auto" w:sz="4" w:space="0"/>
              <w:bottom w:val="single" w:color="auto" w:sz="4" w:space="0"/>
              <w:right w:val="single" w:color="auto" w:sz="4" w:space="0"/>
            </w:tcBorders>
            <w:shd w:val="clear" w:color="auto" w:fill="auto"/>
            <w:noWrap w:val="0"/>
            <w:vAlign w:val="center"/>
          </w:tcPr>
          <w:p w14:paraId="329A1F74">
            <w:pPr>
              <w:widowControl/>
              <w:spacing w:line="2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5</w:t>
            </w:r>
          </w:p>
        </w:tc>
        <w:tc>
          <w:tcPr>
            <w:tcW w:w="1221" w:type="dxa"/>
            <w:vMerge w:val="restart"/>
            <w:tcBorders>
              <w:top w:val="nil"/>
              <w:left w:val="single" w:color="auto" w:sz="4" w:space="0"/>
              <w:bottom w:val="single" w:color="auto" w:sz="4" w:space="0"/>
              <w:right w:val="single" w:color="auto" w:sz="4" w:space="0"/>
            </w:tcBorders>
            <w:shd w:val="clear" w:color="auto" w:fill="auto"/>
            <w:noWrap w:val="0"/>
            <w:vAlign w:val="center"/>
          </w:tcPr>
          <w:p w14:paraId="7F8E049A">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未经批准，新建、扩建或改建用于生产监控化学品设施的</w:t>
            </w:r>
          </w:p>
        </w:tc>
        <w:tc>
          <w:tcPr>
            <w:tcW w:w="5103" w:type="dxa"/>
            <w:vMerge w:val="restart"/>
            <w:tcBorders>
              <w:top w:val="nil"/>
              <w:left w:val="single" w:color="auto" w:sz="4" w:space="0"/>
              <w:bottom w:val="single" w:color="auto" w:sz="4" w:space="0"/>
              <w:right w:val="single" w:color="auto" w:sz="4" w:space="0"/>
            </w:tcBorders>
            <w:shd w:val="clear" w:color="auto" w:fill="auto"/>
            <w:noWrap w:val="0"/>
            <w:vAlign w:val="center"/>
          </w:tcPr>
          <w:p w14:paraId="1F03978A">
            <w:pPr>
              <w:widowControl/>
              <w:spacing w:line="240" w:lineRule="exact"/>
              <w:jc w:val="left"/>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【部门规章】《</w:t>
            </w:r>
            <w:r>
              <w:rPr>
                <w:rFonts w:ascii="Times New Roman" w:hAnsi="Times New Roman" w:eastAsia="宋体"/>
                <w:color w:val="000000"/>
                <w:kern w:val="0"/>
                <w:sz w:val="21"/>
                <w:szCs w:val="21"/>
              </w:rPr>
              <w:t>&lt;</w:t>
            </w:r>
            <w:r>
              <w:rPr>
                <w:rFonts w:ascii="Times New Roman" w:hAnsi="Times New Roman" w:eastAsia="方正仿宋_GBK"/>
                <w:color w:val="000000"/>
                <w:kern w:val="0"/>
                <w:sz w:val="21"/>
                <w:szCs w:val="21"/>
              </w:rPr>
              <w:t>中华人民共和国监控化学品管理条例</w:t>
            </w:r>
            <w:r>
              <w:rPr>
                <w:rFonts w:ascii="Times New Roman" w:hAnsi="Times New Roman" w:eastAsia="宋体"/>
                <w:color w:val="000000"/>
                <w:kern w:val="0"/>
                <w:sz w:val="21"/>
                <w:szCs w:val="21"/>
              </w:rPr>
              <w:t>&gt;</w:t>
            </w:r>
            <w:r>
              <w:rPr>
                <w:rFonts w:ascii="Times New Roman" w:hAnsi="Times New Roman" w:eastAsia="方正仿宋_GBK"/>
                <w:color w:val="000000"/>
                <w:kern w:val="0"/>
                <w:sz w:val="21"/>
                <w:szCs w:val="21"/>
              </w:rPr>
              <w:t>实施细则》第六条第一款：“</w:t>
            </w:r>
            <w:r>
              <w:rPr>
                <w:rFonts w:hint="eastAsia" w:ascii="Times New Roman" w:hAnsi="Times New Roman" w:eastAsia="方正仿宋_GBK"/>
                <w:color w:val="000000"/>
                <w:kern w:val="0"/>
                <w:sz w:val="21"/>
                <w:szCs w:val="21"/>
              </w:rPr>
              <w:t>新建、扩建或者改建用于生产第二类、第三类监控化学品和第四类监控化学品中含磷、硫、氟的特定有机化学品的设施，应当填写《监控化学品生产设施新（扩、改）建申请表》并附上申请表中要求提供的相关材料，向所在地的省、自治区、直辖市工业和信息化主管部门提出申请。省、自治区、直辖市工业和信息化主管部门应当自收到全部申请材料之日起20个工作日内审查完毕并签署意见，报工业和信息化部批准。</w:t>
            </w:r>
            <w:r>
              <w:rPr>
                <w:rFonts w:ascii="Times New Roman" w:hAnsi="Times New Roman" w:eastAsia="方正仿宋_GBK"/>
                <w:color w:val="000000"/>
                <w:kern w:val="0"/>
                <w:sz w:val="21"/>
                <w:szCs w:val="21"/>
              </w:rPr>
              <w:t>”</w:t>
            </w:r>
          </w:p>
          <w:p w14:paraId="1CA124D2">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第四十七条：</w:t>
            </w:r>
            <w:r>
              <w:rPr>
                <w:rFonts w:ascii="Times New Roman" w:hAnsi="Times New Roman" w:eastAsia="宋体"/>
                <w:color w:val="000000"/>
                <w:kern w:val="0"/>
                <w:sz w:val="21"/>
                <w:szCs w:val="21"/>
              </w:rPr>
              <w:t>“</w:t>
            </w:r>
            <w:r>
              <w:rPr>
                <w:rFonts w:ascii="Times New Roman" w:hAnsi="Times New Roman" w:eastAsia="方正仿宋_GBK"/>
                <w:color w:val="000000"/>
                <w:kern w:val="0"/>
                <w:sz w:val="21"/>
                <w:szCs w:val="21"/>
              </w:rPr>
              <w:t>违反本细则第六条第一款的规定，未经批准，新建、扩建或者改建用于生产第二类、第三类监控化学品和第四类监控化学品中含磷、硫、氟的特定有机化学品的设施的，由省、自治区、直辖市工业和信息化主管部门责令限期改正，停止施工，拆除相关设施，可以并处一万元以上三万元以下罚款。</w:t>
            </w:r>
            <w:r>
              <w:rPr>
                <w:rFonts w:ascii="Times New Roman" w:hAnsi="Times New Roman" w:eastAsia="宋体"/>
                <w:color w:val="000000"/>
                <w:kern w:val="0"/>
                <w:sz w:val="21"/>
                <w:szCs w:val="21"/>
              </w:rPr>
              <w:t>”</w:t>
            </w:r>
          </w:p>
        </w:tc>
        <w:tc>
          <w:tcPr>
            <w:tcW w:w="4986" w:type="dxa"/>
            <w:tcBorders>
              <w:top w:val="single" w:color="auto" w:sz="4" w:space="0"/>
              <w:left w:val="nil"/>
              <w:bottom w:val="single" w:color="auto" w:sz="4" w:space="0"/>
              <w:right w:val="single" w:color="auto" w:sz="4" w:space="0"/>
            </w:tcBorders>
            <w:shd w:val="clear" w:color="auto" w:fill="auto"/>
            <w:noWrap w:val="0"/>
            <w:vAlign w:val="center"/>
          </w:tcPr>
          <w:p w14:paraId="6C6F8F68">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未经批准，新建、扩建或者改建用于生产第四类监控化学品中含磷、硫、氟的特定有机化学品的设施</w:t>
            </w:r>
          </w:p>
        </w:tc>
        <w:tc>
          <w:tcPr>
            <w:tcW w:w="2894" w:type="dxa"/>
            <w:tcBorders>
              <w:top w:val="single" w:color="auto" w:sz="4" w:space="0"/>
              <w:left w:val="nil"/>
              <w:bottom w:val="single" w:color="auto" w:sz="4" w:space="0"/>
              <w:right w:val="single" w:color="auto" w:sz="4" w:space="0"/>
            </w:tcBorders>
            <w:shd w:val="clear" w:color="auto" w:fill="auto"/>
            <w:noWrap w:val="0"/>
            <w:vAlign w:val="center"/>
          </w:tcPr>
          <w:p w14:paraId="3170135B">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责令限期改正，停止施工，拆除相关设施</w:t>
            </w:r>
          </w:p>
        </w:tc>
      </w:tr>
      <w:tr w14:paraId="145177D7">
        <w:tblPrEx>
          <w:tblCellMar>
            <w:top w:w="0" w:type="dxa"/>
            <w:left w:w="108" w:type="dxa"/>
            <w:bottom w:w="0" w:type="dxa"/>
            <w:right w:w="108" w:type="dxa"/>
          </w:tblCellMar>
        </w:tblPrEx>
        <w:trPr>
          <w:trHeight w:val="620" w:hRule="atLeast"/>
          <w:jc w:val="center"/>
        </w:trPr>
        <w:tc>
          <w:tcPr>
            <w:tcW w:w="6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6A43BD30">
            <w:pPr>
              <w:widowControl/>
              <w:spacing w:line="240" w:lineRule="exact"/>
              <w:jc w:val="left"/>
              <w:rPr>
                <w:rFonts w:ascii="Times New Roman" w:hAnsi="Times New Roman" w:eastAsia="宋体"/>
                <w:color w:val="000000"/>
                <w:kern w:val="0"/>
                <w:sz w:val="21"/>
                <w:szCs w:val="21"/>
              </w:rPr>
            </w:pPr>
          </w:p>
        </w:tc>
        <w:tc>
          <w:tcPr>
            <w:tcW w:w="122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553DEE2A">
            <w:pPr>
              <w:widowControl/>
              <w:spacing w:line="240" w:lineRule="exact"/>
              <w:jc w:val="left"/>
              <w:rPr>
                <w:rFonts w:ascii="Times New Roman" w:hAnsi="Times New Roman" w:eastAsia="宋体"/>
                <w:color w:val="000000"/>
                <w:kern w:val="0"/>
                <w:sz w:val="21"/>
                <w:szCs w:val="21"/>
              </w:rPr>
            </w:pPr>
          </w:p>
        </w:tc>
        <w:tc>
          <w:tcPr>
            <w:tcW w:w="5103" w:type="dxa"/>
            <w:vMerge w:val="continue"/>
            <w:tcBorders>
              <w:top w:val="nil"/>
              <w:left w:val="single" w:color="auto" w:sz="4" w:space="0"/>
              <w:bottom w:val="single" w:color="auto" w:sz="4" w:space="0"/>
              <w:right w:val="single" w:color="auto" w:sz="4" w:space="0"/>
            </w:tcBorders>
            <w:shd w:val="clear" w:color="auto" w:fill="auto"/>
            <w:noWrap w:val="0"/>
            <w:vAlign w:val="center"/>
          </w:tcPr>
          <w:p w14:paraId="016AFDAB">
            <w:pPr>
              <w:widowControl/>
              <w:spacing w:line="240" w:lineRule="exact"/>
              <w:jc w:val="left"/>
              <w:rPr>
                <w:rFonts w:ascii="Times New Roman" w:hAnsi="Times New Roman" w:eastAsia="宋体"/>
                <w:color w:val="000000"/>
                <w:kern w:val="0"/>
                <w:sz w:val="21"/>
                <w:szCs w:val="21"/>
              </w:rPr>
            </w:pPr>
          </w:p>
        </w:tc>
        <w:tc>
          <w:tcPr>
            <w:tcW w:w="4986" w:type="dxa"/>
            <w:tcBorders>
              <w:top w:val="nil"/>
              <w:left w:val="nil"/>
              <w:bottom w:val="single" w:color="auto" w:sz="4" w:space="0"/>
              <w:right w:val="single" w:color="auto" w:sz="4" w:space="0"/>
            </w:tcBorders>
            <w:shd w:val="clear" w:color="auto" w:fill="auto"/>
            <w:noWrap w:val="0"/>
            <w:vAlign w:val="center"/>
          </w:tcPr>
          <w:p w14:paraId="2548B34B">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未经批准，新建、扩建或者改建用于生产第三类监控化学品的设施</w:t>
            </w:r>
          </w:p>
        </w:tc>
        <w:tc>
          <w:tcPr>
            <w:tcW w:w="2894" w:type="dxa"/>
            <w:tcBorders>
              <w:top w:val="nil"/>
              <w:left w:val="nil"/>
              <w:bottom w:val="single" w:color="auto" w:sz="4" w:space="0"/>
              <w:right w:val="single" w:color="auto" w:sz="4" w:space="0"/>
            </w:tcBorders>
            <w:shd w:val="clear" w:color="auto" w:fill="auto"/>
            <w:noWrap w:val="0"/>
            <w:vAlign w:val="center"/>
          </w:tcPr>
          <w:p w14:paraId="18B3D552">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责令限期改正，停止施工，拆除相关设施，处</w:t>
            </w:r>
            <w:r>
              <w:rPr>
                <w:rFonts w:ascii="Times New Roman" w:hAnsi="Times New Roman" w:eastAsia="宋体"/>
                <w:color w:val="000000"/>
                <w:kern w:val="0"/>
                <w:sz w:val="21"/>
                <w:szCs w:val="21"/>
              </w:rPr>
              <w:t>1</w:t>
            </w:r>
            <w:r>
              <w:rPr>
                <w:rFonts w:ascii="Times New Roman" w:hAnsi="Times New Roman" w:eastAsia="方正仿宋_GBK"/>
                <w:color w:val="000000"/>
                <w:kern w:val="0"/>
                <w:sz w:val="21"/>
                <w:szCs w:val="21"/>
              </w:rPr>
              <w:t>万元以上</w:t>
            </w:r>
            <w:r>
              <w:rPr>
                <w:rFonts w:ascii="Times New Roman" w:hAnsi="Times New Roman" w:eastAsia="宋体"/>
                <w:color w:val="000000"/>
                <w:kern w:val="0"/>
                <w:sz w:val="21"/>
                <w:szCs w:val="21"/>
              </w:rPr>
              <w:t>2</w:t>
            </w:r>
            <w:r>
              <w:rPr>
                <w:rFonts w:ascii="Times New Roman" w:hAnsi="Times New Roman" w:eastAsia="方正仿宋_GBK"/>
                <w:color w:val="000000"/>
                <w:kern w:val="0"/>
                <w:sz w:val="21"/>
                <w:szCs w:val="21"/>
              </w:rPr>
              <w:t>万以下罚款</w:t>
            </w:r>
          </w:p>
        </w:tc>
      </w:tr>
      <w:tr w14:paraId="110BA288">
        <w:tblPrEx>
          <w:tblCellMar>
            <w:top w:w="0" w:type="dxa"/>
            <w:left w:w="108" w:type="dxa"/>
            <w:bottom w:w="0" w:type="dxa"/>
            <w:right w:w="108" w:type="dxa"/>
          </w:tblCellMar>
        </w:tblPrEx>
        <w:trPr>
          <w:trHeight w:val="620" w:hRule="atLeast"/>
          <w:jc w:val="center"/>
        </w:trPr>
        <w:tc>
          <w:tcPr>
            <w:tcW w:w="6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64E1EAE2">
            <w:pPr>
              <w:widowControl/>
              <w:spacing w:line="240" w:lineRule="exact"/>
              <w:jc w:val="left"/>
              <w:rPr>
                <w:rFonts w:ascii="Times New Roman" w:hAnsi="Times New Roman" w:eastAsia="宋体"/>
                <w:color w:val="000000"/>
                <w:kern w:val="0"/>
                <w:sz w:val="21"/>
                <w:szCs w:val="21"/>
              </w:rPr>
            </w:pPr>
          </w:p>
        </w:tc>
        <w:tc>
          <w:tcPr>
            <w:tcW w:w="122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5EC3B782">
            <w:pPr>
              <w:widowControl/>
              <w:spacing w:line="240" w:lineRule="exact"/>
              <w:jc w:val="left"/>
              <w:rPr>
                <w:rFonts w:ascii="Times New Roman" w:hAnsi="Times New Roman" w:eastAsia="宋体"/>
                <w:color w:val="000000"/>
                <w:kern w:val="0"/>
                <w:sz w:val="21"/>
                <w:szCs w:val="21"/>
              </w:rPr>
            </w:pPr>
          </w:p>
        </w:tc>
        <w:tc>
          <w:tcPr>
            <w:tcW w:w="5103" w:type="dxa"/>
            <w:vMerge w:val="continue"/>
            <w:tcBorders>
              <w:top w:val="nil"/>
              <w:left w:val="single" w:color="auto" w:sz="4" w:space="0"/>
              <w:bottom w:val="single" w:color="auto" w:sz="4" w:space="0"/>
              <w:right w:val="single" w:color="auto" w:sz="4" w:space="0"/>
            </w:tcBorders>
            <w:shd w:val="clear" w:color="auto" w:fill="auto"/>
            <w:noWrap w:val="0"/>
            <w:vAlign w:val="center"/>
          </w:tcPr>
          <w:p w14:paraId="362B245F">
            <w:pPr>
              <w:widowControl/>
              <w:spacing w:line="240" w:lineRule="exact"/>
              <w:jc w:val="left"/>
              <w:rPr>
                <w:rFonts w:ascii="Times New Roman" w:hAnsi="Times New Roman" w:eastAsia="宋体"/>
                <w:color w:val="000000"/>
                <w:kern w:val="0"/>
                <w:sz w:val="21"/>
                <w:szCs w:val="21"/>
              </w:rPr>
            </w:pPr>
          </w:p>
        </w:tc>
        <w:tc>
          <w:tcPr>
            <w:tcW w:w="4986" w:type="dxa"/>
            <w:tcBorders>
              <w:top w:val="nil"/>
              <w:left w:val="nil"/>
              <w:bottom w:val="single" w:color="auto" w:sz="4" w:space="0"/>
              <w:right w:val="single" w:color="auto" w:sz="4" w:space="0"/>
            </w:tcBorders>
            <w:shd w:val="clear" w:color="auto" w:fill="auto"/>
            <w:noWrap w:val="0"/>
            <w:vAlign w:val="center"/>
          </w:tcPr>
          <w:p w14:paraId="2816F22E">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未经批准，新建、扩建或者改建用于生产第二类监控化学品的设施</w:t>
            </w:r>
          </w:p>
        </w:tc>
        <w:tc>
          <w:tcPr>
            <w:tcW w:w="2894" w:type="dxa"/>
            <w:tcBorders>
              <w:top w:val="nil"/>
              <w:left w:val="nil"/>
              <w:bottom w:val="single" w:color="auto" w:sz="4" w:space="0"/>
              <w:right w:val="single" w:color="auto" w:sz="4" w:space="0"/>
            </w:tcBorders>
            <w:shd w:val="clear" w:color="auto" w:fill="auto"/>
            <w:noWrap w:val="0"/>
            <w:vAlign w:val="center"/>
          </w:tcPr>
          <w:p w14:paraId="39FE7D86">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责令限期改正，停止施工，拆除相关设施，处</w:t>
            </w:r>
            <w:r>
              <w:rPr>
                <w:rFonts w:ascii="Times New Roman" w:hAnsi="Times New Roman" w:eastAsia="宋体"/>
                <w:color w:val="000000"/>
                <w:kern w:val="0"/>
                <w:sz w:val="21"/>
                <w:szCs w:val="21"/>
              </w:rPr>
              <w:t>2</w:t>
            </w:r>
            <w:r>
              <w:rPr>
                <w:rFonts w:ascii="Times New Roman" w:hAnsi="Times New Roman" w:eastAsia="方正仿宋_GBK"/>
                <w:color w:val="000000"/>
                <w:kern w:val="0"/>
                <w:sz w:val="21"/>
                <w:szCs w:val="21"/>
              </w:rPr>
              <w:t>万元以上</w:t>
            </w:r>
            <w:r>
              <w:rPr>
                <w:rFonts w:ascii="Times New Roman" w:hAnsi="Times New Roman" w:eastAsia="宋体"/>
                <w:color w:val="000000"/>
                <w:kern w:val="0"/>
                <w:sz w:val="21"/>
                <w:szCs w:val="21"/>
              </w:rPr>
              <w:t>3</w:t>
            </w:r>
            <w:r>
              <w:rPr>
                <w:rFonts w:ascii="Times New Roman" w:hAnsi="Times New Roman" w:eastAsia="方正仿宋_GBK"/>
                <w:color w:val="000000"/>
                <w:kern w:val="0"/>
                <w:sz w:val="21"/>
                <w:szCs w:val="21"/>
              </w:rPr>
              <w:t>万元以下罚款</w:t>
            </w:r>
          </w:p>
        </w:tc>
      </w:tr>
      <w:tr w14:paraId="16ECF2C3">
        <w:tblPrEx>
          <w:tblCellMar>
            <w:top w:w="0" w:type="dxa"/>
            <w:left w:w="108" w:type="dxa"/>
            <w:bottom w:w="0" w:type="dxa"/>
            <w:right w:w="108" w:type="dxa"/>
          </w:tblCellMar>
        </w:tblPrEx>
        <w:trPr>
          <w:trHeight w:val="310" w:hRule="atLeast"/>
          <w:jc w:val="center"/>
        </w:trPr>
        <w:tc>
          <w:tcPr>
            <w:tcW w:w="640" w:type="dxa"/>
            <w:vMerge w:val="restart"/>
            <w:tcBorders>
              <w:top w:val="nil"/>
              <w:left w:val="single" w:color="auto" w:sz="4" w:space="0"/>
              <w:bottom w:val="single" w:color="auto" w:sz="4" w:space="0"/>
              <w:right w:val="single" w:color="auto" w:sz="4" w:space="0"/>
            </w:tcBorders>
            <w:shd w:val="clear" w:color="auto" w:fill="auto"/>
            <w:noWrap/>
            <w:vAlign w:val="center"/>
          </w:tcPr>
          <w:p w14:paraId="7B49D456">
            <w:pPr>
              <w:widowControl/>
              <w:spacing w:line="2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6</w:t>
            </w:r>
          </w:p>
        </w:tc>
        <w:tc>
          <w:tcPr>
            <w:tcW w:w="1221" w:type="dxa"/>
            <w:vMerge w:val="restart"/>
            <w:tcBorders>
              <w:top w:val="nil"/>
              <w:left w:val="single" w:color="auto" w:sz="4" w:space="0"/>
              <w:bottom w:val="single" w:color="auto" w:sz="4" w:space="0"/>
              <w:right w:val="single" w:color="auto" w:sz="4" w:space="0"/>
            </w:tcBorders>
            <w:shd w:val="clear" w:color="auto" w:fill="auto"/>
            <w:noWrap w:val="0"/>
            <w:vAlign w:val="center"/>
          </w:tcPr>
          <w:p w14:paraId="6FDC27FE">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违反规定使用和管理监控化学品许可证书的</w:t>
            </w:r>
          </w:p>
        </w:tc>
        <w:tc>
          <w:tcPr>
            <w:tcW w:w="5103" w:type="dxa"/>
            <w:vMerge w:val="restart"/>
            <w:tcBorders>
              <w:top w:val="nil"/>
              <w:left w:val="single" w:color="auto" w:sz="4" w:space="0"/>
              <w:bottom w:val="single" w:color="auto" w:sz="4" w:space="0"/>
              <w:right w:val="single" w:color="auto" w:sz="4" w:space="0"/>
            </w:tcBorders>
            <w:shd w:val="clear" w:color="auto" w:fill="auto"/>
            <w:noWrap w:val="0"/>
            <w:vAlign w:val="center"/>
          </w:tcPr>
          <w:p w14:paraId="5507B7D4">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【部门规章】《</w:t>
            </w:r>
            <w:r>
              <w:rPr>
                <w:rFonts w:ascii="Times New Roman" w:hAnsi="Times New Roman" w:eastAsia="宋体"/>
                <w:color w:val="000000"/>
                <w:kern w:val="0"/>
                <w:sz w:val="21"/>
                <w:szCs w:val="21"/>
              </w:rPr>
              <w:t>&lt;</w:t>
            </w:r>
            <w:r>
              <w:rPr>
                <w:rFonts w:ascii="Times New Roman" w:hAnsi="Times New Roman" w:eastAsia="方正仿宋_GBK"/>
                <w:color w:val="000000"/>
                <w:kern w:val="0"/>
                <w:sz w:val="21"/>
                <w:szCs w:val="21"/>
              </w:rPr>
              <w:t>中华人民共和国监控化学品管理条例</w:t>
            </w:r>
            <w:r>
              <w:rPr>
                <w:rFonts w:ascii="Times New Roman" w:hAnsi="Times New Roman" w:eastAsia="宋体"/>
                <w:color w:val="000000"/>
                <w:kern w:val="0"/>
                <w:sz w:val="21"/>
                <w:szCs w:val="21"/>
              </w:rPr>
              <w:t>&gt;</w:t>
            </w:r>
            <w:r>
              <w:rPr>
                <w:rFonts w:ascii="Times New Roman" w:hAnsi="Times New Roman" w:eastAsia="方正仿宋_GBK"/>
                <w:color w:val="000000"/>
                <w:kern w:val="0"/>
                <w:sz w:val="21"/>
                <w:szCs w:val="21"/>
              </w:rPr>
              <w:t>实施细则》第四十八条：</w:t>
            </w:r>
            <w:r>
              <w:rPr>
                <w:rFonts w:ascii="Times New Roman" w:hAnsi="Times New Roman" w:eastAsia="宋体"/>
                <w:color w:val="000000"/>
                <w:kern w:val="0"/>
                <w:sz w:val="21"/>
                <w:szCs w:val="21"/>
              </w:rPr>
              <w:t>“</w:t>
            </w:r>
            <w:r>
              <w:rPr>
                <w:rFonts w:ascii="Times New Roman" w:hAnsi="Times New Roman" w:eastAsia="方正仿宋_GBK"/>
                <w:color w:val="000000"/>
                <w:kern w:val="0"/>
                <w:sz w:val="21"/>
                <w:szCs w:val="21"/>
              </w:rPr>
              <w:t>涂改、倒卖、出租、出借或者以其他方式转让生产特别许可证、经营许可证、使用许可证的，由所在地的省、自治区、直辖市工业和信息化主管部门责令限期改正，可以并处三万元以下罚款。</w:t>
            </w:r>
            <w:r>
              <w:rPr>
                <w:rFonts w:ascii="Times New Roman" w:hAnsi="Times New Roman" w:eastAsia="宋体"/>
                <w:color w:val="000000"/>
                <w:kern w:val="0"/>
                <w:sz w:val="21"/>
                <w:szCs w:val="21"/>
              </w:rPr>
              <w:t>”</w:t>
            </w:r>
          </w:p>
        </w:tc>
        <w:tc>
          <w:tcPr>
            <w:tcW w:w="4986" w:type="dxa"/>
            <w:tcBorders>
              <w:top w:val="single" w:color="auto" w:sz="4" w:space="0"/>
              <w:left w:val="nil"/>
              <w:bottom w:val="single" w:color="auto" w:sz="4" w:space="0"/>
              <w:right w:val="single" w:color="auto" w:sz="4" w:space="0"/>
            </w:tcBorders>
            <w:shd w:val="clear" w:color="auto" w:fill="auto"/>
            <w:noWrap w:val="0"/>
            <w:vAlign w:val="center"/>
          </w:tcPr>
          <w:p w14:paraId="6B72A8FE">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涂改、倒卖、出租、出借或者以其他方式转让第四类监控化学品中含磷、硫、氟的特定有机化学品生产特别许可证的</w:t>
            </w:r>
          </w:p>
        </w:tc>
        <w:tc>
          <w:tcPr>
            <w:tcW w:w="2894" w:type="dxa"/>
            <w:tcBorders>
              <w:top w:val="single" w:color="auto" w:sz="4" w:space="0"/>
              <w:left w:val="nil"/>
              <w:bottom w:val="single" w:color="auto" w:sz="4" w:space="0"/>
              <w:right w:val="single" w:color="auto" w:sz="4" w:space="0"/>
            </w:tcBorders>
            <w:shd w:val="clear" w:color="auto" w:fill="auto"/>
            <w:noWrap w:val="0"/>
            <w:vAlign w:val="center"/>
          </w:tcPr>
          <w:p w14:paraId="350335FF">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责令限期改正，处</w:t>
            </w:r>
            <w:r>
              <w:rPr>
                <w:rFonts w:ascii="Times New Roman" w:hAnsi="Times New Roman" w:eastAsia="宋体"/>
                <w:color w:val="000000"/>
                <w:kern w:val="0"/>
                <w:sz w:val="21"/>
                <w:szCs w:val="21"/>
              </w:rPr>
              <w:t>1</w:t>
            </w:r>
            <w:r>
              <w:rPr>
                <w:rFonts w:ascii="Times New Roman" w:hAnsi="Times New Roman" w:eastAsia="方正仿宋_GBK"/>
                <w:color w:val="000000"/>
                <w:kern w:val="0"/>
                <w:sz w:val="21"/>
                <w:szCs w:val="21"/>
              </w:rPr>
              <w:t>万元以下罚款</w:t>
            </w:r>
          </w:p>
        </w:tc>
      </w:tr>
      <w:tr w14:paraId="531D8FE8">
        <w:tblPrEx>
          <w:tblCellMar>
            <w:top w:w="0" w:type="dxa"/>
            <w:left w:w="108" w:type="dxa"/>
            <w:bottom w:w="0" w:type="dxa"/>
            <w:right w:w="108" w:type="dxa"/>
          </w:tblCellMar>
        </w:tblPrEx>
        <w:trPr>
          <w:trHeight w:val="620" w:hRule="atLeast"/>
          <w:jc w:val="center"/>
        </w:trPr>
        <w:tc>
          <w:tcPr>
            <w:tcW w:w="6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1C7C2133">
            <w:pPr>
              <w:widowControl/>
              <w:spacing w:line="240" w:lineRule="exact"/>
              <w:jc w:val="left"/>
              <w:rPr>
                <w:rFonts w:ascii="Times New Roman" w:hAnsi="Times New Roman" w:eastAsia="宋体"/>
                <w:color w:val="000000"/>
                <w:kern w:val="0"/>
                <w:sz w:val="21"/>
                <w:szCs w:val="21"/>
              </w:rPr>
            </w:pPr>
          </w:p>
        </w:tc>
        <w:tc>
          <w:tcPr>
            <w:tcW w:w="122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0DAED463">
            <w:pPr>
              <w:widowControl/>
              <w:spacing w:line="240" w:lineRule="exact"/>
              <w:jc w:val="left"/>
              <w:rPr>
                <w:rFonts w:ascii="Times New Roman" w:hAnsi="Times New Roman" w:eastAsia="宋体"/>
                <w:color w:val="000000"/>
                <w:kern w:val="0"/>
                <w:sz w:val="21"/>
                <w:szCs w:val="21"/>
              </w:rPr>
            </w:pPr>
          </w:p>
        </w:tc>
        <w:tc>
          <w:tcPr>
            <w:tcW w:w="5103" w:type="dxa"/>
            <w:vMerge w:val="continue"/>
            <w:tcBorders>
              <w:top w:val="nil"/>
              <w:left w:val="single" w:color="auto" w:sz="4" w:space="0"/>
              <w:bottom w:val="single" w:color="auto" w:sz="4" w:space="0"/>
              <w:right w:val="single" w:color="auto" w:sz="4" w:space="0"/>
            </w:tcBorders>
            <w:shd w:val="clear" w:color="auto" w:fill="auto"/>
            <w:noWrap w:val="0"/>
            <w:vAlign w:val="center"/>
          </w:tcPr>
          <w:p w14:paraId="79C98105">
            <w:pPr>
              <w:widowControl/>
              <w:spacing w:line="240" w:lineRule="exact"/>
              <w:jc w:val="left"/>
              <w:rPr>
                <w:rFonts w:ascii="Times New Roman" w:hAnsi="Times New Roman" w:eastAsia="宋体"/>
                <w:color w:val="000000"/>
                <w:kern w:val="0"/>
                <w:sz w:val="21"/>
                <w:szCs w:val="21"/>
              </w:rPr>
            </w:pPr>
          </w:p>
        </w:tc>
        <w:tc>
          <w:tcPr>
            <w:tcW w:w="4986" w:type="dxa"/>
            <w:tcBorders>
              <w:top w:val="nil"/>
              <w:left w:val="nil"/>
              <w:bottom w:val="single" w:color="auto" w:sz="4" w:space="0"/>
              <w:right w:val="single" w:color="auto" w:sz="4" w:space="0"/>
            </w:tcBorders>
            <w:shd w:val="clear" w:color="auto" w:fill="auto"/>
            <w:noWrap w:val="0"/>
            <w:vAlign w:val="center"/>
          </w:tcPr>
          <w:p w14:paraId="6831C9A2">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涂改、倒卖、出租、出借或者以其他方式转让第三类监控化学品生产特别许可证的</w:t>
            </w:r>
          </w:p>
        </w:tc>
        <w:tc>
          <w:tcPr>
            <w:tcW w:w="2894" w:type="dxa"/>
            <w:tcBorders>
              <w:top w:val="nil"/>
              <w:left w:val="nil"/>
              <w:bottom w:val="single" w:color="auto" w:sz="4" w:space="0"/>
              <w:right w:val="single" w:color="auto" w:sz="4" w:space="0"/>
            </w:tcBorders>
            <w:shd w:val="clear" w:color="auto" w:fill="auto"/>
            <w:noWrap w:val="0"/>
            <w:vAlign w:val="center"/>
          </w:tcPr>
          <w:p w14:paraId="6BD8654D">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责令限期改正，处</w:t>
            </w:r>
            <w:r>
              <w:rPr>
                <w:rFonts w:ascii="Times New Roman" w:hAnsi="Times New Roman" w:eastAsia="宋体"/>
                <w:color w:val="000000"/>
                <w:kern w:val="0"/>
                <w:sz w:val="21"/>
                <w:szCs w:val="21"/>
              </w:rPr>
              <w:t>1</w:t>
            </w:r>
            <w:r>
              <w:rPr>
                <w:rFonts w:ascii="Times New Roman" w:hAnsi="Times New Roman" w:eastAsia="方正仿宋_GBK"/>
                <w:color w:val="000000"/>
                <w:kern w:val="0"/>
                <w:sz w:val="21"/>
                <w:szCs w:val="21"/>
              </w:rPr>
              <w:t>万元以上</w:t>
            </w:r>
            <w:r>
              <w:rPr>
                <w:rFonts w:ascii="Times New Roman" w:hAnsi="Times New Roman" w:eastAsia="宋体"/>
                <w:color w:val="000000"/>
                <w:kern w:val="0"/>
                <w:sz w:val="21"/>
                <w:szCs w:val="21"/>
              </w:rPr>
              <w:t>2</w:t>
            </w:r>
            <w:r>
              <w:rPr>
                <w:rFonts w:ascii="Times New Roman" w:hAnsi="Times New Roman" w:eastAsia="方正仿宋_GBK"/>
                <w:color w:val="000000"/>
                <w:kern w:val="0"/>
                <w:sz w:val="21"/>
                <w:szCs w:val="21"/>
              </w:rPr>
              <w:t>万元以下罚款</w:t>
            </w:r>
          </w:p>
        </w:tc>
      </w:tr>
      <w:tr w14:paraId="1857653A">
        <w:tblPrEx>
          <w:tblCellMar>
            <w:top w:w="0" w:type="dxa"/>
            <w:left w:w="108" w:type="dxa"/>
            <w:bottom w:w="0" w:type="dxa"/>
            <w:right w:w="108" w:type="dxa"/>
          </w:tblCellMar>
        </w:tblPrEx>
        <w:trPr>
          <w:trHeight w:val="620" w:hRule="atLeast"/>
          <w:jc w:val="center"/>
        </w:trPr>
        <w:tc>
          <w:tcPr>
            <w:tcW w:w="6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5380D6F1">
            <w:pPr>
              <w:widowControl/>
              <w:spacing w:line="240" w:lineRule="exact"/>
              <w:jc w:val="left"/>
              <w:rPr>
                <w:rFonts w:ascii="Times New Roman" w:hAnsi="Times New Roman" w:eastAsia="宋体"/>
                <w:color w:val="000000"/>
                <w:kern w:val="0"/>
                <w:sz w:val="21"/>
                <w:szCs w:val="21"/>
              </w:rPr>
            </w:pPr>
          </w:p>
        </w:tc>
        <w:tc>
          <w:tcPr>
            <w:tcW w:w="122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0B6EE0BD">
            <w:pPr>
              <w:widowControl/>
              <w:spacing w:line="240" w:lineRule="exact"/>
              <w:jc w:val="left"/>
              <w:rPr>
                <w:rFonts w:ascii="Times New Roman" w:hAnsi="Times New Roman" w:eastAsia="宋体"/>
                <w:color w:val="000000"/>
                <w:kern w:val="0"/>
                <w:sz w:val="21"/>
                <w:szCs w:val="21"/>
              </w:rPr>
            </w:pPr>
          </w:p>
        </w:tc>
        <w:tc>
          <w:tcPr>
            <w:tcW w:w="5103" w:type="dxa"/>
            <w:vMerge w:val="continue"/>
            <w:tcBorders>
              <w:top w:val="nil"/>
              <w:left w:val="single" w:color="auto" w:sz="4" w:space="0"/>
              <w:bottom w:val="single" w:color="auto" w:sz="4" w:space="0"/>
              <w:right w:val="single" w:color="auto" w:sz="4" w:space="0"/>
            </w:tcBorders>
            <w:shd w:val="clear" w:color="auto" w:fill="auto"/>
            <w:noWrap w:val="0"/>
            <w:vAlign w:val="center"/>
          </w:tcPr>
          <w:p w14:paraId="1DE5A899">
            <w:pPr>
              <w:widowControl/>
              <w:spacing w:line="240" w:lineRule="exact"/>
              <w:jc w:val="left"/>
              <w:rPr>
                <w:rFonts w:ascii="Times New Roman" w:hAnsi="Times New Roman" w:eastAsia="宋体"/>
                <w:color w:val="000000"/>
                <w:kern w:val="0"/>
                <w:sz w:val="21"/>
                <w:szCs w:val="21"/>
              </w:rPr>
            </w:pPr>
          </w:p>
        </w:tc>
        <w:tc>
          <w:tcPr>
            <w:tcW w:w="4986" w:type="dxa"/>
            <w:tcBorders>
              <w:top w:val="nil"/>
              <w:left w:val="nil"/>
              <w:bottom w:val="single" w:color="auto" w:sz="4" w:space="0"/>
              <w:right w:val="single" w:color="auto" w:sz="4" w:space="0"/>
            </w:tcBorders>
            <w:shd w:val="clear" w:color="auto" w:fill="auto"/>
            <w:noWrap w:val="0"/>
            <w:vAlign w:val="center"/>
          </w:tcPr>
          <w:p w14:paraId="556F5E1F">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涂改、倒卖、出租、出借或者以其他方式转让第二类监控化学品生产特别许可证、经营许可证、使用许可证的</w:t>
            </w:r>
          </w:p>
        </w:tc>
        <w:tc>
          <w:tcPr>
            <w:tcW w:w="2894" w:type="dxa"/>
            <w:tcBorders>
              <w:top w:val="nil"/>
              <w:left w:val="nil"/>
              <w:bottom w:val="single" w:color="auto" w:sz="4" w:space="0"/>
              <w:right w:val="single" w:color="auto" w:sz="4" w:space="0"/>
            </w:tcBorders>
            <w:shd w:val="clear" w:color="auto" w:fill="auto"/>
            <w:noWrap w:val="0"/>
            <w:vAlign w:val="center"/>
          </w:tcPr>
          <w:p w14:paraId="24FF2A67">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责令限期改正，处</w:t>
            </w:r>
            <w:r>
              <w:rPr>
                <w:rFonts w:ascii="Times New Roman" w:hAnsi="Times New Roman" w:eastAsia="宋体"/>
                <w:color w:val="000000"/>
                <w:kern w:val="0"/>
                <w:sz w:val="21"/>
                <w:szCs w:val="21"/>
              </w:rPr>
              <w:t>2</w:t>
            </w:r>
            <w:r>
              <w:rPr>
                <w:rFonts w:ascii="Times New Roman" w:hAnsi="Times New Roman" w:eastAsia="方正仿宋_GBK"/>
                <w:color w:val="000000"/>
                <w:kern w:val="0"/>
                <w:sz w:val="21"/>
                <w:szCs w:val="21"/>
              </w:rPr>
              <w:t>万元以上</w:t>
            </w:r>
            <w:r>
              <w:rPr>
                <w:rFonts w:ascii="Times New Roman" w:hAnsi="Times New Roman" w:eastAsia="宋体"/>
                <w:color w:val="000000"/>
                <w:kern w:val="0"/>
                <w:sz w:val="21"/>
                <w:szCs w:val="21"/>
              </w:rPr>
              <w:t>3</w:t>
            </w:r>
            <w:r>
              <w:rPr>
                <w:rFonts w:ascii="Times New Roman" w:hAnsi="Times New Roman" w:eastAsia="方正仿宋_GBK"/>
                <w:color w:val="000000"/>
                <w:kern w:val="0"/>
                <w:sz w:val="21"/>
                <w:szCs w:val="21"/>
              </w:rPr>
              <w:t>万元以下罚款</w:t>
            </w:r>
          </w:p>
        </w:tc>
      </w:tr>
      <w:tr w14:paraId="7AC44E7A">
        <w:tblPrEx>
          <w:tblCellMar>
            <w:top w:w="0" w:type="dxa"/>
            <w:left w:w="108" w:type="dxa"/>
            <w:bottom w:w="0" w:type="dxa"/>
            <w:right w:w="108" w:type="dxa"/>
          </w:tblCellMar>
        </w:tblPrEx>
        <w:trPr>
          <w:trHeight w:val="3099" w:hRule="atLeast"/>
          <w:jc w:val="center"/>
        </w:trPr>
        <w:tc>
          <w:tcPr>
            <w:tcW w:w="640" w:type="dxa"/>
            <w:vMerge w:val="restart"/>
            <w:tcBorders>
              <w:top w:val="nil"/>
              <w:left w:val="single" w:color="auto" w:sz="4" w:space="0"/>
              <w:right w:val="single" w:color="auto" w:sz="4" w:space="0"/>
            </w:tcBorders>
            <w:shd w:val="clear" w:color="auto" w:fill="auto"/>
            <w:noWrap/>
            <w:vAlign w:val="center"/>
          </w:tcPr>
          <w:p w14:paraId="00C02FF5">
            <w:pPr>
              <w:widowControl/>
              <w:spacing w:line="2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7</w:t>
            </w:r>
          </w:p>
        </w:tc>
        <w:tc>
          <w:tcPr>
            <w:tcW w:w="1221" w:type="dxa"/>
            <w:vMerge w:val="restart"/>
            <w:tcBorders>
              <w:top w:val="nil"/>
              <w:left w:val="single" w:color="auto" w:sz="4" w:space="0"/>
              <w:right w:val="single" w:color="auto" w:sz="4" w:space="0"/>
            </w:tcBorders>
            <w:shd w:val="clear" w:color="auto" w:fill="auto"/>
            <w:noWrap w:val="0"/>
            <w:vAlign w:val="center"/>
          </w:tcPr>
          <w:p w14:paraId="47C91564">
            <w:pPr>
              <w:widowControl/>
              <w:spacing w:line="240" w:lineRule="exact"/>
              <w:jc w:val="left"/>
              <w:rPr>
                <w:rFonts w:hint="eastAsia"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违反规定</w:t>
            </w:r>
            <w:r>
              <w:rPr>
                <w:rFonts w:ascii="Times New Roman" w:hAnsi="Times New Roman" w:eastAsia="方正仿宋_GBK"/>
                <w:color w:val="000000"/>
                <w:kern w:val="0"/>
                <w:sz w:val="21"/>
                <w:szCs w:val="21"/>
              </w:rPr>
              <w:t>销售、购买监控化学品的</w:t>
            </w:r>
          </w:p>
        </w:tc>
        <w:tc>
          <w:tcPr>
            <w:tcW w:w="5103" w:type="dxa"/>
            <w:vMerge w:val="restart"/>
            <w:tcBorders>
              <w:top w:val="nil"/>
              <w:left w:val="single" w:color="auto" w:sz="4" w:space="0"/>
              <w:right w:val="single" w:color="auto" w:sz="4" w:space="0"/>
            </w:tcBorders>
            <w:shd w:val="clear" w:color="auto" w:fill="auto"/>
            <w:noWrap w:val="0"/>
            <w:vAlign w:val="center"/>
          </w:tcPr>
          <w:p w14:paraId="0594D072">
            <w:pPr>
              <w:widowControl/>
              <w:spacing w:line="240" w:lineRule="exact"/>
              <w:jc w:val="left"/>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【部门规章】《</w:t>
            </w:r>
            <w:r>
              <w:rPr>
                <w:rFonts w:ascii="Times New Roman" w:hAnsi="Times New Roman" w:eastAsia="宋体"/>
                <w:color w:val="000000"/>
                <w:kern w:val="0"/>
                <w:sz w:val="21"/>
                <w:szCs w:val="21"/>
              </w:rPr>
              <w:t>&lt;</w:t>
            </w:r>
            <w:r>
              <w:rPr>
                <w:rFonts w:ascii="Times New Roman" w:hAnsi="Times New Roman" w:eastAsia="方正仿宋_GBK"/>
                <w:color w:val="000000"/>
                <w:kern w:val="0"/>
                <w:sz w:val="21"/>
                <w:szCs w:val="21"/>
              </w:rPr>
              <w:t>中华人民共和国监控化学品管理条例</w:t>
            </w:r>
            <w:r>
              <w:rPr>
                <w:rFonts w:ascii="Times New Roman" w:hAnsi="Times New Roman" w:eastAsia="宋体"/>
                <w:color w:val="000000"/>
                <w:kern w:val="0"/>
                <w:sz w:val="21"/>
                <w:szCs w:val="21"/>
              </w:rPr>
              <w:t>&gt;</w:t>
            </w:r>
            <w:r>
              <w:rPr>
                <w:rFonts w:ascii="Times New Roman" w:hAnsi="Times New Roman" w:eastAsia="方正仿宋_GBK"/>
                <w:color w:val="000000"/>
                <w:kern w:val="0"/>
                <w:sz w:val="21"/>
                <w:szCs w:val="21"/>
              </w:rPr>
              <w:t>实施细则》第十六条</w:t>
            </w:r>
            <w:r>
              <w:rPr>
                <w:rFonts w:hint="eastAsia" w:ascii="Times New Roman" w:hAnsi="Times New Roman" w:eastAsia="方正仿宋_GBK"/>
                <w:color w:val="000000"/>
                <w:kern w:val="0"/>
                <w:sz w:val="21"/>
                <w:szCs w:val="21"/>
              </w:rPr>
              <w:t>：</w:t>
            </w:r>
            <w:r>
              <w:rPr>
                <w:rFonts w:ascii="Times New Roman" w:hAnsi="Times New Roman" w:eastAsia="方正仿宋_GBK"/>
                <w:color w:val="000000"/>
                <w:kern w:val="0"/>
                <w:sz w:val="21"/>
                <w:szCs w:val="21"/>
              </w:rPr>
              <w:t>“</w:t>
            </w:r>
            <w:r>
              <w:rPr>
                <w:rFonts w:hint="eastAsia" w:ascii="Times New Roman" w:hAnsi="Times New Roman" w:eastAsia="方正仿宋_GBK"/>
                <w:color w:val="000000"/>
                <w:kern w:val="0"/>
                <w:sz w:val="21"/>
                <w:szCs w:val="21"/>
              </w:rPr>
              <w:t>生产第二类监控化学品的，不得向未取得第二类监控化学品经营许可证书、使用许可证书的单位或者个人销售第二类监控化学品。</w:t>
            </w:r>
            <w:r>
              <w:rPr>
                <w:rFonts w:ascii="Times New Roman" w:hAnsi="Times New Roman" w:eastAsia="方正仿宋_GBK"/>
                <w:color w:val="000000"/>
                <w:kern w:val="0"/>
                <w:sz w:val="21"/>
                <w:szCs w:val="21"/>
              </w:rPr>
              <w:t>”</w:t>
            </w:r>
          </w:p>
          <w:p w14:paraId="0611BD6F">
            <w:pPr>
              <w:widowControl/>
              <w:spacing w:line="240" w:lineRule="exact"/>
              <w:jc w:val="left"/>
              <w:rPr>
                <w:rFonts w:hint="eastAsia"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第二十一条</w:t>
            </w:r>
            <w:r>
              <w:rPr>
                <w:rFonts w:hint="eastAsia" w:ascii="Times New Roman" w:hAnsi="Times New Roman" w:eastAsia="方正仿宋_GBK"/>
                <w:color w:val="000000"/>
                <w:kern w:val="0"/>
                <w:sz w:val="21"/>
                <w:szCs w:val="21"/>
              </w:rPr>
              <w:t>：</w:t>
            </w:r>
            <w:r>
              <w:rPr>
                <w:rFonts w:ascii="Times New Roman" w:hAnsi="Times New Roman" w:eastAsia="方正仿宋_GBK"/>
                <w:color w:val="000000"/>
                <w:kern w:val="0"/>
                <w:sz w:val="21"/>
                <w:szCs w:val="21"/>
              </w:rPr>
              <w:t>“</w:t>
            </w:r>
            <w:r>
              <w:rPr>
                <w:rFonts w:hint="eastAsia" w:ascii="Times New Roman" w:hAnsi="Times New Roman" w:eastAsia="方正仿宋_GBK"/>
                <w:color w:val="000000"/>
                <w:kern w:val="0"/>
                <w:sz w:val="21"/>
                <w:szCs w:val="21"/>
              </w:rPr>
              <w:t>经营第二类监控化学品的，不得向未取得第二类监控化学品经营许可证书、使用许可证书的单位或者个人销售第二类监控化学品，不得向未取得第二类监控化学品生产特别许可证书、经营许可证书的单位或者个人购买第二类监控化学品。</w:t>
            </w:r>
          </w:p>
          <w:p w14:paraId="50BA6209">
            <w:pPr>
              <w:widowControl/>
              <w:spacing w:line="240" w:lineRule="exact"/>
              <w:jc w:val="left"/>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购买第二类监控化学品的，应当查验销售人的第二类监控化学品生产特别许可证书、经营许可证书并留存复印件。销售第二类监控化学品的，应当查验购买人的第二类监控化学品经营许可证书、使用许可证书并留存复印件。</w:t>
            </w:r>
            <w:r>
              <w:rPr>
                <w:rFonts w:ascii="Times New Roman" w:hAnsi="Times New Roman" w:eastAsia="方正仿宋_GBK"/>
                <w:color w:val="000000"/>
                <w:kern w:val="0"/>
                <w:sz w:val="21"/>
                <w:szCs w:val="21"/>
              </w:rPr>
              <w:t>”</w:t>
            </w:r>
          </w:p>
          <w:p w14:paraId="640AE1B7">
            <w:pPr>
              <w:widowControl/>
              <w:spacing w:line="240" w:lineRule="exact"/>
              <w:jc w:val="left"/>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第二十二条</w:t>
            </w:r>
            <w:r>
              <w:rPr>
                <w:rFonts w:hint="eastAsia" w:ascii="Times New Roman" w:hAnsi="Times New Roman" w:eastAsia="方正仿宋_GBK"/>
                <w:color w:val="000000"/>
                <w:kern w:val="0"/>
                <w:sz w:val="21"/>
                <w:szCs w:val="21"/>
              </w:rPr>
              <w:t>：</w:t>
            </w:r>
            <w:r>
              <w:rPr>
                <w:rFonts w:ascii="Times New Roman" w:hAnsi="Times New Roman" w:eastAsia="方正仿宋_GBK"/>
                <w:color w:val="000000"/>
                <w:kern w:val="0"/>
                <w:sz w:val="21"/>
                <w:szCs w:val="21"/>
              </w:rPr>
              <w:t>“</w:t>
            </w:r>
            <w:r>
              <w:rPr>
                <w:rFonts w:hint="eastAsia" w:ascii="Times New Roman" w:hAnsi="Times New Roman" w:eastAsia="方正仿宋_GBK"/>
                <w:color w:val="000000"/>
                <w:kern w:val="0"/>
                <w:sz w:val="21"/>
                <w:szCs w:val="21"/>
              </w:rPr>
              <w:t>经营第二类监控化学品的，应当保存购买、储存、销售原始记录和统计台账，保存期限不得少于3年。第二类监控化学品的经营者应当在每年1月和7月分别向所在地省、自治区、直辖市工业和信息化主管部门报送前6个月的销售记录。</w:t>
            </w:r>
            <w:r>
              <w:rPr>
                <w:rFonts w:ascii="Times New Roman" w:hAnsi="Times New Roman" w:eastAsia="方正仿宋_GBK"/>
                <w:color w:val="000000"/>
                <w:kern w:val="0"/>
                <w:sz w:val="21"/>
                <w:szCs w:val="21"/>
              </w:rPr>
              <w:t>”</w:t>
            </w:r>
          </w:p>
          <w:p w14:paraId="5DB0DB0F">
            <w:pPr>
              <w:widowControl/>
              <w:spacing w:line="240" w:lineRule="exact"/>
              <w:jc w:val="left"/>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第二十七条：“</w:t>
            </w:r>
            <w:r>
              <w:rPr>
                <w:rFonts w:hint="eastAsia" w:ascii="Times New Roman" w:hAnsi="Times New Roman" w:eastAsia="方正仿宋_GBK"/>
                <w:color w:val="000000"/>
                <w:kern w:val="0"/>
                <w:sz w:val="21"/>
                <w:szCs w:val="21"/>
              </w:rPr>
              <w:t>取得第二类监控化学品使用许可的，应当凭第二类监控化学品使用许可证书向取得第二类监控化学品生产特别许可证书、经营许可证书的单位或者个人购买第二类监控化学品。</w:t>
            </w:r>
            <w:r>
              <w:rPr>
                <w:rFonts w:ascii="Times New Roman" w:hAnsi="Times New Roman" w:eastAsia="方正仿宋_GBK"/>
                <w:color w:val="000000"/>
                <w:kern w:val="0"/>
                <w:sz w:val="21"/>
                <w:szCs w:val="21"/>
              </w:rPr>
              <w:t>”</w:t>
            </w:r>
          </w:p>
          <w:p w14:paraId="1FD87C2D">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第五十条第一款：</w:t>
            </w:r>
            <w:r>
              <w:rPr>
                <w:rFonts w:ascii="Times New Roman" w:hAnsi="Times New Roman" w:eastAsia="宋体"/>
                <w:color w:val="000000"/>
                <w:kern w:val="0"/>
                <w:sz w:val="21"/>
                <w:szCs w:val="21"/>
              </w:rPr>
              <w:t>“</w:t>
            </w:r>
            <w:r>
              <w:rPr>
                <w:rFonts w:ascii="Times New Roman" w:hAnsi="Times New Roman" w:eastAsia="方正仿宋_GBK"/>
                <w:color w:val="000000"/>
                <w:kern w:val="0"/>
                <w:sz w:val="21"/>
                <w:szCs w:val="21"/>
              </w:rPr>
              <w:t>违反本细则第十六条、第二十一条、第二十二条、第二十七条的规定，违法销售、购买监控化学品，或者未按照规定保存有关记录的，由所在地的省、自治区、直辖市工业和信息化主管部门责令限期改正，予以警告，可以并处三万元以下罚款。</w:t>
            </w:r>
            <w:r>
              <w:rPr>
                <w:rFonts w:ascii="Times New Roman" w:hAnsi="Times New Roman" w:eastAsia="宋体"/>
                <w:color w:val="000000"/>
                <w:kern w:val="0"/>
                <w:sz w:val="21"/>
                <w:szCs w:val="21"/>
              </w:rPr>
              <w:t>”</w:t>
            </w:r>
          </w:p>
        </w:tc>
        <w:tc>
          <w:tcPr>
            <w:tcW w:w="4986" w:type="dxa"/>
            <w:tcBorders>
              <w:top w:val="single" w:color="auto" w:sz="4" w:space="0"/>
              <w:left w:val="nil"/>
              <w:bottom w:val="single" w:color="auto" w:sz="4" w:space="0"/>
              <w:right w:val="single" w:color="auto" w:sz="4" w:space="0"/>
            </w:tcBorders>
            <w:shd w:val="clear" w:color="auto" w:fill="auto"/>
            <w:noWrap w:val="0"/>
            <w:vAlign w:val="center"/>
          </w:tcPr>
          <w:p w14:paraId="5A559718">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违反《</w:t>
            </w:r>
            <w:r>
              <w:rPr>
                <w:rFonts w:ascii="Times New Roman" w:hAnsi="Times New Roman" w:eastAsia="宋体"/>
                <w:color w:val="000000"/>
                <w:kern w:val="0"/>
                <w:sz w:val="21"/>
                <w:szCs w:val="21"/>
              </w:rPr>
              <w:t>&lt;</w:t>
            </w:r>
            <w:r>
              <w:rPr>
                <w:rFonts w:ascii="Times New Roman" w:hAnsi="Times New Roman" w:eastAsia="方正仿宋_GBK"/>
                <w:color w:val="000000"/>
                <w:kern w:val="0"/>
                <w:sz w:val="21"/>
                <w:szCs w:val="21"/>
              </w:rPr>
              <w:t>监控化学品管理条例</w:t>
            </w:r>
            <w:r>
              <w:rPr>
                <w:rFonts w:ascii="Times New Roman" w:hAnsi="Times New Roman" w:eastAsia="宋体"/>
                <w:color w:val="000000"/>
                <w:kern w:val="0"/>
                <w:sz w:val="21"/>
                <w:szCs w:val="21"/>
              </w:rPr>
              <w:t>&gt;</w:t>
            </w:r>
            <w:r>
              <w:rPr>
                <w:rFonts w:ascii="Times New Roman" w:hAnsi="Times New Roman" w:eastAsia="方正仿宋_GBK"/>
                <w:color w:val="000000"/>
                <w:kern w:val="0"/>
                <w:sz w:val="21"/>
                <w:szCs w:val="21"/>
              </w:rPr>
              <w:t>实施细则》第十六条、第二十一条、第二十二条、第二十七条的规定，违法销售、购买第二类监控化学品，或者未按照规定保存有关记录，其监控化学品销售量或购买量未达到或未超过《禁止化学武器公约》规定的</w:t>
            </w:r>
            <w:r>
              <w:rPr>
                <w:rFonts w:hint="eastAsia" w:ascii="Times New Roman" w:hAnsi="Times New Roman" w:eastAsia="方正仿宋_GBK"/>
                <w:color w:val="000000"/>
                <w:kern w:val="0"/>
                <w:sz w:val="21"/>
                <w:szCs w:val="21"/>
              </w:rPr>
              <w:t>宣布</w:t>
            </w:r>
            <w:r>
              <w:rPr>
                <w:rFonts w:ascii="Times New Roman" w:hAnsi="Times New Roman" w:eastAsia="方正仿宋_GBK"/>
                <w:color w:val="000000"/>
                <w:kern w:val="0"/>
                <w:sz w:val="21"/>
                <w:szCs w:val="21"/>
              </w:rPr>
              <w:t>阈值的</w:t>
            </w:r>
          </w:p>
        </w:tc>
        <w:tc>
          <w:tcPr>
            <w:tcW w:w="2894" w:type="dxa"/>
            <w:tcBorders>
              <w:top w:val="single" w:color="auto" w:sz="4" w:space="0"/>
              <w:left w:val="nil"/>
              <w:bottom w:val="single" w:color="auto" w:sz="4" w:space="0"/>
              <w:right w:val="single" w:color="auto" w:sz="4" w:space="0"/>
            </w:tcBorders>
            <w:shd w:val="clear" w:color="auto" w:fill="auto"/>
            <w:noWrap w:val="0"/>
            <w:vAlign w:val="center"/>
          </w:tcPr>
          <w:p w14:paraId="1B143F73">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责令限期改正，警告</w:t>
            </w:r>
          </w:p>
        </w:tc>
      </w:tr>
      <w:tr w14:paraId="532A633A">
        <w:tblPrEx>
          <w:tblCellMar>
            <w:top w:w="0" w:type="dxa"/>
            <w:left w:w="108" w:type="dxa"/>
            <w:bottom w:w="0" w:type="dxa"/>
            <w:right w:w="108" w:type="dxa"/>
          </w:tblCellMar>
        </w:tblPrEx>
        <w:trPr>
          <w:trHeight w:val="2574" w:hRule="atLeast"/>
          <w:jc w:val="center"/>
        </w:trPr>
        <w:tc>
          <w:tcPr>
            <w:tcW w:w="640" w:type="dxa"/>
            <w:vMerge w:val="continue"/>
            <w:tcBorders>
              <w:left w:val="single" w:color="auto" w:sz="4" w:space="0"/>
              <w:right w:val="single" w:color="auto" w:sz="4" w:space="0"/>
            </w:tcBorders>
            <w:shd w:val="clear" w:color="auto" w:fill="auto"/>
            <w:noWrap w:val="0"/>
            <w:vAlign w:val="center"/>
          </w:tcPr>
          <w:p w14:paraId="4CF250D1">
            <w:pPr>
              <w:widowControl/>
              <w:spacing w:line="240" w:lineRule="exact"/>
              <w:jc w:val="left"/>
              <w:rPr>
                <w:rFonts w:ascii="Times New Roman" w:hAnsi="Times New Roman" w:eastAsia="宋体"/>
                <w:color w:val="000000"/>
                <w:kern w:val="0"/>
                <w:sz w:val="21"/>
                <w:szCs w:val="21"/>
              </w:rPr>
            </w:pPr>
          </w:p>
        </w:tc>
        <w:tc>
          <w:tcPr>
            <w:tcW w:w="1221" w:type="dxa"/>
            <w:vMerge w:val="continue"/>
            <w:tcBorders>
              <w:left w:val="single" w:color="auto" w:sz="4" w:space="0"/>
              <w:right w:val="single" w:color="auto" w:sz="4" w:space="0"/>
            </w:tcBorders>
            <w:shd w:val="clear" w:color="auto" w:fill="auto"/>
            <w:noWrap w:val="0"/>
            <w:vAlign w:val="center"/>
          </w:tcPr>
          <w:p w14:paraId="30E5A91C">
            <w:pPr>
              <w:widowControl/>
              <w:spacing w:line="240" w:lineRule="exact"/>
              <w:jc w:val="left"/>
              <w:rPr>
                <w:rFonts w:ascii="Times New Roman" w:hAnsi="Times New Roman" w:eastAsia="宋体"/>
                <w:color w:val="000000"/>
                <w:kern w:val="0"/>
                <w:sz w:val="21"/>
                <w:szCs w:val="21"/>
              </w:rPr>
            </w:pPr>
          </w:p>
        </w:tc>
        <w:tc>
          <w:tcPr>
            <w:tcW w:w="5103" w:type="dxa"/>
            <w:vMerge w:val="continue"/>
            <w:tcBorders>
              <w:left w:val="single" w:color="auto" w:sz="4" w:space="0"/>
              <w:right w:val="single" w:color="auto" w:sz="4" w:space="0"/>
            </w:tcBorders>
            <w:shd w:val="clear" w:color="auto" w:fill="auto"/>
            <w:noWrap w:val="0"/>
            <w:vAlign w:val="center"/>
          </w:tcPr>
          <w:p w14:paraId="4D342D04">
            <w:pPr>
              <w:widowControl/>
              <w:spacing w:line="240" w:lineRule="exact"/>
              <w:jc w:val="left"/>
              <w:rPr>
                <w:rFonts w:ascii="Times New Roman" w:hAnsi="Times New Roman" w:eastAsia="宋体"/>
                <w:color w:val="000000"/>
                <w:kern w:val="0"/>
                <w:sz w:val="21"/>
                <w:szCs w:val="21"/>
              </w:rPr>
            </w:pPr>
          </w:p>
        </w:tc>
        <w:tc>
          <w:tcPr>
            <w:tcW w:w="4986" w:type="dxa"/>
            <w:tcBorders>
              <w:top w:val="single" w:color="auto" w:sz="4" w:space="0"/>
              <w:left w:val="nil"/>
              <w:bottom w:val="single" w:color="auto" w:sz="4" w:space="0"/>
              <w:right w:val="single" w:color="auto" w:sz="4" w:space="0"/>
            </w:tcBorders>
            <w:shd w:val="clear" w:color="auto" w:fill="auto"/>
            <w:noWrap w:val="0"/>
            <w:vAlign w:val="center"/>
          </w:tcPr>
          <w:p w14:paraId="6F5CBD01">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违反《</w:t>
            </w:r>
            <w:r>
              <w:rPr>
                <w:rFonts w:ascii="Times New Roman" w:hAnsi="Times New Roman" w:eastAsia="宋体"/>
                <w:color w:val="000000"/>
                <w:kern w:val="0"/>
                <w:sz w:val="21"/>
                <w:szCs w:val="21"/>
              </w:rPr>
              <w:t>&lt;</w:t>
            </w:r>
            <w:r>
              <w:rPr>
                <w:rFonts w:ascii="Times New Roman" w:hAnsi="Times New Roman" w:eastAsia="方正仿宋_GBK"/>
                <w:color w:val="000000"/>
                <w:kern w:val="0"/>
                <w:sz w:val="21"/>
                <w:szCs w:val="21"/>
              </w:rPr>
              <w:t>监控化学品管理条例</w:t>
            </w:r>
            <w:r>
              <w:rPr>
                <w:rFonts w:ascii="Times New Roman" w:hAnsi="Times New Roman" w:eastAsia="宋体"/>
                <w:color w:val="000000"/>
                <w:kern w:val="0"/>
                <w:sz w:val="21"/>
                <w:szCs w:val="21"/>
              </w:rPr>
              <w:t>&gt;</w:t>
            </w:r>
            <w:r>
              <w:rPr>
                <w:rFonts w:ascii="Times New Roman" w:hAnsi="Times New Roman" w:eastAsia="方正仿宋_GBK"/>
                <w:color w:val="000000"/>
                <w:kern w:val="0"/>
                <w:sz w:val="21"/>
                <w:szCs w:val="21"/>
              </w:rPr>
              <w:t>实施细则》第十六条、第二十一条、第二十二条、第二十七条的规定，违法销售、购买第二类监控化学品，或者未按照规定保存有关记录，其监控化学品销售量或购买量达到或超过《禁止化学武器公约》规定的</w:t>
            </w:r>
            <w:r>
              <w:rPr>
                <w:rFonts w:hint="eastAsia" w:ascii="Times New Roman" w:hAnsi="Times New Roman" w:eastAsia="方正仿宋_GBK"/>
                <w:color w:val="000000"/>
                <w:kern w:val="0"/>
                <w:sz w:val="21"/>
                <w:szCs w:val="21"/>
              </w:rPr>
              <w:t>宣布</w:t>
            </w:r>
            <w:r>
              <w:rPr>
                <w:rFonts w:ascii="Times New Roman" w:hAnsi="Times New Roman" w:eastAsia="方正仿宋_GBK"/>
                <w:color w:val="000000"/>
                <w:kern w:val="0"/>
                <w:sz w:val="21"/>
                <w:szCs w:val="21"/>
              </w:rPr>
              <w:t>阈值，但未达到或未超过《禁止化学武器公约》规定的核查阈值的</w:t>
            </w:r>
          </w:p>
        </w:tc>
        <w:tc>
          <w:tcPr>
            <w:tcW w:w="2894" w:type="dxa"/>
            <w:tcBorders>
              <w:top w:val="single" w:color="auto" w:sz="4" w:space="0"/>
              <w:left w:val="nil"/>
              <w:bottom w:val="single" w:color="auto" w:sz="4" w:space="0"/>
              <w:right w:val="single" w:color="auto" w:sz="4" w:space="0"/>
            </w:tcBorders>
            <w:shd w:val="clear" w:color="auto" w:fill="auto"/>
            <w:noWrap w:val="0"/>
            <w:vAlign w:val="center"/>
          </w:tcPr>
          <w:p w14:paraId="68241B98">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责令限期改正，警告，处</w:t>
            </w:r>
            <w:r>
              <w:rPr>
                <w:rFonts w:ascii="Times New Roman" w:hAnsi="Times New Roman" w:eastAsia="宋体"/>
                <w:color w:val="000000"/>
                <w:kern w:val="0"/>
                <w:sz w:val="21"/>
                <w:szCs w:val="21"/>
              </w:rPr>
              <w:t>1.5</w:t>
            </w:r>
            <w:r>
              <w:rPr>
                <w:rFonts w:ascii="Times New Roman" w:hAnsi="Times New Roman" w:eastAsia="方正仿宋_GBK"/>
                <w:color w:val="000000"/>
                <w:kern w:val="0"/>
                <w:sz w:val="21"/>
                <w:szCs w:val="21"/>
              </w:rPr>
              <w:t>万元以下罚款</w:t>
            </w:r>
          </w:p>
        </w:tc>
      </w:tr>
      <w:tr w14:paraId="553B4CF8">
        <w:tblPrEx>
          <w:tblCellMar>
            <w:top w:w="0" w:type="dxa"/>
            <w:left w:w="108" w:type="dxa"/>
            <w:bottom w:w="0" w:type="dxa"/>
            <w:right w:w="108" w:type="dxa"/>
          </w:tblCellMar>
        </w:tblPrEx>
        <w:trPr>
          <w:trHeight w:val="2573" w:hRule="atLeast"/>
          <w:jc w:val="center"/>
        </w:trPr>
        <w:tc>
          <w:tcPr>
            <w:tcW w:w="640" w:type="dxa"/>
            <w:vMerge w:val="continue"/>
            <w:tcBorders>
              <w:left w:val="single" w:color="auto" w:sz="4" w:space="0"/>
              <w:bottom w:val="single" w:color="auto" w:sz="4" w:space="0"/>
              <w:right w:val="single" w:color="auto" w:sz="4" w:space="0"/>
            </w:tcBorders>
            <w:shd w:val="clear" w:color="auto" w:fill="auto"/>
            <w:noWrap w:val="0"/>
            <w:vAlign w:val="center"/>
          </w:tcPr>
          <w:p w14:paraId="4C52FBF7">
            <w:pPr>
              <w:widowControl/>
              <w:spacing w:line="240" w:lineRule="exact"/>
              <w:jc w:val="left"/>
              <w:rPr>
                <w:rFonts w:ascii="Times New Roman" w:hAnsi="Times New Roman" w:eastAsia="宋体"/>
                <w:color w:val="000000"/>
                <w:kern w:val="0"/>
                <w:sz w:val="21"/>
                <w:szCs w:val="21"/>
              </w:rPr>
            </w:pPr>
          </w:p>
        </w:tc>
        <w:tc>
          <w:tcPr>
            <w:tcW w:w="1221" w:type="dxa"/>
            <w:vMerge w:val="continue"/>
            <w:tcBorders>
              <w:left w:val="single" w:color="auto" w:sz="4" w:space="0"/>
              <w:bottom w:val="single" w:color="auto" w:sz="4" w:space="0"/>
              <w:right w:val="single" w:color="auto" w:sz="4" w:space="0"/>
            </w:tcBorders>
            <w:shd w:val="clear" w:color="auto" w:fill="auto"/>
            <w:noWrap w:val="0"/>
            <w:vAlign w:val="center"/>
          </w:tcPr>
          <w:p w14:paraId="0B7FDEAF">
            <w:pPr>
              <w:widowControl/>
              <w:spacing w:line="240" w:lineRule="exact"/>
              <w:jc w:val="left"/>
              <w:rPr>
                <w:rFonts w:ascii="Times New Roman" w:hAnsi="Times New Roman" w:eastAsia="宋体"/>
                <w:color w:val="000000"/>
                <w:kern w:val="0"/>
                <w:sz w:val="21"/>
                <w:szCs w:val="21"/>
              </w:rPr>
            </w:pPr>
          </w:p>
        </w:tc>
        <w:tc>
          <w:tcPr>
            <w:tcW w:w="5103" w:type="dxa"/>
            <w:vMerge w:val="continue"/>
            <w:tcBorders>
              <w:left w:val="single" w:color="auto" w:sz="4" w:space="0"/>
              <w:bottom w:val="single" w:color="auto" w:sz="4" w:space="0"/>
              <w:right w:val="single" w:color="auto" w:sz="4" w:space="0"/>
            </w:tcBorders>
            <w:shd w:val="clear" w:color="auto" w:fill="auto"/>
            <w:noWrap w:val="0"/>
            <w:vAlign w:val="center"/>
          </w:tcPr>
          <w:p w14:paraId="286A521E">
            <w:pPr>
              <w:widowControl/>
              <w:spacing w:line="240" w:lineRule="exact"/>
              <w:jc w:val="left"/>
              <w:rPr>
                <w:rFonts w:ascii="Times New Roman" w:hAnsi="Times New Roman" w:eastAsia="宋体"/>
                <w:color w:val="000000"/>
                <w:kern w:val="0"/>
                <w:sz w:val="21"/>
                <w:szCs w:val="21"/>
              </w:rPr>
            </w:pPr>
          </w:p>
        </w:tc>
        <w:tc>
          <w:tcPr>
            <w:tcW w:w="4986" w:type="dxa"/>
            <w:tcBorders>
              <w:top w:val="single" w:color="auto" w:sz="4" w:space="0"/>
              <w:left w:val="nil"/>
              <w:bottom w:val="single" w:color="auto" w:sz="4" w:space="0"/>
              <w:right w:val="single" w:color="auto" w:sz="4" w:space="0"/>
            </w:tcBorders>
            <w:shd w:val="clear" w:color="auto" w:fill="auto"/>
            <w:noWrap w:val="0"/>
            <w:vAlign w:val="center"/>
          </w:tcPr>
          <w:p w14:paraId="7426AE51">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违反《</w:t>
            </w:r>
            <w:r>
              <w:rPr>
                <w:rFonts w:ascii="Times New Roman" w:hAnsi="Times New Roman" w:eastAsia="宋体"/>
                <w:color w:val="000000"/>
                <w:kern w:val="0"/>
                <w:sz w:val="21"/>
                <w:szCs w:val="21"/>
              </w:rPr>
              <w:t>&lt;</w:t>
            </w:r>
            <w:r>
              <w:rPr>
                <w:rFonts w:ascii="Times New Roman" w:hAnsi="Times New Roman" w:eastAsia="方正仿宋_GBK"/>
                <w:color w:val="000000"/>
                <w:kern w:val="0"/>
                <w:sz w:val="21"/>
                <w:szCs w:val="21"/>
              </w:rPr>
              <w:t>监控化学品管理条例</w:t>
            </w:r>
            <w:r>
              <w:rPr>
                <w:rFonts w:ascii="Times New Roman" w:hAnsi="Times New Roman" w:eastAsia="宋体"/>
                <w:color w:val="000000"/>
                <w:kern w:val="0"/>
                <w:sz w:val="21"/>
                <w:szCs w:val="21"/>
              </w:rPr>
              <w:t>&gt;</w:t>
            </w:r>
            <w:r>
              <w:rPr>
                <w:rFonts w:ascii="Times New Roman" w:hAnsi="Times New Roman" w:eastAsia="方正仿宋_GBK"/>
                <w:color w:val="000000"/>
                <w:kern w:val="0"/>
                <w:sz w:val="21"/>
                <w:szCs w:val="21"/>
              </w:rPr>
              <w:t>实施细则》第十六条、第二十一条、第二十二条、第二十七条的规定，违法销售、购买第二类监控化学品，或者未按照规定保存有关记录，其监控化学品销售量或购买量达到或超过《禁止化学武器公约》规定的核查阈值的</w:t>
            </w:r>
          </w:p>
        </w:tc>
        <w:tc>
          <w:tcPr>
            <w:tcW w:w="2894" w:type="dxa"/>
            <w:tcBorders>
              <w:top w:val="single" w:color="auto" w:sz="4" w:space="0"/>
              <w:left w:val="nil"/>
              <w:bottom w:val="single" w:color="auto" w:sz="4" w:space="0"/>
              <w:right w:val="single" w:color="auto" w:sz="4" w:space="0"/>
            </w:tcBorders>
            <w:shd w:val="clear" w:color="auto" w:fill="auto"/>
            <w:noWrap w:val="0"/>
            <w:vAlign w:val="center"/>
          </w:tcPr>
          <w:p w14:paraId="5D387065">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责令限期改正，警告，处</w:t>
            </w:r>
            <w:r>
              <w:rPr>
                <w:rFonts w:ascii="Times New Roman" w:hAnsi="Times New Roman" w:eastAsia="宋体"/>
                <w:color w:val="000000"/>
                <w:kern w:val="0"/>
                <w:sz w:val="21"/>
                <w:szCs w:val="21"/>
              </w:rPr>
              <w:t>1.5</w:t>
            </w:r>
            <w:r>
              <w:rPr>
                <w:rFonts w:ascii="Times New Roman" w:hAnsi="Times New Roman" w:eastAsia="方正仿宋_GBK"/>
                <w:color w:val="000000"/>
                <w:kern w:val="0"/>
                <w:sz w:val="21"/>
                <w:szCs w:val="21"/>
              </w:rPr>
              <w:t>万元以上</w:t>
            </w:r>
            <w:r>
              <w:rPr>
                <w:rFonts w:ascii="Times New Roman" w:hAnsi="Times New Roman" w:eastAsia="宋体"/>
                <w:color w:val="000000"/>
                <w:kern w:val="0"/>
                <w:sz w:val="21"/>
                <w:szCs w:val="21"/>
              </w:rPr>
              <w:t>3</w:t>
            </w:r>
            <w:r>
              <w:rPr>
                <w:rFonts w:ascii="Times New Roman" w:hAnsi="Times New Roman" w:eastAsia="方正仿宋_GBK"/>
                <w:color w:val="000000"/>
                <w:kern w:val="0"/>
                <w:sz w:val="21"/>
                <w:szCs w:val="21"/>
              </w:rPr>
              <w:t>万元以下罚款</w:t>
            </w:r>
          </w:p>
        </w:tc>
      </w:tr>
      <w:tr w14:paraId="670956C4">
        <w:tblPrEx>
          <w:tblCellMar>
            <w:top w:w="0" w:type="dxa"/>
            <w:left w:w="108" w:type="dxa"/>
            <w:bottom w:w="0" w:type="dxa"/>
            <w:right w:w="108" w:type="dxa"/>
          </w:tblCellMar>
        </w:tblPrEx>
        <w:trPr>
          <w:trHeight w:val="1635" w:hRule="atLeast"/>
          <w:jc w:val="center"/>
        </w:trPr>
        <w:tc>
          <w:tcPr>
            <w:tcW w:w="640" w:type="dxa"/>
            <w:vMerge w:val="restart"/>
            <w:tcBorders>
              <w:top w:val="nil"/>
              <w:left w:val="single" w:color="auto" w:sz="4" w:space="0"/>
              <w:bottom w:val="single" w:color="auto" w:sz="4" w:space="0"/>
              <w:right w:val="single" w:color="auto" w:sz="4" w:space="0"/>
            </w:tcBorders>
            <w:shd w:val="clear" w:color="auto" w:fill="auto"/>
            <w:noWrap w:val="0"/>
            <w:vAlign w:val="center"/>
          </w:tcPr>
          <w:p w14:paraId="38F18344">
            <w:pPr>
              <w:widowControl/>
              <w:spacing w:line="2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8</w:t>
            </w:r>
          </w:p>
        </w:tc>
        <w:tc>
          <w:tcPr>
            <w:tcW w:w="1221" w:type="dxa"/>
            <w:vMerge w:val="restart"/>
            <w:tcBorders>
              <w:top w:val="nil"/>
              <w:left w:val="single" w:color="auto" w:sz="4" w:space="0"/>
              <w:bottom w:val="single" w:color="auto" w:sz="4" w:space="0"/>
              <w:right w:val="single" w:color="auto" w:sz="4" w:space="0"/>
            </w:tcBorders>
            <w:shd w:val="clear" w:color="auto" w:fill="auto"/>
            <w:noWrap w:val="0"/>
            <w:vAlign w:val="center"/>
          </w:tcPr>
          <w:p w14:paraId="28B45B91">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未妥善保存、移送相关记录的</w:t>
            </w:r>
          </w:p>
        </w:tc>
        <w:tc>
          <w:tcPr>
            <w:tcW w:w="5103" w:type="dxa"/>
            <w:vMerge w:val="restart"/>
            <w:tcBorders>
              <w:top w:val="nil"/>
              <w:left w:val="single" w:color="auto" w:sz="4" w:space="0"/>
              <w:bottom w:val="single" w:color="auto" w:sz="4" w:space="0"/>
              <w:right w:val="single" w:color="auto" w:sz="4" w:space="0"/>
            </w:tcBorders>
            <w:shd w:val="clear" w:color="auto" w:fill="auto"/>
            <w:noWrap w:val="0"/>
            <w:vAlign w:val="center"/>
          </w:tcPr>
          <w:p w14:paraId="1F4E38D7">
            <w:pPr>
              <w:widowControl/>
              <w:spacing w:line="240" w:lineRule="exact"/>
              <w:jc w:val="left"/>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【部门规章】《</w:t>
            </w:r>
            <w:r>
              <w:rPr>
                <w:rFonts w:ascii="Times New Roman" w:hAnsi="Times New Roman" w:eastAsia="宋体"/>
                <w:color w:val="000000"/>
                <w:kern w:val="0"/>
                <w:sz w:val="21"/>
                <w:szCs w:val="21"/>
              </w:rPr>
              <w:t>&lt;</w:t>
            </w:r>
            <w:r>
              <w:rPr>
                <w:rFonts w:ascii="Times New Roman" w:hAnsi="Times New Roman" w:eastAsia="方正仿宋_GBK"/>
                <w:color w:val="000000"/>
                <w:kern w:val="0"/>
                <w:sz w:val="21"/>
                <w:szCs w:val="21"/>
              </w:rPr>
              <w:t>中华人民共和国监控化学品管理条例</w:t>
            </w:r>
            <w:r>
              <w:rPr>
                <w:rFonts w:ascii="Times New Roman" w:hAnsi="Times New Roman" w:eastAsia="宋体"/>
                <w:color w:val="000000"/>
                <w:kern w:val="0"/>
                <w:sz w:val="21"/>
                <w:szCs w:val="21"/>
              </w:rPr>
              <w:t>&gt;</w:t>
            </w:r>
            <w:r>
              <w:rPr>
                <w:rFonts w:ascii="Times New Roman" w:hAnsi="Times New Roman" w:eastAsia="方正仿宋_GBK"/>
                <w:color w:val="000000"/>
                <w:kern w:val="0"/>
                <w:sz w:val="21"/>
                <w:szCs w:val="21"/>
              </w:rPr>
              <w:t>实施细则》第三十七条第二款</w:t>
            </w:r>
            <w:r>
              <w:rPr>
                <w:rFonts w:hint="eastAsia" w:ascii="Times New Roman" w:hAnsi="Times New Roman" w:eastAsia="方正仿宋_GBK"/>
                <w:color w:val="000000"/>
                <w:kern w:val="0"/>
                <w:sz w:val="21"/>
                <w:szCs w:val="21"/>
              </w:rPr>
              <w:t>：</w:t>
            </w:r>
            <w:r>
              <w:rPr>
                <w:rFonts w:ascii="Times New Roman" w:hAnsi="Times New Roman" w:eastAsia="方正仿宋_GBK"/>
                <w:color w:val="000000"/>
                <w:kern w:val="0"/>
                <w:sz w:val="21"/>
                <w:szCs w:val="21"/>
              </w:rPr>
              <w:t>“</w:t>
            </w:r>
            <w:r>
              <w:rPr>
                <w:rFonts w:hint="eastAsia" w:ascii="Times New Roman" w:hAnsi="Times New Roman" w:eastAsia="方正仿宋_GBK"/>
                <w:color w:val="000000"/>
                <w:kern w:val="0"/>
                <w:sz w:val="21"/>
                <w:szCs w:val="21"/>
              </w:rPr>
              <w:t>生产、使用第二类监控化学品的，应当妥善保存与第二类监控化学品的生产、使用有关的记录，保存期限不得少于3年。生产第三类监控化学品的，应当妥善保存与第三类监控化学品有关的生产记录，保存期限不得少于1年。终止生产经营活动的，应当将与监控化学品生产、使用有关的记录移交所在地设区的市级以上地方工业和信息化主管部门或者地方人民政府确定的监控化学品管理部门存档。</w:t>
            </w:r>
            <w:r>
              <w:rPr>
                <w:rFonts w:ascii="Times New Roman" w:hAnsi="Times New Roman" w:eastAsia="方正仿宋_GBK"/>
                <w:color w:val="000000"/>
                <w:kern w:val="0"/>
                <w:sz w:val="21"/>
                <w:szCs w:val="21"/>
              </w:rPr>
              <w:t>”</w:t>
            </w:r>
          </w:p>
          <w:p w14:paraId="125D1BAD">
            <w:pPr>
              <w:widowControl/>
              <w:spacing w:line="240" w:lineRule="exact"/>
              <w:jc w:val="left"/>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第三十八条第二款：“</w:t>
            </w:r>
            <w:r>
              <w:rPr>
                <w:rFonts w:hint="eastAsia" w:ascii="Times New Roman" w:hAnsi="Times New Roman" w:eastAsia="方正仿宋_GBK"/>
                <w:color w:val="000000"/>
                <w:kern w:val="0"/>
                <w:sz w:val="21"/>
                <w:szCs w:val="21"/>
              </w:rPr>
              <w:t>生产第四类监控化学品的，应当妥善保存与第四类监控化学品有关的生产记录，保存期限不得少于1年。终止生产经营活动的，应当将与第四类监控化学品生产有关的生产记录移交所在地设区的市级以上地方工业和信息化主管部门或者地方人民政府确定的监控化学品管理部门存档。</w:t>
            </w:r>
            <w:r>
              <w:rPr>
                <w:rFonts w:ascii="Times New Roman" w:hAnsi="Times New Roman" w:eastAsia="方正仿宋_GBK"/>
                <w:color w:val="000000"/>
                <w:kern w:val="0"/>
                <w:sz w:val="21"/>
                <w:szCs w:val="21"/>
              </w:rPr>
              <w:t>”</w:t>
            </w:r>
          </w:p>
          <w:p w14:paraId="1D0EF632">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第五十条第二款：</w:t>
            </w:r>
            <w:r>
              <w:rPr>
                <w:rFonts w:ascii="Times New Roman" w:hAnsi="Times New Roman" w:eastAsia="宋体"/>
                <w:color w:val="000000"/>
                <w:kern w:val="0"/>
                <w:sz w:val="21"/>
                <w:szCs w:val="21"/>
              </w:rPr>
              <w:t>“</w:t>
            </w:r>
            <w:r>
              <w:rPr>
                <w:rFonts w:ascii="Times New Roman" w:hAnsi="Times New Roman" w:eastAsia="方正仿宋_GBK"/>
                <w:color w:val="000000"/>
                <w:kern w:val="0"/>
                <w:sz w:val="21"/>
                <w:szCs w:val="21"/>
              </w:rPr>
              <w:t>违反本细则第三十七条第二款、第三十八条第二款的规定，未妥善保存、移送相关记录的，由所在地设区的市级以上地方工业和信息化主管部门或者地方人民政府确定的监控化学品管理部门责令限期改正，予以警告，可以并处三万元以下罚款。</w:t>
            </w:r>
            <w:r>
              <w:rPr>
                <w:rFonts w:ascii="Times New Roman" w:hAnsi="Times New Roman" w:eastAsia="宋体"/>
                <w:color w:val="000000"/>
                <w:kern w:val="0"/>
                <w:sz w:val="21"/>
                <w:szCs w:val="21"/>
              </w:rPr>
              <w:t>”</w:t>
            </w:r>
          </w:p>
        </w:tc>
        <w:tc>
          <w:tcPr>
            <w:tcW w:w="4986" w:type="dxa"/>
            <w:tcBorders>
              <w:top w:val="single" w:color="auto" w:sz="4" w:space="0"/>
              <w:left w:val="nil"/>
              <w:bottom w:val="single" w:color="auto" w:sz="4" w:space="0"/>
              <w:right w:val="single" w:color="auto" w:sz="4" w:space="0"/>
            </w:tcBorders>
            <w:shd w:val="clear" w:color="auto" w:fill="auto"/>
            <w:noWrap w:val="0"/>
            <w:vAlign w:val="center"/>
          </w:tcPr>
          <w:p w14:paraId="505CB1EC">
            <w:pPr>
              <w:widowControl/>
              <w:spacing w:line="240" w:lineRule="exact"/>
              <w:rPr>
                <w:rFonts w:hint="eastAsia"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未妥善保存、移送第四类监控化学品有关生产记录的</w:t>
            </w:r>
          </w:p>
        </w:tc>
        <w:tc>
          <w:tcPr>
            <w:tcW w:w="2894" w:type="dxa"/>
            <w:tcBorders>
              <w:top w:val="single" w:color="auto" w:sz="4" w:space="0"/>
              <w:left w:val="nil"/>
              <w:bottom w:val="single" w:color="auto" w:sz="4" w:space="0"/>
              <w:right w:val="single" w:color="auto" w:sz="4" w:space="0"/>
            </w:tcBorders>
            <w:shd w:val="clear" w:color="auto" w:fill="auto"/>
            <w:noWrap w:val="0"/>
            <w:vAlign w:val="center"/>
          </w:tcPr>
          <w:p w14:paraId="1A5DCCBB">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责令限期改正，警告，处</w:t>
            </w:r>
            <w:r>
              <w:rPr>
                <w:rFonts w:ascii="Times New Roman" w:hAnsi="Times New Roman" w:eastAsia="宋体"/>
                <w:color w:val="000000"/>
                <w:kern w:val="0"/>
                <w:sz w:val="21"/>
                <w:szCs w:val="21"/>
              </w:rPr>
              <w:t>1</w:t>
            </w:r>
            <w:r>
              <w:rPr>
                <w:rFonts w:ascii="Times New Roman" w:hAnsi="Times New Roman" w:eastAsia="方正仿宋_GBK"/>
                <w:color w:val="000000"/>
                <w:kern w:val="0"/>
                <w:sz w:val="21"/>
                <w:szCs w:val="21"/>
              </w:rPr>
              <w:t>万元以下的罚款</w:t>
            </w:r>
          </w:p>
        </w:tc>
      </w:tr>
      <w:tr w14:paraId="6D127F14">
        <w:tblPrEx>
          <w:tblCellMar>
            <w:top w:w="0" w:type="dxa"/>
            <w:left w:w="108" w:type="dxa"/>
            <w:bottom w:w="0" w:type="dxa"/>
            <w:right w:w="108" w:type="dxa"/>
          </w:tblCellMar>
        </w:tblPrEx>
        <w:trPr>
          <w:trHeight w:val="1686" w:hRule="atLeast"/>
          <w:jc w:val="center"/>
        </w:trPr>
        <w:tc>
          <w:tcPr>
            <w:tcW w:w="6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1336B264">
            <w:pPr>
              <w:widowControl/>
              <w:spacing w:line="240" w:lineRule="exact"/>
              <w:jc w:val="left"/>
              <w:rPr>
                <w:rFonts w:ascii="Times New Roman" w:hAnsi="Times New Roman" w:eastAsia="宋体"/>
                <w:color w:val="000000"/>
                <w:kern w:val="0"/>
                <w:sz w:val="21"/>
                <w:szCs w:val="21"/>
              </w:rPr>
            </w:pPr>
          </w:p>
        </w:tc>
        <w:tc>
          <w:tcPr>
            <w:tcW w:w="122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2892C147">
            <w:pPr>
              <w:widowControl/>
              <w:spacing w:line="240" w:lineRule="exact"/>
              <w:jc w:val="left"/>
              <w:rPr>
                <w:rFonts w:ascii="Times New Roman" w:hAnsi="Times New Roman" w:eastAsia="宋体"/>
                <w:color w:val="000000"/>
                <w:kern w:val="0"/>
                <w:sz w:val="21"/>
                <w:szCs w:val="21"/>
              </w:rPr>
            </w:pPr>
          </w:p>
        </w:tc>
        <w:tc>
          <w:tcPr>
            <w:tcW w:w="5103" w:type="dxa"/>
            <w:vMerge w:val="continue"/>
            <w:tcBorders>
              <w:top w:val="nil"/>
              <w:left w:val="single" w:color="auto" w:sz="4" w:space="0"/>
              <w:bottom w:val="single" w:color="auto" w:sz="4" w:space="0"/>
              <w:right w:val="single" w:color="auto" w:sz="4" w:space="0"/>
            </w:tcBorders>
            <w:shd w:val="clear" w:color="auto" w:fill="auto"/>
            <w:noWrap w:val="0"/>
            <w:vAlign w:val="center"/>
          </w:tcPr>
          <w:p w14:paraId="0A47AE16">
            <w:pPr>
              <w:widowControl/>
              <w:spacing w:line="240" w:lineRule="exact"/>
              <w:jc w:val="left"/>
              <w:rPr>
                <w:rFonts w:ascii="Times New Roman" w:hAnsi="Times New Roman" w:eastAsia="宋体"/>
                <w:color w:val="000000"/>
                <w:kern w:val="0"/>
                <w:sz w:val="21"/>
                <w:szCs w:val="21"/>
              </w:rPr>
            </w:pPr>
          </w:p>
        </w:tc>
        <w:tc>
          <w:tcPr>
            <w:tcW w:w="4986" w:type="dxa"/>
            <w:tcBorders>
              <w:top w:val="nil"/>
              <w:left w:val="nil"/>
              <w:bottom w:val="single" w:color="auto" w:sz="4" w:space="0"/>
              <w:right w:val="single" w:color="auto" w:sz="4" w:space="0"/>
            </w:tcBorders>
            <w:shd w:val="clear" w:color="auto" w:fill="auto"/>
            <w:noWrap w:val="0"/>
            <w:vAlign w:val="center"/>
          </w:tcPr>
          <w:p w14:paraId="6839143F">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未妥善保存、移送生产第三类监控化学品有关生产记录的</w:t>
            </w:r>
          </w:p>
        </w:tc>
        <w:tc>
          <w:tcPr>
            <w:tcW w:w="2894" w:type="dxa"/>
            <w:tcBorders>
              <w:top w:val="nil"/>
              <w:left w:val="nil"/>
              <w:bottom w:val="single" w:color="auto" w:sz="4" w:space="0"/>
              <w:right w:val="single" w:color="auto" w:sz="4" w:space="0"/>
            </w:tcBorders>
            <w:shd w:val="clear" w:color="auto" w:fill="auto"/>
            <w:noWrap w:val="0"/>
            <w:vAlign w:val="center"/>
          </w:tcPr>
          <w:p w14:paraId="462732CB">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责令限期改正，警告，处</w:t>
            </w:r>
            <w:r>
              <w:rPr>
                <w:rFonts w:ascii="Times New Roman" w:hAnsi="Times New Roman" w:eastAsia="宋体"/>
                <w:color w:val="000000"/>
                <w:kern w:val="0"/>
                <w:sz w:val="21"/>
                <w:szCs w:val="21"/>
              </w:rPr>
              <w:t>1</w:t>
            </w:r>
            <w:r>
              <w:rPr>
                <w:rFonts w:ascii="Times New Roman" w:hAnsi="Times New Roman" w:eastAsia="方正仿宋_GBK"/>
                <w:color w:val="000000"/>
                <w:kern w:val="0"/>
                <w:sz w:val="21"/>
                <w:szCs w:val="21"/>
              </w:rPr>
              <w:t>万元以上</w:t>
            </w:r>
            <w:r>
              <w:rPr>
                <w:rFonts w:ascii="Times New Roman" w:hAnsi="Times New Roman" w:eastAsia="宋体"/>
                <w:color w:val="000000"/>
                <w:kern w:val="0"/>
                <w:sz w:val="21"/>
                <w:szCs w:val="21"/>
              </w:rPr>
              <w:t>2</w:t>
            </w:r>
            <w:r>
              <w:rPr>
                <w:rFonts w:ascii="Times New Roman" w:hAnsi="Times New Roman" w:eastAsia="方正仿宋_GBK"/>
                <w:color w:val="000000"/>
                <w:kern w:val="0"/>
                <w:sz w:val="21"/>
                <w:szCs w:val="21"/>
              </w:rPr>
              <w:t>万元以下的罚款</w:t>
            </w:r>
          </w:p>
        </w:tc>
      </w:tr>
      <w:tr w14:paraId="49394E51">
        <w:tblPrEx>
          <w:tblCellMar>
            <w:top w:w="0" w:type="dxa"/>
            <w:left w:w="108" w:type="dxa"/>
            <w:bottom w:w="0" w:type="dxa"/>
            <w:right w:w="108" w:type="dxa"/>
          </w:tblCellMar>
        </w:tblPrEx>
        <w:trPr>
          <w:trHeight w:val="310" w:hRule="atLeast"/>
          <w:jc w:val="center"/>
        </w:trPr>
        <w:tc>
          <w:tcPr>
            <w:tcW w:w="640" w:type="dxa"/>
            <w:vMerge w:val="continue"/>
            <w:tcBorders>
              <w:top w:val="nil"/>
              <w:left w:val="single" w:color="auto" w:sz="4" w:space="0"/>
              <w:bottom w:val="single" w:color="auto" w:sz="4" w:space="0"/>
              <w:right w:val="single" w:color="auto" w:sz="4" w:space="0"/>
            </w:tcBorders>
            <w:shd w:val="clear" w:color="auto" w:fill="auto"/>
            <w:noWrap w:val="0"/>
            <w:vAlign w:val="center"/>
          </w:tcPr>
          <w:p w14:paraId="618B55BC">
            <w:pPr>
              <w:widowControl/>
              <w:spacing w:line="240" w:lineRule="exact"/>
              <w:jc w:val="left"/>
              <w:rPr>
                <w:rFonts w:ascii="Times New Roman" w:hAnsi="Times New Roman" w:eastAsia="宋体"/>
                <w:color w:val="000000"/>
                <w:kern w:val="0"/>
                <w:sz w:val="21"/>
                <w:szCs w:val="21"/>
              </w:rPr>
            </w:pPr>
          </w:p>
        </w:tc>
        <w:tc>
          <w:tcPr>
            <w:tcW w:w="1221" w:type="dxa"/>
            <w:vMerge w:val="continue"/>
            <w:tcBorders>
              <w:top w:val="nil"/>
              <w:left w:val="single" w:color="auto" w:sz="4" w:space="0"/>
              <w:bottom w:val="single" w:color="auto" w:sz="4" w:space="0"/>
              <w:right w:val="single" w:color="auto" w:sz="4" w:space="0"/>
            </w:tcBorders>
            <w:shd w:val="clear" w:color="auto" w:fill="auto"/>
            <w:noWrap w:val="0"/>
            <w:vAlign w:val="center"/>
          </w:tcPr>
          <w:p w14:paraId="78F805F1">
            <w:pPr>
              <w:widowControl/>
              <w:spacing w:line="240" w:lineRule="exact"/>
              <w:jc w:val="left"/>
              <w:rPr>
                <w:rFonts w:ascii="Times New Roman" w:hAnsi="Times New Roman" w:eastAsia="宋体"/>
                <w:color w:val="000000"/>
                <w:kern w:val="0"/>
                <w:sz w:val="21"/>
                <w:szCs w:val="21"/>
              </w:rPr>
            </w:pPr>
          </w:p>
        </w:tc>
        <w:tc>
          <w:tcPr>
            <w:tcW w:w="5103" w:type="dxa"/>
            <w:vMerge w:val="continue"/>
            <w:tcBorders>
              <w:top w:val="nil"/>
              <w:left w:val="single" w:color="auto" w:sz="4" w:space="0"/>
              <w:bottom w:val="single" w:color="auto" w:sz="4" w:space="0"/>
              <w:right w:val="single" w:color="auto" w:sz="4" w:space="0"/>
            </w:tcBorders>
            <w:shd w:val="clear" w:color="auto" w:fill="auto"/>
            <w:noWrap w:val="0"/>
            <w:vAlign w:val="center"/>
          </w:tcPr>
          <w:p w14:paraId="0F08F199">
            <w:pPr>
              <w:widowControl/>
              <w:spacing w:line="240" w:lineRule="exact"/>
              <w:jc w:val="left"/>
              <w:rPr>
                <w:rFonts w:ascii="Times New Roman" w:hAnsi="Times New Roman" w:eastAsia="宋体"/>
                <w:color w:val="000000"/>
                <w:kern w:val="0"/>
                <w:sz w:val="21"/>
                <w:szCs w:val="21"/>
              </w:rPr>
            </w:pPr>
          </w:p>
        </w:tc>
        <w:tc>
          <w:tcPr>
            <w:tcW w:w="4986" w:type="dxa"/>
            <w:tcBorders>
              <w:top w:val="nil"/>
              <w:left w:val="nil"/>
              <w:bottom w:val="single" w:color="auto" w:sz="4" w:space="0"/>
              <w:right w:val="single" w:color="auto" w:sz="4" w:space="0"/>
            </w:tcBorders>
            <w:shd w:val="clear" w:color="auto" w:fill="auto"/>
            <w:noWrap w:val="0"/>
            <w:vAlign w:val="center"/>
          </w:tcPr>
          <w:p w14:paraId="40E24471">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未妥善保存、移送第二类监控化学品生产、使用有关记录的</w:t>
            </w:r>
          </w:p>
        </w:tc>
        <w:tc>
          <w:tcPr>
            <w:tcW w:w="2894" w:type="dxa"/>
            <w:tcBorders>
              <w:top w:val="nil"/>
              <w:left w:val="nil"/>
              <w:bottom w:val="single" w:color="auto" w:sz="4" w:space="0"/>
              <w:right w:val="single" w:color="auto" w:sz="4" w:space="0"/>
            </w:tcBorders>
            <w:shd w:val="clear" w:color="auto" w:fill="auto"/>
            <w:noWrap w:val="0"/>
            <w:vAlign w:val="center"/>
          </w:tcPr>
          <w:p w14:paraId="6C258D20">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责令限期改正，警告，处</w:t>
            </w:r>
            <w:r>
              <w:rPr>
                <w:rFonts w:ascii="Times New Roman" w:hAnsi="Times New Roman" w:eastAsia="宋体"/>
                <w:color w:val="000000"/>
                <w:kern w:val="0"/>
                <w:sz w:val="21"/>
                <w:szCs w:val="21"/>
              </w:rPr>
              <w:t>2</w:t>
            </w:r>
            <w:r>
              <w:rPr>
                <w:rFonts w:ascii="Times New Roman" w:hAnsi="Times New Roman" w:eastAsia="方正仿宋_GBK"/>
                <w:color w:val="000000"/>
                <w:kern w:val="0"/>
                <w:sz w:val="21"/>
                <w:szCs w:val="21"/>
              </w:rPr>
              <w:t>万元以上</w:t>
            </w:r>
            <w:r>
              <w:rPr>
                <w:rFonts w:ascii="Times New Roman" w:hAnsi="Times New Roman" w:eastAsia="宋体"/>
                <w:color w:val="000000"/>
                <w:kern w:val="0"/>
                <w:sz w:val="21"/>
                <w:szCs w:val="21"/>
              </w:rPr>
              <w:t>3</w:t>
            </w:r>
            <w:r>
              <w:rPr>
                <w:rFonts w:ascii="Times New Roman" w:hAnsi="Times New Roman" w:eastAsia="方正仿宋_GBK"/>
                <w:color w:val="000000"/>
                <w:kern w:val="0"/>
                <w:sz w:val="21"/>
                <w:szCs w:val="21"/>
              </w:rPr>
              <w:t>万元以下的罚款</w:t>
            </w:r>
          </w:p>
        </w:tc>
      </w:tr>
      <w:tr w14:paraId="3FED5383">
        <w:tblPrEx>
          <w:tblCellMar>
            <w:top w:w="0" w:type="dxa"/>
            <w:left w:w="108" w:type="dxa"/>
            <w:bottom w:w="0" w:type="dxa"/>
            <w:right w:w="108" w:type="dxa"/>
          </w:tblCellMar>
        </w:tblPrEx>
        <w:trPr>
          <w:trHeight w:val="802" w:hRule="atLeast"/>
          <w:jc w:val="center"/>
        </w:trPr>
        <w:tc>
          <w:tcPr>
            <w:tcW w:w="640" w:type="dxa"/>
            <w:vMerge w:val="restart"/>
            <w:tcBorders>
              <w:top w:val="nil"/>
              <w:left w:val="single" w:color="auto" w:sz="4" w:space="0"/>
              <w:right w:val="single" w:color="auto" w:sz="4" w:space="0"/>
            </w:tcBorders>
            <w:shd w:val="clear" w:color="auto" w:fill="auto"/>
            <w:noWrap w:val="0"/>
            <w:vAlign w:val="center"/>
          </w:tcPr>
          <w:p w14:paraId="7533D5FA">
            <w:pPr>
              <w:widowControl/>
              <w:spacing w:line="240" w:lineRule="exact"/>
              <w:jc w:val="center"/>
              <w:rPr>
                <w:rFonts w:ascii="Times New Roman" w:hAnsi="Times New Roman" w:eastAsia="宋体"/>
                <w:color w:val="000000"/>
                <w:kern w:val="0"/>
                <w:sz w:val="21"/>
                <w:szCs w:val="21"/>
              </w:rPr>
            </w:pPr>
            <w:r>
              <w:rPr>
                <w:rFonts w:ascii="Times New Roman" w:hAnsi="Times New Roman" w:eastAsia="宋体"/>
                <w:color w:val="000000"/>
                <w:kern w:val="0"/>
                <w:sz w:val="21"/>
                <w:szCs w:val="21"/>
              </w:rPr>
              <w:t>9</w:t>
            </w:r>
          </w:p>
        </w:tc>
        <w:tc>
          <w:tcPr>
            <w:tcW w:w="1221" w:type="dxa"/>
            <w:vMerge w:val="restart"/>
            <w:tcBorders>
              <w:top w:val="nil"/>
              <w:left w:val="nil"/>
              <w:right w:val="single" w:color="auto" w:sz="4" w:space="0"/>
            </w:tcBorders>
            <w:shd w:val="clear" w:color="auto" w:fill="auto"/>
            <w:noWrap w:val="0"/>
            <w:vAlign w:val="center"/>
          </w:tcPr>
          <w:p w14:paraId="548D8532">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拒绝履行接受国际视察义务，不配合</w:t>
            </w:r>
            <w:r>
              <w:rPr>
                <w:rFonts w:hint="eastAsia" w:ascii="Times New Roman" w:hAnsi="Times New Roman" w:eastAsia="方正仿宋_GBK"/>
                <w:color w:val="000000"/>
                <w:kern w:val="0"/>
                <w:sz w:val="21"/>
                <w:szCs w:val="21"/>
              </w:rPr>
              <w:t>国际</w:t>
            </w:r>
            <w:r>
              <w:rPr>
                <w:rFonts w:ascii="Times New Roman" w:hAnsi="Times New Roman" w:eastAsia="方正仿宋_GBK"/>
                <w:color w:val="000000"/>
                <w:kern w:val="0"/>
                <w:sz w:val="21"/>
                <w:szCs w:val="21"/>
              </w:rPr>
              <w:t>视察，或者阻扰国际视察进行的</w:t>
            </w:r>
          </w:p>
        </w:tc>
        <w:tc>
          <w:tcPr>
            <w:tcW w:w="5103" w:type="dxa"/>
            <w:vMerge w:val="restart"/>
            <w:tcBorders>
              <w:top w:val="nil"/>
              <w:left w:val="nil"/>
              <w:right w:val="single" w:color="auto" w:sz="4" w:space="0"/>
            </w:tcBorders>
            <w:shd w:val="clear" w:color="auto" w:fill="auto"/>
            <w:noWrap w:val="0"/>
            <w:vAlign w:val="center"/>
          </w:tcPr>
          <w:p w14:paraId="0DEC4CC7">
            <w:pPr>
              <w:widowControl/>
              <w:spacing w:line="240" w:lineRule="exact"/>
              <w:jc w:val="lef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【部门规章】《</w:t>
            </w:r>
            <w:r>
              <w:rPr>
                <w:rFonts w:ascii="Times New Roman" w:hAnsi="Times New Roman" w:eastAsia="宋体"/>
                <w:color w:val="000000"/>
                <w:kern w:val="0"/>
                <w:sz w:val="21"/>
                <w:szCs w:val="21"/>
              </w:rPr>
              <w:t>&lt;</w:t>
            </w:r>
            <w:r>
              <w:rPr>
                <w:rFonts w:ascii="Times New Roman" w:hAnsi="Times New Roman" w:eastAsia="方正仿宋_GBK"/>
                <w:color w:val="000000"/>
                <w:kern w:val="0"/>
                <w:sz w:val="21"/>
                <w:szCs w:val="21"/>
              </w:rPr>
              <w:t>中华人民共和国监控化学品管理条例</w:t>
            </w:r>
            <w:r>
              <w:rPr>
                <w:rFonts w:ascii="Times New Roman" w:hAnsi="Times New Roman" w:eastAsia="宋体"/>
                <w:color w:val="000000"/>
                <w:kern w:val="0"/>
                <w:sz w:val="21"/>
                <w:szCs w:val="21"/>
              </w:rPr>
              <w:t>&gt;</w:t>
            </w:r>
            <w:r>
              <w:rPr>
                <w:rFonts w:ascii="Times New Roman" w:hAnsi="Times New Roman" w:eastAsia="方正仿宋_GBK"/>
                <w:color w:val="000000"/>
                <w:kern w:val="0"/>
                <w:sz w:val="21"/>
                <w:szCs w:val="21"/>
              </w:rPr>
              <w:t>实施细则》（</w:t>
            </w:r>
            <w:r>
              <w:rPr>
                <w:rFonts w:ascii="Times New Roman" w:hAnsi="Times New Roman" w:eastAsia="宋体"/>
                <w:color w:val="000000"/>
                <w:kern w:val="0"/>
                <w:sz w:val="21"/>
                <w:szCs w:val="21"/>
              </w:rPr>
              <w:t>2018</w:t>
            </w:r>
            <w:r>
              <w:rPr>
                <w:rFonts w:ascii="Times New Roman" w:hAnsi="Times New Roman" w:eastAsia="方正仿宋_GBK"/>
                <w:color w:val="000000"/>
                <w:kern w:val="0"/>
                <w:sz w:val="21"/>
                <w:szCs w:val="21"/>
              </w:rPr>
              <w:t>年</w:t>
            </w:r>
            <w:r>
              <w:rPr>
                <w:rFonts w:ascii="Times New Roman" w:hAnsi="Times New Roman" w:eastAsia="宋体"/>
                <w:color w:val="000000"/>
                <w:kern w:val="0"/>
                <w:sz w:val="21"/>
                <w:szCs w:val="21"/>
              </w:rPr>
              <w:t>7</w:t>
            </w:r>
            <w:r>
              <w:rPr>
                <w:rFonts w:ascii="Times New Roman" w:hAnsi="Times New Roman" w:eastAsia="方正仿宋_GBK"/>
                <w:color w:val="000000"/>
                <w:kern w:val="0"/>
                <w:sz w:val="21"/>
                <w:szCs w:val="21"/>
              </w:rPr>
              <w:t>月工业和信息化部令第</w:t>
            </w:r>
            <w:r>
              <w:rPr>
                <w:rFonts w:ascii="Times New Roman" w:hAnsi="Times New Roman" w:eastAsia="宋体"/>
                <w:color w:val="000000"/>
                <w:kern w:val="0"/>
                <w:sz w:val="21"/>
                <w:szCs w:val="21"/>
              </w:rPr>
              <w:t>48</w:t>
            </w:r>
            <w:r>
              <w:rPr>
                <w:rFonts w:ascii="Times New Roman" w:hAnsi="Times New Roman" w:eastAsia="方正仿宋_GBK"/>
                <w:color w:val="000000"/>
                <w:kern w:val="0"/>
                <w:sz w:val="21"/>
                <w:szCs w:val="21"/>
              </w:rPr>
              <w:t>号）第五十四条：</w:t>
            </w:r>
            <w:r>
              <w:rPr>
                <w:rFonts w:ascii="Times New Roman" w:hAnsi="Times New Roman" w:eastAsia="宋体"/>
                <w:color w:val="000000"/>
                <w:kern w:val="0"/>
                <w:sz w:val="21"/>
                <w:szCs w:val="21"/>
              </w:rPr>
              <w:t>“</w:t>
            </w:r>
            <w:r>
              <w:rPr>
                <w:rFonts w:ascii="Times New Roman" w:hAnsi="Times New Roman" w:eastAsia="方正仿宋_GBK"/>
                <w:color w:val="000000"/>
                <w:kern w:val="0"/>
                <w:sz w:val="21"/>
                <w:szCs w:val="21"/>
              </w:rPr>
              <w:t>从事监控化学品的生产、使用活动的，拒绝履行接受国际视察义务，不配合国际视察，或者阻挠国际视察进行的，由所在地的省、自治区、直辖市工业和信息化主管部门责令限期改正，予以警告，可以并处三万元以下罚款。</w:t>
            </w:r>
            <w:r>
              <w:rPr>
                <w:rFonts w:ascii="Times New Roman" w:hAnsi="Times New Roman" w:eastAsia="宋体"/>
                <w:color w:val="000000"/>
                <w:kern w:val="0"/>
                <w:sz w:val="21"/>
                <w:szCs w:val="21"/>
              </w:rPr>
              <w:t>”</w:t>
            </w:r>
          </w:p>
        </w:tc>
        <w:tc>
          <w:tcPr>
            <w:tcW w:w="4986" w:type="dxa"/>
            <w:tcBorders>
              <w:top w:val="nil"/>
              <w:left w:val="nil"/>
              <w:bottom w:val="single" w:color="auto" w:sz="4" w:space="0"/>
              <w:right w:val="single" w:color="auto" w:sz="4" w:space="0"/>
            </w:tcBorders>
            <w:shd w:val="clear" w:color="auto" w:fill="auto"/>
            <w:noWrap w:val="0"/>
            <w:vAlign w:val="center"/>
          </w:tcPr>
          <w:p w14:paraId="69A02C2C">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从事监控化学品的生产、使用活动的，拒绝履行接受国际视察义务</w:t>
            </w:r>
            <w:r>
              <w:rPr>
                <w:rFonts w:hint="eastAsia" w:ascii="Times New Roman" w:hAnsi="Times New Roman" w:eastAsia="方正仿宋_GBK"/>
                <w:color w:val="000000"/>
                <w:kern w:val="0"/>
                <w:sz w:val="21"/>
                <w:szCs w:val="21"/>
              </w:rPr>
              <w:t>的</w:t>
            </w:r>
          </w:p>
        </w:tc>
        <w:tc>
          <w:tcPr>
            <w:tcW w:w="2894" w:type="dxa"/>
            <w:tcBorders>
              <w:top w:val="nil"/>
              <w:left w:val="nil"/>
              <w:bottom w:val="single" w:color="auto" w:sz="4" w:space="0"/>
              <w:right w:val="single" w:color="auto" w:sz="4" w:space="0"/>
            </w:tcBorders>
            <w:shd w:val="clear" w:color="auto" w:fill="auto"/>
            <w:noWrap w:val="0"/>
            <w:vAlign w:val="center"/>
          </w:tcPr>
          <w:p w14:paraId="6231828E">
            <w:pPr>
              <w:widowControl/>
              <w:spacing w:line="240" w:lineRule="exact"/>
              <w:rPr>
                <w:rFonts w:ascii="Times New Roman" w:hAnsi="Times New Roman" w:eastAsia="宋体"/>
                <w:color w:val="000000"/>
                <w:kern w:val="0"/>
                <w:sz w:val="21"/>
                <w:szCs w:val="21"/>
              </w:rPr>
            </w:pPr>
            <w:r>
              <w:rPr>
                <w:rFonts w:ascii="Times New Roman" w:hAnsi="Times New Roman" w:eastAsia="方正仿宋_GBK"/>
                <w:color w:val="000000"/>
                <w:kern w:val="0"/>
                <w:sz w:val="21"/>
                <w:szCs w:val="21"/>
              </w:rPr>
              <w:t>责令限期改正，警告，处</w:t>
            </w:r>
            <w:r>
              <w:rPr>
                <w:rFonts w:ascii="Times New Roman" w:hAnsi="Times New Roman" w:eastAsia="宋体"/>
                <w:color w:val="000000"/>
                <w:kern w:val="0"/>
                <w:sz w:val="21"/>
                <w:szCs w:val="21"/>
              </w:rPr>
              <w:t>1</w:t>
            </w:r>
            <w:r>
              <w:rPr>
                <w:rFonts w:ascii="Times New Roman" w:hAnsi="Times New Roman" w:eastAsia="方正仿宋_GBK"/>
                <w:color w:val="000000"/>
                <w:kern w:val="0"/>
                <w:sz w:val="21"/>
                <w:szCs w:val="21"/>
              </w:rPr>
              <w:t>万元以下罚款</w:t>
            </w:r>
          </w:p>
        </w:tc>
      </w:tr>
      <w:tr w14:paraId="752C7DDE">
        <w:tblPrEx>
          <w:tblCellMar>
            <w:top w:w="0" w:type="dxa"/>
            <w:left w:w="108" w:type="dxa"/>
            <w:bottom w:w="0" w:type="dxa"/>
            <w:right w:w="108" w:type="dxa"/>
          </w:tblCellMar>
        </w:tblPrEx>
        <w:trPr>
          <w:trHeight w:val="801" w:hRule="atLeast"/>
          <w:jc w:val="center"/>
        </w:trPr>
        <w:tc>
          <w:tcPr>
            <w:tcW w:w="640" w:type="dxa"/>
            <w:vMerge w:val="continue"/>
            <w:tcBorders>
              <w:left w:val="single" w:color="auto" w:sz="4" w:space="0"/>
              <w:right w:val="single" w:color="auto" w:sz="4" w:space="0"/>
            </w:tcBorders>
            <w:shd w:val="clear" w:color="auto" w:fill="auto"/>
            <w:noWrap w:val="0"/>
            <w:vAlign w:val="center"/>
          </w:tcPr>
          <w:p w14:paraId="7E8EF796">
            <w:pPr>
              <w:widowControl/>
              <w:spacing w:line="240" w:lineRule="exact"/>
              <w:jc w:val="center"/>
              <w:rPr>
                <w:rFonts w:ascii="Times New Roman" w:hAnsi="Times New Roman" w:eastAsia="宋体"/>
                <w:color w:val="000000"/>
                <w:kern w:val="0"/>
                <w:sz w:val="21"/>
                <w:szCs w:val="21"/>
              </w:rPr>
            </w:pPr>
          </w:p>
        </w:tc>
        <w:tc>
          <w:tcPr>
            <w:tcW w:w="1221" w:type="dxa"/>
            <w:vMerge w:val="continue"/>
            <w:tcBorders>
              <w:left w:val="nil"/>
              <w:right w:val="single" w:color="auto" w:sz="4" w:space="0"/>
            </w:tcBorders>
            <w:shd w:val="clear" w:color="auto" w:fill="auto"/>
            <w:noWrap w:val="0"/>
            <w:vAlign w:val="center"/>
          </w:tcPr>
          <w:p w14:paraId="44640E7E">
            <w:pPr>
              <w:widowControl/>
              <w:spacing w:line="240" w:lineRule="exact"/>
              <w:jc w:val="left"/>
              <w:rPr>
                <w:rFonts w:ascii="Times New Roman" w:hAnsi="Times New Roman" w:eastAsia="方正仿宋_GBK"/>
                <w:color w:val="000000"/>
                <w:kern w:val="0"/>
                <w:sz w:val="21"/>
                <w:szCs w:val="21"/>
              </w:rPr>
            </w:pPr>
          </w:p>
        </w:tc>
        <w:tc>
          <w:tcPr>
            <w:tcW w:w="5103" w:type="dxa"/>
            <w:vMerge w:val="continue"/>
            <w:tcBorders>
              <w:left w:val="nil"/>
              <w:right w:val="single" w:color="auto" w:sz="4" w:space="0"/>
            </w:tcBorders>
            <w:shd w:val="clear" w:color="auto" w:fill="auto"/>
            <w:noWrap w:val="0"/>
            <w:vAlign w:val="center"/>
          </w:tcPr>
          <w:p w14:paraId="13B44437">
            <w:pPr>
              <w:widowControl/>
              <w:spacing w:line="240" w:lineRule="exact"/>
              <w:jc w:val="left"/>
              <w:rPr>
                <w:rFonts w:ascii="Times New Roman" w:hAnsi="Times New Roman" w:eastAsia="方正仿宋_GBK"/>
                <w:color w:val="000000"/>
                <w:kern w:val="0"/>
                <w:sz w:val="21"/>
                <w:szCs w:val="21"/>
              </w:rPr>
            </w:pPr>
          </w:p>
        </w:tc>
        <w:tc>
          <w:tcPr>
            <w:tcW w:w="4986" w:type="dxa"/>
            <w:tcBorders>
              <w:top w:val="single" w:color="auto" w:sz="4" w:space="0"/>
              <w:left w:val="nil"/>
              <w:bottom w:val="single" w:color="auto" w:sz="4" w:space="0"/>
              <w:right w:val="single" w:color="auto" w:sz="4" w:space="0"/>
            </w:tcBorders>
            <w:shd w:val="clear" w:color="auto" w:fill="auto"/>
            <w:noWrap w:val="0"/>
            <w:vAlign w:val="center"/>
          </w:tcPr>
          <w:p w14:paraId="7010A309">
            <w:pPr>
              <w:widowControl/>
              <w:spacing w:line="240" w:lineRule="exact"/>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从事监控化学品的生产、使用活动的，不配合国际视察的</w:t>
            </w:r>
          </w:p>
        </w:tc>
        <w:tc>
          <w:tcPr>
            <w:tcW w:w="2894" w:type="dxa"/>
            <w:tcBorders>
              <w:top w:val="single" w:color="auto" w:sz="4" w:space="0"/>
              <w:left w:val="nil"/>
              <w:bottom w:val="single" w:color="auto" w:sz="4" w:space="0"/>
              <w:right w:val="single" w:color="auto" w:sz="4" w:space="0"/>
            </w:tcBorders>
            <w:shd w:val="clear" w:color="auto" w:fill="auto"/>
            <w:noWrap w:val="0"/>
            <w:vAlign w:val="center"/>
          </w:tcPr>
          <w:p w14:paraId="5D85626B">
            <w:pPr>
              <w:widowControl/>
              <w:spacing w:line="240" w:lineRule="exact"/>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责令限期改正，警告，处</w:t>
            </w:r>
            <w:r>
              <w:rPr>
                <w:rFonts w:ascii="Times New Roman" w:hAnsi="Times New Roman" w:eastAsia="宋体"/>
                <w:color w:val="000000"/>
                <w:kern w:val="0"/>
                <w:sz w:val="21"/>
                <w:szCs w:val="21"/>
              </w:rPr>
              <w:t>1</w:t>
            </w:r>
            <w:r>
              <w:rPr>
                <w:rFonts w:ascii="Times New Roman" w:hAnsi="Times New Roman" w:eastAsia="方正仿宋_GBK"/>
                <w:color w:val="000000"/>
                <w:kern w:val="0"/>
                <w:sz w:val="21"/>
                <w:szCs w:val="21"/>
              </w:rPr>
              <w:t>万元以</w:t>
            </w:r>
            <w:r>
              <w:rPr>
                <w:rFonts w:hint="eastAsia" w:ascii="Times New Roman" w:hAnsi="Times New Roman" w:eastAsia="方正仿宋_GBK"/>
                <w:color w:val="000000"/>
                <w:kern w:val="0"/>
                <w:sz w:val="21"/>
                <w:szCs w:val="21"/>
              </w:rPr>
              <w:t>上</w:t>
            </w:r>
            <w:r>
              <w:rPr>
                <w:rFonts w:ascii="Times New Roman" w:hAnsi="Times New Roman" w:eastAsia="宋体"/>
                <w:color w:val="000000"/>
                <w:kern w:val="0"/>
                <w:sz w:val="21"/>
                <w:szCs w:val="21"/>
              </w:rPr>
              <w:t>2</w:t>
            </w:r>
            <w:r>
              <w:rPr>
                <w:rFonts w:ascii="Times New Roman" w:hAnsi="Times New Roman" w:eastAsia="方正仿宋_GBK"/>
                <w:color w:val="000000"/>
                <w:kern w:val="0"/>
                <w:sz w:val="21"/>
                <w:szCs w:val="21"/>
              </w:rPr>
              <w:t>万元以下罚款</w:t>
            </w:r>
          </w:p>
        </w:tc>
      </w:tr>
      <w:tr w14:paraId="44F18E03">
        <w:tblPrEx>
          <w:tblCellMar>
            <w:top w:w="0" w:type="dxa"/>
            <w:left w:w="108" w:type="dxa"/>
            <w:bottom w:w="0" w:type="dxa"/>
            <w:right w:w="108" w:type="dxa"/>
          </w:tblCellMar>
        </w:tblPrEx>
        <w:trPr>
          <w:trHeight w:val="801" w:hRule="atLeast"/>
          <w:jc w:val="center"/>
        </w:trPr>
        <w:tc>
          <w:tcPr>
            <w:tcW w:w="640" w:type="dxa"/>
            <w:vMerge w:val="continue"/>
            <w:tcBorders>
              <w:left w:val="single" w:color="auto" w:sz="4" w:space="0"/>
              <w:bottom w:val="single" w:color="auto" w:sz="4" w:space="0"/>
              <w:right w:val="single" w:color="auto" w:sz="4" w:space="0"/>
            </w:tcBorders>
            <w:shd w:val="clear" w:color="auto" w:fill="auto"/>
            <w:noWrap w:val="0"/>
            <w:vAlign w:val="center"/>
          </w:tcPr>
          <w:p w14:paraId="2E91A617">
            <w:pPr>
              <w:widowControl/>
              <w:spacing w:line="240" w:lineRule="exact"/>
              <w:jc w:val="center"/>
              <w:rPr>
                <w:rFonts w:ascii="Times New Roman" w:hAnsi="Times New Roman" w:eastAsia="宋体"/>
                <w:color w:val="000000"/>
                <w:kern w:val="0"/>
                <w:sz w:val="21"/>
                <w:szCs w:val="21"/>
              </w:rPr>
            </w:pPr>
          </w:p>
        </w:tc>
        <w:tc>
          <w:tcPr>
            <w:tcW w:w="1221" w:type="dxa"/>
            <w:vMerge w:val="continue"/>
            <w:tcBorders>
              <w:left w:val="nil"/>
              <w:bottom w:val="single" w:color="auto" w:sz="4" w:space="0"/>
              <w:right w:val="single" w:color="auto" w:sz="4" w:space="0"/>
            </w:tcBorders>
            <w:shd w:val="clear" w:color="auto" w:fill="auto"/>
            <w:noWrap w:val="0"/>
            <w:vAlign w:val="center"/>
          </w:tcPr>
          <w:p w14:paraId="6D9EA1EA">
            <w:pPr>
              <w:widowControl/>
              <w:spacing w:line="240" w:lineRule="exact"/>
              <w:jc w:val="left"/>
              <w:rPr>
                <w:rFonts w:ascii="Times New Roman" w:hAnsi="Times New Roman" w:eastAsia="方正仿宋_GBK"/>
                <w:color w:val="000000"/>
                <w:kern w:val="0"/>
                <w:sz w:val="21"/>
                <w:szCs w:val="21"/>
              </w:rPr>
            </w:pPr>
          </w:p>
        </w:tc>
        <w:tc>
          <w:tcPr>
            <w:tcW w:w="5103" w:type="dxa"/>
            <w:vMerge w:val="continue"/>
            <w:tcBorders>
              <w:left w:val="nil"/>
              <w:bottom w:val="single" w:color="auto" w:sz="4" w:space="0"/>
              <w:right w:val="single" w:color="auto" w:sz="4" w:space="0"/>
            </w:tcBorders>
            <w:shd w:val="clear" w:color="auto" w:fill="auto"/>
            <w:noWrap w:val="0"/>
            <w:vAlign w:val="center"/>
          </w:tcPr>
          <w:p w14:paraId="5D071D0A">
            <w:pPr>
              <w:widowControl/>
              <w:spacing w:line="240" w:lineRule="exact"/>
              <w:jc w:val="left"/>
              <w:rPr>
                <w:rFonts w:ascii="Times New Roman" w:hAnsi="Times New Roman" w:eastAsia="方正仿宋_GBK"/>
                <w:color w:val="000000"/>
                <w:kern w:val="0"/>
                <w:sz w:val="21"/>
                <w:szCs w:val="21"/>
              </w:rPr>
            </w:pPr>
          </w:p>
        </w:tc>
        <w:tc>
          <w:tcPr>
            <w:tcW w:w="4986" w:type="dxa"/>
            <w:tcBorders>
              <w:top w:val="single" w:color="auto" w:sz="4" w:space="0"/>
              <w:left w:val="nil"/>
              <w:bottom w:val="single" w:color="auto" w:sz="4" w:space="0"/>
              <w:right w:val="single" w:color="auto" w:sz="4" w:space="0"/>
            </w:tcBorders>
            <w:shd w:val="clear" w:color="auto" w:fill="auto"/>
            <w:noWrap w:val="0"/>
            <w:vAlign w:val="center"/>
          </w:tcPr>
          <w:p w14:paraId="1BDF0380">
            <w:pPr>
              <w:widowControl/>
              <w:spacing w:line="240" w:lineRule="exact"/>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从事监控化学品的生产、使用活动的，阻挠国际视察进行的</w:t>
            </w:r>
          </w:p>
        </w:tc>
        <w:tc>
          <w:tcPr>
            <w:tcW w:w="2894" w:type="dxa"/>
            <w:tcBorders>
              <w:top w:val="single" w:color="auto" w:sz="4" w:space="0"/>
              <w:left w:val="nil"/>
              <w:bottom w:val="single" w:color="auto" w:sz="4" w:space="0"/>
              <w:right w:val="single" w:color="auto" w:sz="4" w:space="0"/>
            </w:tcBorders>
            <w:shd w:val="clear" w:color="auto" w:fill="auto"/>
            <w:noWrap w:val="0"/>
            <w:vAlign w:val="center"/>
          </w:tcPr>
          <w:p w14:paraId="5B75778B">
            <w:pPr>
              <w:widowControl/>
              <w:spacing w:line="240" w:lineRule="exact"/>
              <w:rPr>
                <w:rFonts w:ascii="Times New Roman" w:hAnsi="Times New Roman" w:eastAsia="方正仿宋_GBK"/>
                <w:color w:val="000000"/>
                <w:kern w:val="0"/>
                <w:sz w:val="21"/>
                <w:szCs w:val="21"/>
              </w:rPr>
            </w:pPr>
            <w:r>
              <w:rPr>
                <w:rFonts w:ascii="Times New Roman" w:hAnsi="Times New Roman" w:eastAsia="方正仿宋_GBK"/>
                <w:color w:val="000000"/>
                <w:kern w:val="0"/>
                <w:sz w:val="21"/>
                <w:szCs w:val="21"/>
              </w:rPr>
              <w:t>责令限期改正，警告，处</w:t>
            </w:r>
            <w:r>
              <w:rPr>
                <w:rFonts w:ascii="Times New Roman" w:hAnsi="Times New Roman" w:eastAsia="宋体"/>
                <w:color w:val="000000"/>
                <w:kern w:val="0"/>
                <w:sz w:val="21"/>
                <w:szCs w:val="21"/>
              </w:rPr>
              <w:t>2</w:t>
            </w:r>
            <w:r>
              <w:rPr>
                <w:rFonts w:ascii="Times New Roman" w:hAnsi="Times New Roman" w:eastAsia="方正仿宋_GBK"/>
                <w:color w:val="000000"/>
                <w:kern w:val="0"/>
                <w:sz w:val="21"/>
                <w:szCs w:val="21"/>
              </w:rPr>
              <w:t>万元以</w:t>
            </w:r>
            <w:r>
              <w:rPr>
                <w:rFonts w:hint="eastAsia" w:ascii="Times New Roman" w:hAnsi="Times New Roman" w:eastAsia="方正仿宋_GBK"/>
                <w:color w:val="000000"/>
                <w:kern w:val="0"/>
                <w:sz w:val="21"/>
                <w:szCs w:val="21"/>
              </w:rPr>
              <w:t>上</w:t>
            </w:r>
            <w:r>
              <w:rPr>
                <w:rFonts w:ascii="Times New Roman" w:hAnsi="Times New Roman" w:eastAsia="宋体"/>
                <w:color w:val="000000"/>
                <w:kern w:val="0"/>
                <w:sz w:val="21"/>
                <w:szCs w:val="21"/>
              </w:rPr>
              <w:t>3</w:t>
            </w:r>
            <w:r>
              <w:rPr>
                <w:rFonts w:ascii="Times New Roman" w:hAnsi="Times New Roman" w:eastAsia="方正仿宋_GBK"/>
                <w:color w:val="000000"/>
                <w:kern w:val="0"/>
                <w:sz w:val="21"/>
                <w:szCs w:val="21"/>
              </w:rPr>
              <w:t>万元以下罚款</w:t>
            </w:r>
          </w:p>
        </w:tc>
      </w:tr>
    </w:tbl>
    <w:p w14:paraId="0549B464">
      <w:pPr>
        <w:spacing w:line="590" w:lineRule="exact"/>
        <w:jc w:val="center"/>
        <w:rPr>
          <w:rFonts w:ascii="Times New Roman" w:hAnsi="Times New Roman" w:eastAsia="方正仿宋_GBK"/>
          <w:color w:val="000000"/>
          <w:kern w:val="0"/>
          <w:sz w:val="21"/>
          <w:szCs w:val="21"/>
        </w:rPr>
      </w:pPr>
    </w:p>
    <w:p w14:paraId="72CFD65C">
      <w:pPr>
        <w:spacing w:after="240" w:line="590" w:lineRule="exact"/>
        <w:jc w:val="center"/>
        <w:rPr>
          <w:rFonts w:hint="eastAsia" w:ascii="方正小标宋_GBK" w:hAnsi="Times New Roman" w:eastAsia="方正小标宋_GBK"/>
          <w:color w:val="000000"/>
          <w:kern w:val="0"/>
          <w:sz w:val="24"/>
          <w:szCs w:val="21"/>
        </w:rPr>
      </w:pPr>
      <w:r>
        <w:rPr>
          <w:rFonts w:hint="eastAsia" w:ascii="方正小标宋_GBK" w:hAnsi="Times New Roman" w:eastAsia="方正小标宋_GBK"/>
          <w:color w:val="000000"/>
          <w:kern w:val="0"/>
          <w:sz w:val="24"/>
          <w:szCs w:val="21"/>
        </w:rPr>
        <w:t>附表：监控化学品宣布阈值、核查阈值一览表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0"/>
        <w:gridCol w:w="2977"/>
        <w:gridCol w:w="4536"/>
        <w:gridCol w:w="4001"/>
      </w:tblGrid>
      <w:tr w14:paraId="0AE8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5637" w:type="dxa"/>
            <w:gridSpan w:val="2"/>
            <w:shd w:val="clear" w:color="auto" w:fill="auto"/>
            <w:noWrap w:val="0"/>
            <w:vAlign w:val="center"/>
          </w:tcPr>
          <w:p w14:paraId="27E55D97">
            <w:pPr>
              <w:spacing w:line="360" w:lineRule="exact"/>
              <w:jc w:val="center"/>
              <w:rPr>
                <w:rFonts w:hint="eastAsia" w:ascii="方正黑体_GBK" w:hAnsi="Times New Roman" w:eastAsia="方正黑体_GBK"/>
                <w:color w:val="000000"/>
                <w:kern w:val="0"/>
                <w:sz w:val="21"/>
                <w:szCs w:val="21"/>
              </w:rPr>
            </w:pPr>
            <w:r>
              <w:rPr>
                <w:rFonts w:hint="eastAsia" w:ascii="方正黑体_GBK" w:hAnsi="Times New Roman" w:eastAsia="方正黑体_GBK"/>
                <w:color w:val="000000"/>
                <w:kern w:val="0"/>
                <w:sz w:val="21"/>
                <w:szCs w:val="21"/>
              </w:rPr>
              <w:t>化学品类别</w:t>
            </w:r>
          </w:p>
        </w:tc>
        <w:tc>
          <w:tcPr>
            <w:tcW w:w="4536" w:type="dxa"/>
            <w:shd w:val="clear" w:color="auto" w:fill="auto"/>
            <w:noWrap w:val="0"/>
            <w:vAlign w:val="center"/>
          </w:tcPr>
          <w:p w14:paraId="31628015">
            <w:pPr>
              <w:spacing w:line="360" w:lineRule="exact"/>
              <w:jc w:val="center"/>
              <w:rPr>
                <w:rFonts w:hint="eastAsia" w:ascii="方正黑体_GBK" w:hAnsi="Times New Roman" w:eastAsia="方正黑体_GBK"/>
                <w:color w:val="000000"/>
                <w:kern w:val="0"/>
                <w:sz w:val="21"/>
                <w:szCs w:val="21"/>
              </w:rPr>
            </w:pPr>
            <w:r>
              <w:rPr>
                <w:rFonts w:hint="eastAsia" w:ascii="方正黑体_GBK" w:hAnsi="Times New Roman" w:eastAsia="方正黑体_GBK"/>
                <w:color w:val="000000"/>
                <w:kern w:val="0"/>
                <w:sz w:val="21"/>
                <w:szCs w:val="21"/>
              </w:rPr>
              <w:t>宣布阈值</w:t>
            </w:r>
          </w:p>
        </w:tc>
        <w:tc>
          <w:tcPr>
            <w:tcW w:w="4001" w:type="dxa"/>
            <w:shd w:val="clear" w:color="auto" w:fill="auto"/>
            <w:noWrap w:val="0"/>
            <w:vAlign w:val="center"/>
          </w:tcPr>
          <w:p w14:paraId="7C2517A9">
            <w:pPr>
              <w:spacing w:line="360" w:lineRule="exact"/>
              <w:jc w:val="center"/>
              <w:rPr>
                <w:rFonts w:hint="eastAsia" w:ascii="方正黑体_GBK" w:hAnsi="Times New Roman" w:eastAsia="方正黑体_GBK"/>
                <w:color w:val="000000"/>
                <w:kern w:val="0"/>
                <w:sz w:val="21"/>
                <w:szCs w:val="21"/>
              </w:rPr>
            </w:pPr>
            <w:r>
              <w:rPr>
                <w:rFonts w:hint="eastAsia" w:ascii="方正黑体_GBK" w:hAnsi="Times New Roman" w:eastAsia="方正黑体_GBK"/>
                <w:color w:val="000000"/>
                <w:kern w:val="0"/>
                <w:sz w:val="21"/>
                <w:szCs w:val="21"/>
              </w:rPr>
              <w:t>核查阈值</w:t>
            </w:r>
          </w:p>
        </w:tc>
      </w:tr>
      <w:tr w14:paraId="1C462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60" w:type="dxa"/>
            <w:vMerge w:val="restart"/>
            <w:shd w:val="clear" w:color="auto" w:fill="auto"/>
            <w:noWrap w:val="0"/>
            <w:vAlign w:val="center"/>
          </w:tcPr>
          <w:p w14:paraId="2AFBBE82">
            <w:pPr>
              <w:spacing w:line="360" w:lineRule="exact"/>
              <w:rPr>
                <w:rFonts w:hint="eastAsia"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第二类监控化学品</w:t>
            </w:r>
          </w:p>
        </w:tc>
        <w:tc>
          <w:tcPr>
            <w:tcW w:w="2977" w:type="dxa"/>
            <w:shd w:val="clear" w:color="auto" w:fill="auto"/>
            <w:noWrap w:val="0"/>
            <w:vAlign w:val="center"/>
          </w:tcPr>
          <w:p w14:paraId="3800E0C8">
            <w:pPr>
              <w:spacing w:line="360" w:lineRule="exact"/>
              <w:rPr>
                <w:rFonts w:hint="eastAsia"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附表2</w:t>
            </w:r>
            <w:r>
              <w:rPr>
                <w:rFonts w:ascii="Times New Roman" w:hAnsi="Times New Roman" w:eastAsia="方正仿宋_GBK"/>
                <w:color w:val="000000"/>
                <w:kern w:val="0"/>
                <w:sz w:val="21"/>
                <w:szCs w:val="21"/>
              </w:rPr>
              <w:t>A*化学品</w:t>
            </w:r>
          </w:p>
        </w:tc>
        <w:tc>
          <w:tcPr>
            <w:tcW w:w="4536" w:type="dxa"/>
            <w:shd w:val="clear" w:color="auto" w:fill="auto"/>
            <w:noWrap w:val="0"/>
            <w:vAlign w:val="center"/>
          </w:tcPr>
          <w:p w14:paraId="0D9BD826">
            <w:pPr>
              <w:spacing w:line="360" w:lineRule="exact"/>
              <w:rPr>
                <w:rFonts w:hint="eastAsia"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1千克</w:t>
            </w:r>
          </w:p>
        </w:tc>
        <w:tc>
          <w:tcPr>
            <w:tcW w:w="4001" w:type="dxa"/>
            <w:shd w:val="clear" w:color="auto" w:fill="auto"/>
            <w:noWrap w:val="0"/>
            <w:vAlign w:val="center"/>
          </w:tcPr>
          <w:p w14:paraId="3A503EF4">
            <w:pPr>
              <w:spacing w:line="360" w:lineRule="exact"/>
              <w:rPr>
                <w:rFonts w:hint="eastAsia"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1</w:t>
            </w:r>
            <w:r>
              <w:rPr>
                <w:rFonts w:ascii="Times New Roman" w:hAnsi="Times New Roman" w:eastAsia="方正仿宋_GBK"/>
                <w:color w:val="000000"/>
                <w:kern w:val="0"/>
                <w:sz w:val="21"/>
                <w:szCs w:val="21"/>
              </w:rPr>
              <w:t>0千克</w:t>
            </w:r>
          </w:p>
        </w:tc>
      </w:tr>
      <w:tr w14:paraId="214EE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60" w:type="dxa"/>
            <w:vMerge w:val="continue"/>
            <w:shd w:val="clear" w:color="auto" w:fill="auto"/>
            <w:noWrap w:val="0"/>
            <w:vAlign w:val="center"/>
          </w:tcPr>
          <w:p w14:paraId="1E98EB12">
            <w:pPr>
              <w:spacing w:line="360" w:lineRule="exact"/>
              <w:rPr>
                <w:rFonts w:hint="eastAsia" w:ascii="Times New Roman" w:hAnsi="Times New Roman" w:eastAsia="方正仿宋_GBK"/>
                <w:color w:val="000000"/>
                <w:kern w:val="0"/>
                <w:sz w:val="21"/>
                <w:szCs w:val="21"/>
              </w:rPr>
            </w:pPr>
          </w:p>
        </w:tc>
        <w:tc>
          <w:tcPr>
            <w:tcW w:w="2977" w:type="dxa"/>
            <w:shd w:val="clear" w:color="auto" w:fill="auto"/>
            <w:noWrap w:val="0"/>
            <w:vAlign w:val="center"/>
          </w:tcPr>
          <w:p w14:paraId="47787DD7">
            <w:pPr>
              <w:spacing w:line="360" w:lineRule="exact"/>
              <w:rPr>
                <w:rFonts w:hint="eastAsia"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附表2</w:t>
            </w:r>
            <w:r>
              <w:rPr>
                <w:rFonts w:ascii="Times New Roman" w:hAnsi="Times New Roman" w:eastAsia="方正仿宋_GBK"/>
                <w:color w:val="000000"/>
                <w:kern w:val="0"/>
                <w:sz w:val="21"/>
                <w:szCs w:val="21"/>
              </w:rPr>
              <w:t>A化学品</w:t>
            </w:r>
          </w:p>
        </w:tc>
        <w:tc>
          <w:tcPr>
            <w:tcW w:w="4536" w:type="dxa"/>
            <w:shd w:val="clear" w:color="auto" w:fill="auto"/>
            <w:noWrap w:val="0"/>
            <w:vAlign w:val="center"/>
          </w:tcPr>
          <w:p w14:paraId="49ECEA15">
            <w:pPr>
              <w:spacing w:line="360" w:lineRule="exact"/>
              <w:rPr>
                <w:rFonts w:hint="eastAsia"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1</w:t>
            </w:r>
            <w:r>
              <w:rPr>
                <w:rFonts w:ascii="Times New Roman" w:hAnsi="Times New Roman" w:eastAsia="方正仿宋_GBK"/>
                <w:color w:val="000000"/>
                <w:kern w:val="0"/>
                <w:sz w:val="21"/>
                <w:szCs w:val="21"/>
              </w:rPr>
              <w:t>00千克</w:t>
            </w:r>
          </w:p>
        </w:tc>
        <w:tc>
          <w:tcPr>
            <w:tcW w:w="4001" w:type="dxa"/>
            <w:shd w:val="clear" w:color="auto" w:fill="auto"/>
            <w:noWrap w:val="0"/>
            <w:vAlign w:val="center"/>
          </w:tcPr>
          <w:p w14:paraId="421821CB">
            <w:pPr>
              <w:spacing w:line="360" w:lineRule="exact"/>
              <w:rPr>
                <w:rFonts w:hint="eastAsia"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1吨</w:t>
            </w:r>
          </w:p>
        </w:tc>
      </w:tr>
      <w:tr w14:paraId="6470C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60" w:type="dxa"/>
            <w:vMerge w:val="continue"/>
            <w:shd w:val="clear" w:color="auto" w:fill="auto"/>
            <w:noWrap w:val="0"/>
            <w:vAlign w:val="center"/>
          </w:tcPr>
          <w:p w14:paraId="78BC4B2C">
            <w:pPr>
              <w:spacing w:line="360" w:lineRule="exact"/>
              <w:rPr>
                <w:rFonts w:hint="eastAsia" w:ascii="Times New Roman" w:hAnsi="Times New Roman" w:eastAsia="方正仿宋_GBK"/>
                <w:color w:val="000000"/>
                <w:kern w:val="0"/>
                <w:sz w:val="21"/>
                <w:szCs w:val="21"/>
              </w:rPr>
            </w:pPr>
          </w:p>
        </w:tc>
        <w:tc>
          <w:tcPr>
            <w:tcW w:w="2977" w:type="dxa"/>
            <w:shd w:val="clear" w:color="auto" w:fill="auto"/>
            <w:noWrap w:val="0"/>
            <w:vAlign w:val="center"/>
          </w:tcPr>
          <w:p w14:paraId="7358C07F">
            <w:pPr>
              <w:spacing w:line="360" w:lineRule="exact"/>
              <w:rPr>
                <w:rFonts w:hint="eastAsia"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附表2</w:t>
            </w:r>
            <w:r>
              <w:rPr>
                <w:rFonts w:ascii="Times New Roman" w:hAnsi="Times New Roman" w:eastAsia="方正仿宋_GBK"/>
                <w:color w:val="000000"/>
                <w:kern w:val="0"/>
                <w:sz w:val="21"/>
                <w:szCs w:val="21"/>
              </w:rPr>
              <w:t>B化学品</w:t>
            </w:r>
          </w:p>
        </w:tc>
        <w:tc>
          <w:tcPr>
            <w:tcW w:w="4536" w:type="dxa"/>
            <w:shd w:val="clear" w:color="auto" w:fill="auto"/>
            <w:noWrap w:val="0"/>
            <w:vAlign w:val="center"/>
          </w:tcPr>
          <w:p w14:paraId="2BB6CB23">
            <w:pPr>
              <w:spacing w:line="360" w:lineRule="exact"/>
              <w:rPr>
                <w:rFonts w:hint="eastAsia"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1吨</w:t>
            </w:r>
          </w:p>
        </w:tc>
        <w:tc>
          <w:tcPr>
            <w:tcW w:w="4001" w:type="dxa"/>
            <w:shd w:val="clear" w:color="auto" w:fill="auto"/>
            <w:noWrap w:val="0"/>
            <w:vAlign w:val="center"/>
          </w:tcPr>
          <w:p w14:paraId="7B849496">
            <w:pPr>
              <w:spacing w:line="360" w:lineRule="exact"/>
              <w:rPr>
                <w:rFonts w:hint="eastAsia"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1</w:t>
            </w:r>
            <w:r>
              <w:rPr>
                <w:rFonts w:ascii="Times New Roman" w:hAnsi="Times New Roman" w:eastAsia="方正仿宋_GBK"/>
                <w:color w:val="000000"/>
                <w:kern w:val="0"/>
                <w:sz w:val="21"/>
                <w:szCs w:val="21"/>
              </w:rPr>
              <w:t>0吨</w:t>
            </w:r>
          </w:p>
        </w:tc>
      </w:tr>
      <w:tr w14:paraId="504DF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660" w:type="dxa"/>
            <w:shd w:val="clear" w:color="auto" w:fill="auto"/>
            <w:noWrap w:val="0"/>
            <w:vAlign w:val="center"/>
          </w:tcPr>
          <w:p w14:paraId="223450B6">
            <w:pPr>
              <w:spacing w:line="360" w:lineRule="exact"/>
              <w:rPr>
                <w:rFonts w:hint="eastAsia"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第三类监控化学品</w:t>
            </w:r>
          </w:p>
        </w:tc>
        <w:tc>
          <w:tcPr>
            <w:tcW w:w="2977" w:type="dxa"/>
            <w:shd w:val="clear" w:color="auto" w:fill="auto"/>
            <w:noWrap w:val="0"/>
            <w:vAlign w:val="center"/>
          </w:tcPr>
          <w:p w14:paraId="16F73AA6">
            <w:pPr>
              <w:spacing w:line="360" w:lineRule="exact"/>
              <w:rPr>
                <w:rFonts w:hint="eastAsia"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附表3化学品</w:t>
            </w:r>
          </w:p>
        </w:tc>
        <w:tc>
          <w:tcPr>
            <w:tcW w:w="4536" w:type="dxa"/>
            <w:shd w:val="clear" w:color="auto" w:fill="auto"/>
            <w:noWrap w:val="0"/>
            <w:vAlign w:val="center"/>
          </w:tcPr>
          <w:p w14:paraId="54FA4959">
            <w:pPr>
              <w:spacing w:line="360" w:lineRule="exact"/>
              <w:rPr>
                <w:rFonts w:hint="eastAsia"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3</w:t>
            </w:r>
            <w:r>
              <w:rPr>
                <w:rFonts w:ascii="Times New Roman" w:hAnsi="Times New Roman" w:eastAsia="方正仿宋_GBK"/>
                <w:color w:val="000000"/>
                <w:kern w:val="0"/>
                <w:sz w:val="21"/>
                <w:szCs w:val="21"/>
              </w:rPr>
              <w:t>0吨</w:t>
            </w:r>
          </w:p>
        </w:tc>
        <w:tc>
          <w:tcPr>
            <w:tcW w:w="4001" w:type="dxa"/>
            <w:shd w:val="clear" w:color="auto" w:fill="auto"/>
            <w:noWrap w:val="0"/>
            <w:vAlign w:val="center"/>
          </w:tcPr>
          <w:p w14:paraId="3AB064F0">
            <w:pPr>
              <w:spacing w:line="360" w:lineRule="exact"/>
              <w:rPr>
                <w:rFonts w:hint="eastAsia"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2</w:t>
            </w:r>
            <w:r>
              <w:rPr>
                <w:rFonts w:ascii="Times New Roman" w:hAnsi="Times New Roman" w:eastAsia="方正仿宋_GBK"/>
                <w:color w:val="000000"/>
                <w:kern w:val="0"/>
                <w:sz w:val="21"/>
                <w:szCs w:val="21"/>
              </w:rPr>
              <w:t>00吨</w:t>
            </w:r>
          </w:p>
        </w:tc>
      </w:tr>
      <w:tr w14:paraId="7263F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exact"/>
        </w:trPr>
        <w:tc>
          <w:tcPr>
            <w:tcW w:w="2660" w:type="dxa"/>
            <w:shd w:val="clear" w:color="auto" w:fill="auto"/>
            <w:noWrap w:val="0"/>
            <w:vAlign w:val="center"/>
          </w:tcPr>
          <w:p w14:paraId="2596E4FB">
            <w:pPr>
              <w:spacing w:line="360" w:lineRule="exact"/>
              <w:rPr>
                <w:rFonts w:hint="eastAsia"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第四类监控化学品</w:t>
            </w:r>
          </w:p>
        </w:tc>
        <w:tc>
          <w:tcPr>
            <w:tcW w:w="2977" w:type="dxa"/>
            <w:shd w:val="clear" w:color="auto" w:fill="auto"/>
            <w:noWrap w:val="0"/>
            <w:vAlign w:val="center"/>
          </w:tcPr>
          <w:p w14:paraId="6D61E966">
            <w:pPr>
              <w:spacing w:line="360" w:lineRule="exact"/>
              <w:rPr>
                <w:rFonts w:hint="eastAsia"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其他化学生产设施</w:t>
            </w:r>
          </w:p>
        </w:tc>
        <w:tc>
          <w:tcPr>
            <w:tcW w:w="4536" w:type="dxa"/>
            <w:shd w:val="clear" w:color="auto" w:fill="auto"/>
            <w:noWrap w:val="0"/>
            <w:vAlign w:val="center"/>
          </w:tcPr>
          <w:p w14:paraId="3584BB9C">
            <w:pPr>
              <w:spacing w:line="360" w:lineRule="exact"/>
              <w:rPr>
                <w:rFonts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2</w:t>
            </w:r>
            <w:r>
              <w:rPr>
                <w:rFonts w:ascii="Times New Roman" w:hAnsi="Times New Roman" w:eastAsia="方正仿宋_GBK"/>
                <w:color w:val="000000"/>
                <w:kern w:val="0"/>
                <w:sz w:val="21"/>
                <w:szCs w:val="21"/>
              </w:rPr>
              <w:t>00吨</w:t>
            </w:r>
          </w:p>
          <w:p w14:paraId="550125E3">
            <w:pPr>
              <w:spacing w:line="360" w:lineRule="exact"/>
              <w:rPr>
                <w:rFonts w:hint="eastAsia"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3</w:t>
            </w:r>
            <w:r>
              <w:rPr>
                <w:rFonts w:ascii="Times New Roman" w:hAnsi="Times New Roman" w:eastAsia="方正仿宋_GBK"/>
                <w:color w:val="000000"/>
                <w:kern w:val="0"/>
                <w:sz w:val="21"/>
                <w:szCs w:val="21"/>
              </w:rPr>
              <w:t>0吨（含有磷、硫、氟的特定有机化学品）</w:t>
            </w:r>
          </w:p>
        </w:tc>
        <w:tc>
          <w:tcPr>
            <w:tcW w:w="4001" w:type="dxa"/>
            <w:shd w:val="clear" w:color="auto" w:fill="auto"/>
            <w:noWrap w:val="0"/>
            <w:vAlign w:val="center"/>
          </w:tcPr>
          <w:p w14:paraId="48484A6C">
            <w:pPr>
              <w:spacing w:line="360" w:lineRule="exact"/>
              <w:rPr>
                <w:rFonts w:hint="eastAsia" w:ascii="Times New Roman" w:hAnsi="Times New Roman" w:eastAsia="方正仿宋_GBK"/>
                <w:color w:val="000000"/>
                <w:kern w:val="0"/>
                <w:sz w:val="21"/>
                <w:szCs w:val="21"/>
              </w:rPr>
            </w:pPr>
            <w:r>
              <w:rPr>
                <w:rFonts w:hint="eastAsia" w:ascii="Times New Roman" w:hAnsi="Times New Roman" w:eastAsia="方正仿宋_GBK"/>
                <w:color w:val="000000"/>
                <w:kern w:val="0"/>
                <w:sz w:val="21"/>
                <w:szCs w:val="21"/>
              </w:rPr>
              <w:t>2</w:t>
            </w:r>
            <w:r>
              <w:rPr>
                <w:rFonts w:ascii="Times New Roman" w:hAnsi="Times New Roman" w:eastAsia="方正仿宋_GBK"/>
                <w:color w:val="000000"/>
                <w:kern w:val="0"/>
                <w:sz w:val="21"/>
                <w:szCs w:val="21"/>
              </w:rPr>
              <w:t>00吨</w:t>
            </w:r>
          </w:p>
        </w:tc>
      </w:tr>
    </w:tbl>
    <w:p w14:paraId="5EE09080">
      <w:pPr>
        <w:spacing w:line="590" w:lineRule="exact"/>
        <w:jc w:val="left"/>
        <w:rPr>
          <w:rFonts w:hint="eastAsia" w:ascii="Times New Roman" w:hAnsi="Times New Roman" w:eastAsia="方正仿宋_GBK"/>
          <w:color w:val="000000"/>
          <w:kern w:val="0"/>
          <w:sz w:val="21"/>
          <w:szCs w:val="21"/>
        </w:rPr>
      </w:pPr>
    </w:p>
    <w:p w14:paraId="6279B393"/>
    <w:sectPr>
      <w:headerReference r:id="rId5" w:type="default"/>
      <w:footerReference r:id="rId7" w:type="default"/>
      <w:headerReference r:id="rId6" w:type="even"/>
      <w:footerReference r:id="rId8" w:type="even"/>
      <w:pgSz w:w="16838" w:h="11906" w:orient="landscape"/>
      <w:pgMar w:top="1531" w:right="1440" w:bottom="1531" w:left="1440" w:header="851" w:footer="992" w:gutter="0"/>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仿宋">
    <w:altName w:val="微软雅黑"/>
    <w:panose1 w:val="02010609060101010101"/>
    <w:charset w:val="86"/>
    <w:family w:val="modern"/>
    <w:pitch w:val="default"/>
    <w:sig w:usb0="00000000" w:usb1="00000000" w:usb2="00000016" w:usb3="00000000" w:csb0="00040001"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Wingdings 3">
    <w:panose1 w:val="05040102010807070707"/>
    <w:charset w:val="00"/>
    <w:family w:val="auto"/>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B63C0">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AB49FA6">
                          <w:pPr>
                            <w:pStyle w:val="2"/>
                            <w:rPr>
                              <w:rFonts w:hint="eastAsia"/>
                              <w:sz w:val="24"/>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- 3 -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2AB49FA6">
                    <w:pPr>
                      <w:pStyle w:val="2"/>
                      <w:rPr>
                        <w:rFonts w:hint="eastAsia"/>
                        <w:sz w:val="24"/>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- 3 -</w:t>
                    </w:r>
                    <w:r>
                      <w:rPr>
                        <w:rFonts w:hint="eastAsia" w:ascii="宋体" w:hAnsi="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6C86B">
    <w:pPr>
      <w:pStyle w:val="2"/>
      <w:jc w:val="right"/>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3</w:t>
    </w:r>
    <w:r>
      <w:rPr>
        <w:rFonts w:ascii="Times New Roman" w:hAnsi="Times New Roman"/>
        <w:sz w:val="28"/>
        <w:szCs w:val="28"/>
      </w:rPr>
      <w:fldChar w:fldCharType="end"/>
    </w:r>
    <w:r>
      <w:rPr>
        <w:rFonts w:ascii="Times New Roman" w:hAnsi="Times New Roman"/>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E161A">
    <w:pPr>
      <w:pStyle w:val="2"/>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4</w:t>
    </w:r>
    <w:r>
      <w:rPr>
        <w:rFonts w:ascii="Times New Roman" w:hAnsi="Times New Roman"/>
        <w:sz w:val="28"/>
        <w:szCs w:val="28"/>
      </w:rPr>
      <w:fldChar w:fldCharType="end"/>
    </w:r>
    <w:r>
      <w:rPr>
        <w:rFonts w:ascii="Times New Roman" w:hAnsi="Times New Roman"/>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878B7">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62F1F">
    <w:pPr>
      <w:pStyle w:val="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D47DF">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CF423E"/>
    <w:rsid w:val="09F204B1"/>
    <w:rsid w:val="0C460641"/>
    <w:rsid w:val="0CCF423E"/>
    <w:rsid w:val="1F32696E"/>
    <w:rsid w:val="2A297A9C"/>
    <w:rsid w:val="2C4B5AD3"/>
    <w:rsid w:val="31AC2700"/>
    <w:rsid w:val="477E72F5"/>
    <w:rsid w:val="589C308F"/>
    <w:rsid w:val="5D8501CB"/>
    <w:rsid w:val="5FEFD32A"/>
    <w:rsid w:val="67C9107F"/>
    <w:rsid w:val="6E5E2D1F"/>
    <w:rsid w:val="75134281"/>
    <w:rsid w:val="760A7432"/>
    <w:rsid w:val="7A1E65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qFormat/>
    <w:uiPriority w:val="0"/>
    <w:rPr>
      <w:b/>
      <w:bCs/>
    </w:rPr>
  </w:style>
  <w:style w:type="character" w:styleId="8">
    <w:name w:val="Hyperlink"/>
    <w:unhideWhenUsed/>
    <w:qFormat/>
    <w:uiPriority w:val="99"/>
    <w:rPr>
      <w:color w:val="0563C1"/>
      <w:u w:val="singl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286</Words>
  <Characters>330</Characters>
  <Lines>0</Lines>
  <Paragraphs>0</Paragraphs>
  <TotalTime>10</TotalTime>
  <ScaleCrop>false</ScaleCrop>
  <LinksUpToDate>false</LinksUpToDate>
  <CharactersWithSpaces>330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2026-07-13T16:29:00Z</dcterms:created>
  <dc:creator>娟娟</dc:creator>
  <cp:lastModifiedBy>user</cp:lastModifiedBy>
  <dcterms:modified xsi:type="dcterms:W3CDTF">2026-07-14T16:21:01Z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2021EDD3CB0EA7F349F1556A279EF692_43</vt:lpwstr>
  </property>
  <property fmtid="{D5CDD505-2E9C-101B-9397-08002B2CF9AE}" pid="4" name="KSOTemplateDocerSaveRecord">
    <vt:lpwstr>eyJoZGlkIjoiNjQxOTUyYzE0NmNhZmM2ZTBjNDNhN2E2YmRkNmMxYWEiLCJ1c2VySWQiOiIzMTYyNzkwNTMifQ==</vt:lpwstr>
  </property>
</Properties>
</file>