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ADD3D0">
      <w:pPr>
        <w:ind w:firstLine="0" w:firstLineChars="0"/>
        <w:jc w:val="left"/>
        <w:rPr>
          <w:rFonts w:ascii="Times New Roman" w:hAnsi="Times New Roman" w:eastAsia="方正黑体_GBK"/>
          <w:bCs/>
          <w:sz w:val="32"/>
          <w:szCs w:val="32"/>
        </w:rPr>
      </w:pPr>
      <w:r>
        <w:rPr>
          <w:rFonts w:ascii="Times New Roman" w:hAnsi="Times New Roman" w:eastAsia="方正黑体_GBK"/>
          <w:bCs/>
          <w:sz w:val="32"/>
          <w:szCs w:val="32"/>
        </w:rPr>
        <w:t>附件</w:t>
      </w:r>
    </w:p>
    <w:p w14:paraId="376C8300">
      <w:pPr>
        <w:ind w:firstLine="0" w:firstLineChars="0"/>
        <w:jc w:val="center"/>
        <w:rPr>
          <w:rFonts w:ascii="Times New Roman" w:hAnsi="Times New Roman" w:eastAsia="方正小标宋_GBK"/>
          <w:bCs/>
          <w:sz w:val="44"/>
          <w:szCs w:val="44"/>
        </w:rPr>
      </w:pPr>
      <w:r>
        <w:rPr>
          <w:rFonts w:hint="eastAsia" w:ascii="Times New Roman" w:hAnsi="Times New Roman" w:eastAsia="方正小标宋_GBK"/>
          <w:bCs/>
          <w:sz w:val="44"/>
          <w:szCs w:val="44"/>
        </w:rPr>
        <w:t>第</w:t>
      </w:r>
      <w:r>
        <w:rPr>
          <w:rFonts w:ascii="Times New Roman" w:hAnsi="Times New Roman" w:eastAsia="方正小标宋_GBK"/>
          <w:bCs/>
          <w:sz w:val="44"/>
          <w:szCs w:val="44"/>
        </w:rPr>
        <w:t>二批江苏省省级工业遗产名单</w:t>
      </w:r>
    </w:p>
    <w:tbl>
      <w:tblPr>
        <w:tblStyle w:val="2"/>
        <w:tblW w:w="1431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4"/>
        <w:gridCol w:w="855"/>
        <w:gridCol w:w="1560"/>
        <w:gridCol w:w="11198"/>
      </w:tblGrid>
      <w:tr w14:paraId="4E30C7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704" w:type="dxa"/>
            <w:shd w:val="clear" w:color="auto" w:fill="auto"/>
            <w:noWrap/>
            <w:vAlign w:val="center"/>
          </w:tcPr>
          <w:p w14:paraId="74CF33DE">
            <w:pPr>
              <w:widowControl/>
              <w:spacing w:line="240" w:lineRule="auto"/>
              <w:ind w:firstLine="0" w:firstLineChars="0"/>
              <w:jc w:val="center"/>
              <w:rPr>
                <w:rFonts w:ascii="Times New Roman" w:hAnsi="Times New Roman" w:eastAsia="方正黑体_GBK"/>
                <w:color w:val="000000"/>
                <w:kern w:val="0"/>
                <w:szCs w:val="21"/>
              </w:rPr>
            </w:pPr>
            <w:r>
              <w:rPr>
                <w:rFonts w:ascii="Times New Roman" w:hAnsi="Times New Roman" w:eastAsia="方正黑体_GBK"/>
                <w:color w:val="000000"/>
                <w:kern w:val="0"/>
                <w:szCs w:val="21"/>
              </w:rPr>
              <w:t>序号</w:t>
            </w:r>
          </w:p>
        </w:tc>
        <w:tc>
          <w:tcPr>
            <w:tcW w:w="855" w:type="dxa"/>
            <w:shd w:val="clear" w:color="auto" w:fill="auto"/>
            <w:vAlign w:val="center"/>
          </w:tcPr>
          <w:p w14:paraId="12BD288F">
            <w:pPr>
              <w:widowControl/>
              <w:spacing w:line="240" w:lineRule="auto"/>
              <w:ind w:firstLine="0" w:firstLineChars="0"/>
              <w:jc w:val="center"/>
              <w:rPr>
                <w:rFonts w:ascii="Times New Roman" w:hAnsi="Times New Roman" w:eastAsia="方正黑体_GBK"/>
                <w:color w:val="000000"/>
                <w:kern w:val="0"/>
                <w:szCs w:val="21"/>
              </w:rPr>
            </w:pPr>
            <w:r>
              <w:rPr>
                <w:rFonts w:ascii="Times New Roman" w:hAnsi="Times New Roman" w:eastAsia="方正黑体_GBK"/>
                <w:color w:val="000000"/>
                <w:kern w:val="0"/>
                <w:szCs w:val="21"/>
              </w:rPr>
              <w:t>地区</w:t>
            </w:r>
          </w:p>
        </w:tc>
        <w:tc>
          <w:tcPr>
            <w:tcW w:w="1560" w:type="dxa"/>
            <w:shd w:val="clear" w:color="auto" w:fill="auto"/>
            <w:vAlign w:val="center"/>
          </w:tcPr>
          <w:p w14:paraId="06C36C9C">
            <w:pPr>
              <w:widowControl/>
              <w:spacing w:line="240" w:lineRule="auto"/>
              <w:ind w:firstLine="0" w:firstLineChars="0"/>
              <w:jc w:val="center"/>
              <w:rPr>
                <w:rFonts w:ascii="Times New Roman" w:hAnsi="Times New Roman" w:eastAsia="方正黑体_GBK"/>
                <w:color w:val="000000"/>
                <w:kern w:val="0"/>
                <w:szCs w:val="21"/>
              </w:rPr>
            </w:pPr>
            <w:r>
              <w:rPr>
                <w:rFonts w:ascii="Times New Roman" w:hAnsi="Times New Roman" w:eastAsia="方正黑体_GBK"/>
                <w:color w:val="000000"/>
                <w:kern w:val="0"/>
                <w:szCs w:val="21"/>
              </w:rPr>
              <w:t>遗产名称</w:t>
            </w:r>
          </w:p>
        </w:tc>
        <w:tc>
          <w:tcPr>
            <w:tcW w:w="11198" w:type="dxa"/>
            <w:vAlign w:val="center"/>
          </w:tcPr>
          <w:p w14:paraId="4DFB64C7">
            <w:pPr>
              <w:widowControl/>
              <w:spacing w:line="240" w:lineRule="auto"/>
              <w:ind w:firstLine="0" w:firstLineChars="0"/>
              <w:jc w:val="center"/>
              <w:rPr>
                <w:rFonts w:ascii="Times New Roman" w:hAnsi="Times New Roman" w:eastAsia="方正黑体_GBK"/>
                <w:color w:val="000000"/>
                <w:kern w:val="0"/>
                <w:szCs w:val="21"/>
              </w:rPr>
            </w:pPr>
            <w:r>
              <w:rPr>
                <w:rFonts w:ascii="Times New Roman" w:hAnsi="Times New Roman" w:eastAsia="方正黑体_GBK"/>
                <w:color w:val="000000"/>
                <w:kern w:val="0"/>
                <w:szCs w:val="21"/>
              </w:rPr>
              <w:t>核心物项</w:t>
            </w:r>
          </w:p>
        </w:tc>
      </w:tr>
      <w:tr w14:paraId="1C742B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25" w:hRule="atLeast"/>
          <w:jc w:val="center"/>
        </w:trPr>
        <w:tc>
          <w:tcPr>
            <w:tcW w:w="704" w:type="dxa"/>
            <w:shd w:val="clear" w:color="auto" w:fill="auto"/>
            <w:noWrap/>
            <w:vAlign w:val="center"/>
          </w:tcPr>
          <w:p w14:paraId="4B216139">
            <w:pPr>
              <w:widowControl/>
              <w:spacing w:line="240" w:lineRule="auto"/>
              <w:ind w:firstLine="0" w:firstLineChars="0"/>
              <w:jc w:val="center"/>
              <w:rPr>
                <w:rFonts w:ascii="Times New Roman" w:hAnsi="Times New Roman" w:eastAsia="方正仿宋_GBK"/>
                <w:color w:val="000000"/>
                <w:kern w:val="0"/>
                <w:sz w:val="18"/>
                <w:szCs w:val="18"/>
              </w:rPr>
            </w:pPr>
            <w:r>
              <w:rPr>
                <w:rFonts w:ascii="Times New Roman" w:hAnsi="Times New Roman" w:eastAsia="方正仿宋_GBK"/>
                <w:color w:val="000000"/>
                <w:kern w:val="0"/>
                <w:sz w:val="18"/>
                <w:szCs w:val="18"/>
              </w:rPr>
              <w:t>1</w:t>
            </w:r>
          </w:p>
        </w:tc>
        <w:tc>
          <w:tcPr>
            <w:tcW w:w="855" w:type="dxa"/>
            <w:shd w:val="clear" w:color="auto" w:fill="auto"/>
            <w:vAlign w:val="center"/>
          </w:tcPr>
          <w:p w14:paraId="121C0BDB">
            <w:pPr>
              <w:widowControl/>
              <w:spacing w:line="240" w:lineRule="auto"/>
              <w:ind w:firstLine="0" w:firstLineChars="0"/>
              <w:jc w:val="center"/>
              <w:rPr>
                <w:rFonts w:ascii="Times New Roman" w:hAnsi="Times New Roman" w:eastAsia="方正仿宋_GBK"/>
                <w:color w:val="000000"/>
                <w:kern w:val="0"/>
                <w:sz w:val="18"/>
                <w:szCs w:val="18"/>
              </w:rPr>
            </w:pPr>
            <w:r>
              <w:rPr>
                <w:rFonts w:ascii="Times New Roman" w:hAnsi="Times New Roman" w:eastAsia="方正仿宋_GBK"/>
                <w:color w:val="000000"/>
                <w:kern w:val="0"/>
                <w:sz w:val="18"/>
                <w:szCs w:val="18"/>
              </w:rPr>
              <w:t>南京</w:t>
            </w:r>
          </w:p>
        </w:tc>
        <w:tc>
          <w:tcPr>
            <w:tcW w:w="1560" w:type="dxa"/>
            <w:shd w:val="clear" w:color="auto" w:fill="auto"/>
            <w:vAlign w:val="center"/>
          </w:tcPr>
          <w:p w14:paraId="216BD503">
            <w:pPr>
              <w:widowControl/>
              <w:spacing w:line="240" w:lineRule="auto"/>
              <w:ind w:firstLine="0" w:firstLineChars="0"/>
              <w:jc w:val="center"/>
              <w:rPr>
                <w:rFonts w:ascii="Times New Roman" w:hAnsi="Times New Roman" w:eastAsia="方正仿宋_GBK"/>
                <w:color w:val="000000"/>
                <w:kern w:val="0"/>
                <w:sz w:val="18"/>
                <w:szCs w:val="18"/>
              </w:rPr>
            </w:pPr>
            <w:r>
              <w:rPr>
                <w:rFonts w:ascii="Times New Roman" w:hAnsi="Times New Roman" w:eastAsia="方正仿宋_GBK"/>
                <w:color w:val="000000"/>
                <w:kern w:val="0"/>
                <w:sz w:val="18"/>
                <w:szCs w:val="18"/>
              </w:rPr>
              <w:t>南京手表厂</w:t>
            </w:r>
          </w:p>
        </w:tc>
        <w:tc>
          <w:tcPr>
            <w:tcW w:w="11198" w:type="dxa"/>
            <w:shd w:val="clear" w:color="auto" w:fill="auto"/>
            <w:vAlign w:val="center"/>
          </w:tcPr>
          <w:p w14:paraId="39E95AD3">
            <w:pPr>
              <w:spacing w:line="240" w:lineRule="auto"/>
              <w:ind w:firstLine="0" w:firstLineChars="0"/>
              <w:rPr>
                <w:rFonts w:ascii="Times New Roman" w:hAnsi="Times New Roman" w:eastAsia="方正仿宋_GBK"/>
                <w:sz w:val="18"/>
                <w:szCs w:val="18"/>
              </w:rPr>
            </w:pPr>
            <w:r>
              <w:rPr>
                <w:rFonts w:ascii="Times New Roman" w:hAnsi="Times New Roman" w:eastAsia="方正仿宋_GBK"/>
                <w:b/>
                <w:sz w:val="18"/>
                <w:szCs w:val="18"/>
              </w:rPr>
              <w:t>1.建筑类：</w:t>
            </w:r>
            <w:r>
              <w:rPr>
                <w:rFonts w:ascii="Times New Roman" w:hAnsi="Times New Roman" w:eastAsia="方正仿宋_GBK"/>
                <w:sz w:val="18"/>
                <w:szCs w:val="18"/>
              </w:rPr>
              <w:t>市级历史建筑：原工具车间1#；原机修车间2#；原政工楼3#；原男表大楼5#；原女表大楼6#；其他保留建筑：原女表楼4#；原恒温车间7#；原职工政校8#9#；原外经楼10#；</w:t>
            </w:r>
            <w:r>
              <w:rPr>
                <w:rFonts w:ascii="Times New Roman" w:hAnsi="Times New Roman" w:eastAsia="方正仿宋_GBK"/>
                <w:b/>
                <w:sz w:val="18"/>
                <w:szCs w:val="18"/>
              </w:rPr>
              <w:t>2.产品类：</w:t>
            </w:r>
            <w:r>
              <w:rPr>
                <w:rFonts w:ascii="Times New Roman" w:hAnsi="Times New Roman" w:eastAsia="方正仿宋_GBK"/>
                <w:sz w:val="18"/>
                <w:szCs w:val="18"/>
              </w:rPr>
              <w:t>60年代产品：钟山牌手表（一批，9钻、全钢防震系列）；紫金山牌手表（一批，金属、全钢）；紫金山牌座钟（3座，4占，木式，其中1座样板戏红灯记主题）；紫金山牌座钟（4座，金属，其中1座卡通小猫眨眼主题）。手表厂车床（一台，70年代产）。钟山牌手表（一批，80年代产，金属、全钢防震系列）。钟山牌微型闹钟（1个，90年代产，11届亚运会主题）。</w:t>
            </w:r>
            <w:r>
              <w:rPr>
                <w:rFonts w:hint="eastAsia" w:ascii="宋体" w:hAnsi="宋体" w:cs="宋体"/>
                <w:sz w:val="18"/>
                <w:szCs w:val="18"/>
              </w:rPr>
              <w:t>⑸</w:t>
            </w:r>
            <w:r>
              <w:rPr>
                <w:rFonts w:ascii="Times New Roman" w:hAnsi="Times New Roman" w:eastAsia="方正仿宋_GBK"/>
                <w:sz w:val="18"/>
                <w:szCs w:val="18"/>
              </w:rPr>
              <w:t>钟山牌怀表（2个，90年代产，9钻、景泰蓝工艺）。</w:t>
            </w:r>
          </w:p>
        </w:tc>
      </w:tr>
      <w:tr w14:paraId="0B3418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4" w:hRule="atLeast"/>
          <w:jc w:val="center"/>
        </w:trPr>
        <w:tc>
          <w:tcPr>
            <w:tcW w:w="704" w:type="dxa"/>
            <w:shd w:val="clear" w:color="auto" w:fill="auto"/>
            <w:noWrap/>
            <w:vAlign w:val="center"/>
          </w:tcPr>
          <w:p w14:paraId="7BEC6D49">
            <w:pPr>
              <w:widowControl/>
              <w:spacing w:line="240" w:lineRule="auto"/>
              <w:ind w:firstLine="0" w:firstLineChars="0"/>
              <w:jc w:val="center"/>
              <w:rPr>
                <w:rFonts w:ascii="Times New Roman" w:hAnsi="Times New Roman" w:eastAsia="方正仿宋_GBK"/>
                <w:color w:val="000000"/>
                <w:kern w:val="0"/>
                <w:sz w:val="18"/>
                <w:szCs w:val="18"/>
              </w:rPr>
            </w:pPr>
            <w:r>
              <w:rPr>
                <w:rFonts w:ascii="Times New Roman" w:hAnsi="Times New Roman" w:eastAsia="方正仿宋_GBK"/>
                <w:color w:val="000000"/>
                <w:kern w:val="0"/>
                <w:sz w:val="18"/>
                <w:szCs w:val="18"/>
              </w:rPr>
              <w:t>2</w:t>
            </w:r>
          </w:p>
        </w:tc>
        <w:tc>
          <w:tcPr>
            <w:tcW w:w="855" w:type="dxa"/>
            <w:vAlign w:val="center"/>
          </w:tcPr>
          <w:p w14:paraId="42BF7444">
            <w:pPr>
              <w:widowControl/>
              <w:spacing w:line="240" w:lineRule="auto"/>
              <w:ind w:firstLine="0" w:firstLineChars="0"/>
              <w:jc w:val="center"/>
              <w:rPr>
                <w:rFonts w:ascii="Times New Roman" w:hAnsi="Times New Roman" w:eastAsia="方正仿宋_GBK"/>
                <w:color w:val="000000"/>
                <w:kern w:val="0"/>
                <w:sz w:val="18"/>
                <w:szCs w:val="18"/>
              </w:rPr>
            </w:pPr>
            <w:r>
              <w:rPr>
                <w:rFonts w:ascii="Times New Roman" w:hAnsi="Times New Roman" w:eastAsia="方正仿宋_GBK"/>
                <w:color w:val="000000"/>
                <w:kern w:val="0"/>
                <w:sz w:val="18"/>
                <w:szCs w:val="18"/>
              </w:rPr>
              <w:t>无锡</w:t>
            </w:r>
          </w:p>
        </w:tc>
        <w:tc>
          <w:tcPr>
            <w:tcW w:w="1560" w:type="dxa"/>
            <w:shd w:val="clear" w:color="auto" w:fill="auto"/>
            <w:vAlign w:val="center"/>
          </w:tcPr>
          <w:p w14:paraId="3E5B3D9B">
            <w:pPr>
              <w:widowControl/>
              <w:spacing w:line="240" w:lineRule="auto"/>
              <w:ind w:firstLine="0" w:firstLineChars="0"/>
              <w:jc w:val="center"/>
              <w:rPr>
                <w:rFonts w:ascii="Times New Roman" w:hAnsi="Times New Roman" w:eastAsia="方正仿宋_GBK"/>
                <w:color w:val="000000"/>
                <w:kern w:val="0"/>
                <w:sz w:val="18"/>
                <w:szCs w:val="18"/>
              </w:rPr>
            </w:pPr>
            <w:r>
              <w:rPr>
                <w:rFonts w:ascii="Times New Roman" w:hAnsi="Times New Roman" w:eastAsia="方正仿宋_GBK"/>
                <w:color w:val="000000"/>
                <w:kern w:val="0"/>
                <w:sz w:val="18"/>
                <w:szCs w:val="18"/>
              </w:rPr>
              <w:t>春雷造船厂</w:t>
            </w:r>
          </w:p>
        </w:tc>
        <w:tc>
          <w:tcPr>
            <w:tcW w:w="11198" w:type="dxa"/>
            <w:shd w:val="clear" w:color="auto" w:fill="auto"/>
            <w:vAlign w:val="center"/>
          </w:tcPr>
          <w:p w14:paraId="6D3B3AAC">
            <w:pPr>
              <w:spacing w:line="240" w:lineRule="auto"/>
              <w:ind w:firstLine="0" w:firstLineChars="0"/>
              <w:rPr>
                <w:rFonts w:ascii="Times New Roman" w:hAnsi="Times New Roman" w:eastAsia="方正仿宋_GBK"/>
                <w:sz w:val="18"/>
                <w:szCs w:val="18"/>
              </w:rPr>
            </w:pPr>
            <w:r>
              <w:rPr>
                <w:rFonts w:ascii="Times New Roman" w:hAnsi="Times New Roman" w:eastAsia="方正仿宋_GBK"/>
                <w:b/>
                <w:sz w:val="18"/>
                <w:szCs w:val="18"/>
              </w:rPr>
              <w:t>1.建筑类：</w:t>
            </w:r>
            <w:r>
              <w:rPr>
                <w:rFonts w:ascii="Times New Roman" w:hAnsi="Times New Roman" w:eastAsia="方正仿宋_GBK"/>
                <w:sz w:val="18"/>
                <w:szCs w:val="18"/>
              </w:rPr>
              <w:t>春雷造船厂船坞5间（原造船车间，省文保单位）；</w:t>
            </w:r>
            <w:r>
              <w:rPr>
                <w:rFonts w:ascii="Times New Roman" w:hAnsi="Times New Roman" w:eastAsia="方正仿宋_GBK"/>
                <w:b/>
                <w:sz w:val="18"/>
                <w:szCs w:val="18"/>
              </w:rPr>
              <w:t>2.生产维修工具：</w:t>
            </w:r>
            <w:r>
              <w:rPr>
                <w:rFonts w:ascii="Times New Roman" w:hAnsi="Times New Roman" w:eastAsia="方正仿宋_GBK"/>
                <w:sz w:val="18"/>
                <w:szCs w:val="18"/>
              </w:rPr>
              <w:t>三转葫芦；石臼；造船修船工具2组共129件；</w:t>
            </w:r>
            <w:r>
              <w:rPr>
                <w:rFonts w:ascii="Times New Roman" w:hAnsi="Times New Roman" w:eastAsia="方正仿宋_GBK"/>
                <w:b/>
                <w:sz w:val="18"/>
                <w:szCs w:val="18"/>
              </w:rPr>
              <w:t>3.历史档案：</w:t>
            </w:r>
            <w:r>
              <w:rPr>
                <w:rFonts w:ascii="Times New Roman" w:hAnsi="Times New Roman" w:eastAsia="方正仿宋_GBK"/>
                <w:sz w:val="18"/>
                <w:szCs w:val="18"/>
              </w:rPr>
              <w:t>《水泥船图册》、《铁丝网水泥与水泥船》、《农村人民公社当前政策问题的紧急指示信》、《社队工业的第一声“春雷》（口述史）、《东亭春雷船厂及春雷大队工业的兴起》（口述史）、无锡木帆船登记证书、无锡市木帆船劳保集体合同、江苏省非机动船舶执照、统一船契、江苏省车船使用牌照税收入专用缴款书、《无锡县社队工业年谱》；1978年人民日报刊发《起家的“秘诀”——江苏省无锡县农业副业工业三者结合综合发展的调查》以及其他“四千四万”相关报道论述；</w:t>
            </w:r>
            <w:r>
              <w:rPr>
                <w:rFonts w:ascii="Times New Roman" w:hAnsi="Times New Roman" w:eastAsia="方正仿宋_GBK"/>
                <w:b/>
                <w:sz w:val="18"/>
                <w:szCs w:val="18"/>
              </w:rPr>
              <w:t>4.无锡中国乡镇企业博物馆：</w:t>
            </w:r>
            <w:r>
              <w:rPr>
                <w:rFonts w:ascii="Times New Roman" w:hAnsi="Times New Roman" w:eastAsia="方正仿宋_GBK"/>
                <w:sz w:val="18"/>
                <w:szCs w:val="18"/>
              </w:rPr>
              <w:t>兴建于春雷造船厂旧址之上，集中展示以春雷造船厂为代表的乡镇企业发展历史及其伟大成就；</w:t>
            </w:r>
            <w:r>
              <w:rPr>
                <w:rFonts w:ascii="Times New Roman" w:hAnsi="Times New Roman" w:eastAsia="方正仿宋_GBK"/>
                <w:b/>
                <w:sz w:val="18"/>
                <w:szCs w:val="18"/>
              </w:rPr>
              <w:t>5.工业精神：</w:t>
            </w:r>
            <w:r>
              <w:rPr>
                <w:rFonts w:ascii="Times New Roman" w:hAnsi="Times New Roman" w:eastAsia="方正仿宋_GBK"/>
                <w:sz w:val="18"/>
                <w:szCs w:val="18"/>
              </w:rPr>
              <w:t>“四千四万”精神（踏尽千山万水、吃尽千辛万苦、说尽千言万语、历尽千难万险）。</w:t>
            </w:r>
          </w:p>
        </w:tc>
      </w:tr>
      <w:tr w14:paraId="55EB1B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50" w:hRule="atLeast"/>
          <w:jc w:val="center"/>
        </w:trPr>
        <w:tc>
          <w:tcPr>
            <w:tcW w:w="704" w:type="dxa"/>
            <w:shd w:val="clear" w:color="auto" w:fill="auto"/>
            <w:noWrap/>
            <w:vAlign w:val="center"/>
          </w:tcPr>
          <w:p w14:paraId="72FD9D8E">
            <w:pPr>
              <w:widowControl/>
              <w:spacing w:line="240" w:lineRule="auto"/>
              <w:ind w:firstLine="0" w:firstLineChars="0"/>
              <w:jc w:val="center"/>
              <w:rPr>
                <w:rFonts w:ascii="Times New Roman" w:hAnsi="Times New Roman" w:eastAsia="方正仿宋_GBK"/>
                <w:color w:val="000000"/>
                <w:kern w:val="0"/>
                <w:sz w:val="18"/>
                <w:szCs w:val="18"/>
              </w:rPr>
            </w:pPr>
            <w:r>
              <w:rPr>
                <w:rFonts w:ascii="Times New Roman" w:hAnsi="Times New Roman" w:eastAsia="方正仿宋_GBK"/>
                <w:color w:val="000000"/>
                <w:kern w:val="0"/>
                <w:sz w:val="18"/>
                <w:szCs w:val="18"/>
              </w:rPr>
              <w:t>3</w:t>
            </w:r>
          </w:p>
        </w:tc>
        <w:tc>
          <w:tcPr>
            <w:tcW w:w="855" w:type="dxa"/>
            <w:vAlign w:val="center"/>
          </w:tcPr>
          <w:p w14:paraId="11CCAAA8">
            <w:pPr>
              <w:widowControl/>
              <w:spacing w:line="240" w:lineRule="auto"/>
              <w:ind w:firstLine="0" w:firstLineChars="0"/>
              <w:jc w:val="center"/>
              <w:rPr>
                <w:rFonts w:ascii="Times New Roman" w:hAnsi="Times New Roman" w:eastAsia="方正仿宋_GBK"/>
                <w:color w:val="000000"/>
                <w:kern w:val="0"/>
                <w:sz w:val="18"/>
                <w:szCs w:val="18"/>
              </w:rPr>
            </w:pPr>
            <w:r>
              <w:rPr>
                <w:rFonts w:ascii="Times New Roman" w:hAnsi="Times New Roman" w:eastAsia="方正仿宋_GBK"/>
                <w:color w:val="000000"/>
                <w:kern w:val="0"/>
                <w:sz w:val="18"/>
                <w:szCs w:val="18"/>
              </w:rPr>
              <w:t>无锡</w:t>
            </w:r>
          </w:p>
        </w:tc>
        <w:tc>
          <w:tcPr>
            <w:tcW w:w="1560" w:type="dxa"/>
            <w:shd w:val="clear" w:color="auto" w:fill="auto"/>
            <w:vAlign w:val="center"/>
          </w:tcPr>
          <w:p w14:paraId="7D854EFF">
            <w:pPr>
              <w:widowControl/>
              <w:spacing w:line="240" w:lineRule="auto"/>
              <w:ind w:firstLine="0" w:firstLineChars="0"/>
              <w:jc w:val="center"/>
              <w:rPr>
                <w:rFonts w:ascii="Times New Roman" w:hAnsi="Times New Roman" w:eastAsia="方正仿宋_GBK"/>
                <w:color w:val="000000"/>
                <w:kern w:val="0"/>
                <w:sz w:val="18"/>
                <w:szCs w:val="18"/>
              </w:rPr>
            </w:pPr>
            <w:r>
              <w:rPr>
                <w:rFonts w:ascii="Times New Roman" w:hAnsi="Times New Roman" w:eastAsia="方正仿宋_GBK"/>
                <w:color w:val="000000"/>
                <w:kern w:val="0"/>
                <w:sz w:val="18"/>
                <w:szCs w:val="18"/>
              </w:rPr>
              <w:t>宜兴前墅龙窑</w:t>
            </w:r>
          </w:p>
        </w:tc>
        <w:tc>
          <w:tcPr>
            <w:tcW w:w="11198" w:type="dxa"/>
            <w:shd w:val="clear" w:color="auto" w:fill="auto"/>
            <w:vAlign w:val="center"/>
          </w:tcPr>
          <w:p w14:paraId="427F3F6D">
            <w:pPr>
              <w:widowControl/>
              <w:spacing w:line="240" w:lineRule="auto"/>
              <w:ind w:firstLine="0" w:firstLineChars="0"/>
              <w:rPr>
                <w:rFonts w:ascii="Times New Roman" w:hAnsi="Times New Roman" w:eastAsia="方正仿宋_GBK"/>
                <w:color w:val="000000"/>
                <w:kern w:val="0"/>
                <w:sz w:val="18"/>
                <w:szCs w:val="18"/>
              </w:rPr>
            </w:pPr>
            <w:r>
              <w:rPr>
                <w:rFonts w:ascii="Times New Roman" w:hAnsi="Times New Roman" w:eastAsia="方正仿宋_GBK"/>
                <w:b/>
                <w:color w:val="000000"/>
                <w:kern w:val="0"/>
                <w:sz w:val="18"/>
                <w:szCs w:val="18"/>
              </w:rPr>
              <w:t>1.建筑类：</w:t>
            </w:r>
            <w:r>
              <w:rPr>
                <w:rFonts w:ascii="Times New Roman" w:hAnsi="Times New Roman" w:eastAsia="方正仿宋_GBK"/>
                <w:color w:val="000000"/>
                <w:kern w:val="0"/>
                <w:sz w:val="18"/>
                <w:szCs w:val="18"/>
              </w:rPr>
              <w:t>前墅龙窑：创烧于明嘉靖年间，距今约600年；后期复建火神庙、福德亭；</w:t>
            </w:r>
            <w:r>
              <w:rPr>
                <w:rFonts w:ascii="Times New Roman" w:hAnsi="Times New Roman" w:eastAsia="方正仿宋_GBK"/>
                <w:b/>
                <w:color w:val="000000"/>
                <w:kern w:val="0"/>
                <w:sz w:val="18"/>
                <w:szCs w:val="18"/>
              </w:rPr>
              <w:t>2.技艺类：</w:t>
            </w:r>
            <w:r>
              <w:rPr>
                <w:rFonts w:ascii="Times New Roman" w:hAnsi="Times New Roman" w:eastAsia="方正仿宋_GBK"/>
                <w:color w:val="000000"/>
                <w:kern w:val="0"/>
                <w:sz w:val="18"/>
                <w:szCs w:val="18"/>
              </w:rPr>
              <w:t>宜兴龙窑烧制技艺：2015年被评为江苏省级第四批非物质文化遗产代表性项目；</w:t>
            </w:r>
            <w:r>
              <w:rPr>
                <w:rFonts w:ascii="Times New Roman" w:hAnsi="Times New Roman" w:eastAsia="方正仿宋_GBK"/>
                <w:b/>
                <w:color w:val="000000"/>
                <w:kern w:val="0"/>
                <w:sz w:val="18"/>
                <w:szCs w:val="18"/>
              </w:rPr>
              <w:t>3.工具类：</w:t>
            </w:r>
            <w:r>
              <w:rPr>
                <w:rFonts w:ascii="Times New Roman" w:hAnsi="Times New Roman" w:eastAsia="方正仿宋_GBK"/>
                <w:color w:val="000000"/>
                <w:kern w:val="0"/>
                <w:sz w:val="18"/>
                <w:szCs w:val="18"/>
              </w:rPr>
              <w:t>三角椅、匣钵、丁支、脚石、火叉和打火扛、单（双）勾、石灰水小桶和毛刷印章等，共57件。</w:t>
            </w:r>
            <w:r>
              <w:rPr>
                <w:rFonts w:ascii="Times New Roman" w:hAnsi="Times New Roman" w:eastAsia="方正仿宋_GBK"/>
                <w:b/>
                <w:color w:val="000000"/>
                <w:kern w:val="0"/>
                <w:sz w:val="18"/>
                <w:szCs w:val="18"/>
              </w:rPr>
              <w:t>4.历史遗存代表作：</w:t>
            </w:r>
            <w:r>
              <w:rPr>
                <w:rFonts w:ascii="Times New Roman" w:hAnsi="Times New Roman" w:eastAsia="方正仿宋_GBK"/>
                <w:color w:val="000000"/>
                <w:kern w:val="0"/>
                <w:sz w:val="18"/>
                <w:szCs w:val="18"/>
              </w:rPr>
              <w:t>明堆花罐、明披肩罐、清披肩印花罐、清宜均釉罐、民国绿釉灯笼罐、六十年代绿釉四耳五斤坛，共6件；七八十年代龙窑烧成日用品：夜壶、油灯、筷筒、汤婆子、陶罐、菜盆餐具等，共36件；现代紫砂陶艺作品：徐秀棠制《前墅陶业组合雕塑》1件、两届前墅龙窑国际柴烧艺术节陶艺作品51件。</w:t>
            </w:r>
          </w:p>
        </w:tc>
      </w:tr>
      <w:tr w14:paraId="62A7C5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61" w:hRule="atLeast"/>
          <w:jc w:val="center"/>
        </w:trPr>
        <w:tc>
          <w:tcPr>
            <w:tcW w:w="704" w:type="dxa"/>
            <w:shd w:val="clear" w:color="auto" w:fill="auto"/>
            <w:noWrap/>
            <w:vAlign w:val="center"/>
          </w:tcPr>
          <w:p w14:paraId="41380E33">
            <w:pPr>
              <w:widowControl/>
              <w:spacing w:line="240" w:lineRule="auto"/>
              <w:ind w:firstLine="0" w:firstLineChars="0"/>
              <w:jc w:val="center"/>
              <w:rPr>
                <w:rFonts w:ascii="Times New Roman" w:hAnsi="Times New Roman" w:eastAsia="方正仿宋_GBK"/>
                <w:color w:val="000000"/>
                <w:kern w:val="0"/>
                <w:sz w:val="18"/>
                <w:szCs w:val="18"/>
              </w:rPr>
            </w:pPr>
            <w:r>
              <w:rPr>
                <w:rFonts w:ascii="Times New Roman" w:hAnsi="Times New Roman" w:eastAsia="方正仿宋_GBK"/>
                <w:color w:val="000000"/>
                <w:kern w:val="0"/>
                <w:sz w:val="18"/>
                <w:szCs w:val="18"/>
              </w:rPr>
              <w:t>4</w:t>
            </w:r>
          </w:p>
        </w:tc>
        <w:tc>
          <w:tcPr>
            <w:tcW w:w="855" w:type="dxa"/>
            <w:vAlign w:val="center"/>
          </w:tcPr>
          <w:p w14:paraId="65BE9592">
            <w:pPr>
              <w:widowControl/>
              <w:spacing w:line="240" w:lineRule="auto"/>
              <w:ind w:firstLine="0" w:firstLineChars="0"/>
              <w:jc w:val="center"/>
              <w:rPr>
                <w:rFonts w:ascii="Times New Roman" w:hAnsi="Times New Roman" w:eastAsia="方正仿宋_GBK"/>
                <w:color w:val="000000"/>
                <w:kern w:val="0"/>
                <w:sz w:val="18"/>
                <w:szCs w:val="18"/>
              </w:rPr>
            </w:pPr>
            <w:r>
              <w:rPr>
                <w:rFonts w:ascii="Times New Roman" w:hAnsi="Times New Roman" w:eastAsia="方正仿宋_GBK"/>
                <w:color w:val="000000"/>
                <w:kern w:val="0"/>
                <w:sz w:val="18"/>
                <w:szCs w:val="18"/>
              </w:rPr>
              <w:t>徐州</w:t>
            </w:r>
          </w:p>
        </w:tc>
        <w:tc>
          <w:tcPr>
            <w:tcW w:w="1560" w:type="dxa"/>
            <w:shd w:val="clear" w:color="auto" w:fill="auto"/>
            <w:vAlign w:val="center"/>
          </w:tcPr>
          <w:p w14:paraId="04F2AC30">
            <w:pPr>
              <w:widowControl/>
              <w:spacing w:line="240" w:lineRule="auto"/>
              <w:ind w:firstLine="0" w:firstLineChars="0"/>
              <w:jc w:val="center"/>
              <w:rPr>
                <w:rFonts w:ascii="Times New Roman" w:hAnsi="Times New Roman" w:eastAsia="方正仿宋_GBK"/>
                <w:color w:val="000000"/>
                <w:kern w:val="0"/>
                <w:sz w:val="18"/>
                <w:szCs w:val="18"/>
              </w:rPr>
            </w:pPr>
            <w:r>
              <w:rPr>
                <w:rFonts w:ascii="Times New Roman" w:hAnsi="Times New Roman" w:eastAsia="方正仿宋_GBK"/>
                <w:color w:val="000000"/>
                <w:kern w:val="0"/>
                <w:sz w:val="18"/>
                <w:szCs w:val="18"/>
              </w:rPr>
              <w:t>碾庄铁木业社</w:t>
            </w:r>
          </w:p>
        </w:tc>
        <w:tc>
          <w:tcPr>
            <w:tcW w:w="11198" w:type="dxa"/>
            <w:shd w:val="clear" w:color="auto" w:fill="auto"/>
            <w:vAlign w:val="center"/>
          </w:tcPr>
          <w:p w14:paraId="7664EF25">
            <w:pPr>
              <w:widowControl/>
              <w:spacing w:line="240" w:lineRule="auto"/>
              <w:ind w:firstLine="0" w:firstLineChars="0"/>
              <w:rPr>
                <w:rFonts w:ascii="Times New Roman" w:hAnsi="Times New Roman" w:eastAsia="方正仿宋_GBK"/>
                <w:color w:val="000000"/>
                <w:kern w:val="0"/>
                <w:sz w:val="18"/>
                <w:szCs w:val="18"/>
              </w:rPr>
            </w:pPr>
            <w:r>
              <w:rPr>
                <w:rFonts w:ascii="Times New Roman" w:hAnsi="Times New Roman" w:eastAsia="方正仿宋_GBK"/>
                <w:b/>
                <w:sz w:val="18"/>
                <w:szCs w:val="18"/>
              </w:rPr>
              <w:t>1.建筑类：</w:t>
            </w:r>
            <w:r>
              <w:rPr>
                <w:rFonts w:ascii="Times New Roman" w:hAnsi="Times New Roman" w:eastAsia="方正仿宋_GBK"/>
                <w:sz w:val="18"/>
                <w:szCs w:val="18"/>
              </w:rPr>
              <w:t>原仓库1#3#10#；原办公楼2#；原加工车间4#5#6#7#8#；原加工组装车间：9#12#；原热处理车间：11#；3#4#厂房间工业水塔：用于工业生产用水，高约10米；</w:t>
            </w:r>
            <w:r>
              <w:rPr>
                <w:rFonts w:ascii="Times New Roman" w:hAnsi="Times New Roman" w:eastAsia="方正仿宋_GBK"/>
                <w:b/>
                <w:sz w:val="18"/>
                <w:szCs w:val="18"/>
              </w:rPr>
              <w:t>2.产品类：</w:t>
            </w:r>
            <w:r>
              <w:rPr>
                <w:rFonts w:ascii="Times New Roman" w:hAnsi="Times New Roman" w:eastAsia="方正仿宋_GBK"/>
                <w:sz w:val="18"/>
                <w:szCs w:val="18"/>
              </w:rPr>
              <w:t>断线钳系列产品；</w:t>
            </w:r>
            <w:r>
              <w:rPr>
                <w:rFonts w:ascii="Times New Roman" w:hAnsi="Times New Roman" w:eastAsia="方正仿宋_GBK"/>
                <w:b/>
                <w:sz w:val="18"/>
                <w:szCs w:val="18"/>
              </w:rPr>
              <w:t>3.档案及图纸：</w:t>
            </w:r>
            <w:r>
              <w:rPr>
                <w:rFonts w:ascii="Times New Roman" w:hAnsi="Times New Roman" w:eastAsia="方正仿宋_GBK"/>
                <w:sz w:val="18"/>
                <w:szCs w:val="18"/>
              </w:rPr>
              <w:t>员工档案：1957年至今约160余份；设备档案：1971年至今 约140余份；荣誉档案：1987年至今 约100余项；产品加工图纸原件；中央军委副主席张震来厂视察并题词材料；</w:t>
            </w:r>
            <w:r>
              <w:rPr>
                <w:rFonts w:ascii="Times New Roman" w:hAnsi="Times New Roman" w:eastAsia="方正仿宋_GBK"/>
                <w:b/>
                <w:sz w:val="18"/>
                <w:szCs w:val="18"/>
              </w:rPr>
              <w:t>4.证书类：</w:t>
            </w:r>
            <w:r>
              <w:rPr>
                <w:rFonts w:ascii="Times New Roman" w:hAnsi="Times New Roman" w:eastAsia="方正仿宋_GBK"/>
                <w:sz w:val="18"/>
                <w:szCs w:val="18"/>
              </w:rPr>
              <w:t>1987年荣获“江苏省优质产品证书”；1989年荣获“部优产品”称号。</w:t>
            </w:r>
          </w:p>
        </w:tc>
      </w:tr>
      <w:tr w14:paraId="663DCA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10" w:hRule="atLeast"/>
          <w:jc w:val="center"/>
        </w:trPr>
        <w:tc>
          <w:tcPr>
            <w:tcW w:w="704" w:type="dxa"/>
            <w:shd w:val="clear" w:color="auto" w:fill="auto"/>
            <w:noWrap/>
            <w:vAlign w:val="center"/>
          </w:tcPr>
          <w:p w14:paraId="35F0D9B7">
            <w:pPr>
              <w:widowControl/>
              <w:spacing w:line="240" w:lineRule="auto"/>
              <w:ind w:firstLine="0" w:firstLineChars="0"/>
              <w:jc w:val="center"/>
              <w:rPr>
                <w:rFonts w:ascii="Times New Roman" w:hAnsi="Times New Roman" w:eastAsia="方正仿宋_GBK"/>
                <w:color w:val="000000"/>
                <w:kern w:val="0"/>
                <w:sz w:val="18"/>
                <w:szCs w:val="18"/>
              </w:rPr>
            </w:pPr>
            <w:r>
              <w:rPr>
                <w:rFonts w:ascii="Times New Roman" w:hAnsi="Times New Roman" w:eastAsia="方正仿宋_GBK"/>
                <w:color w:val="000000"/>
                <w:kern w:val="0"/>
                <w:sz w:val="18"/>
                <w:szCs w:val="18"/>
              </w:rPr>
              <w:t>5</w:t>
            </w:r>
          </w:p>
        </w:tc>
        <w:tc>
          <w:tcPr>
            <w:tcW w:w="855" w:type="dxa"/>
            <w:vAlign w:val="center"/>
          </w:tcPr>
          <w:p w14:paraId="63711249">
            <w:pPr>
              <w:widowControl/>
              <w:spacing w:line="240" w:lineRule="auto"/>
              <w:ind w:firstLine="0" w:firstLineChars="0"/>
              <w:jc w:val="center"/>
              <w:rPr>
                <w:rFonts w:ascii="Times New Roman" w:hAnsi="Times New Roman" w:eastAsia="方正仿宋_GBK"/>
                <w:color w:val="000000"/>
                <w:kern w:val="0"/>
                <w:sz w:val="18"/>
                <w:szCs w:val="18"/>
              </w:rPr>
            </w:pPr>
            <w:r>
              <w:rPr>
                <w:rFonts w:ascii="Times New Roman" w:hAnsi="Times New Roman" w:eastAsia="方正仿宋_GBK"/>
                <w:color w:val="000000"/>
                <w:kern w:val="0"/>
                <w:sz w:val="18"/>
                <w:szCs w:val="18"/>
              </w:rPr>
              <w:t>常州</w:t>
            </w:r>
          </w:p>
        </w:tc>
        <w:tc>
          <w:tcPr>
            <w:tcW w:w="1560" w:type="dxa"/>
            <w:shd w:val="clear" w:color="auto" w:fill="auto"/>
            <w:vAlign w:val="center"/>
          </w:tcPr>
          <w:p w14:paraId="2756039D">
            <w:pPr>
              <w:widowControl/>
              <w:spacing w:line="240" w:lineRule="auto"/>
              <w:ind w:firstLine="0" w:firstLineChars="0"/>
              <w:jc w:val="center"/>
              <w:rPr>
                <w:rFonts w:ascii="Times New Roman" w:hAnsi="Times New Roman" w:eastAsia="方正仿宋_GBK"/>
                <w:color w:val="000000"/>
                <w:kern w:val="0"/>
                <w:sz w:val="18"/>
                <w:szCs w:val="18"/>
              </w:rPr>
            </w:pPr>
            <w:r>
              <w:rPr>
                <w:rFonts w:ascii="Times New Roman" w:hAnsi="Times New Roman" w:eastAsia="方正仿宋_GBK"/>
                <w:color w:val="000000"/>
                <w:kern w:val="0"/>
                <w:sz w:val="18"/>
                <w:szCs w:val="18"/>
              </w:rPr>
              <w:t>黑牡丹老厂</w:t>
            </w:r>
          </w:p>
        </w:tc>
        <w:tc>
          <w:tcPr>
            <w:tcW w:w="11198" w:type="dxa"/>
            <w:shd w:val="clear" w:color="auto" w:fill="auto"/>
            <w:vAlign w:val="center"/>
          </w:tcPr>
          <w:p w14:paraId="08F0809B">
            <w:pPr>
              <w:widowControl/>
              <w:spacing w:line="240" w:lineRule="auto"/>
              <w:ind w:firstLine="0" w:firstLineChars="0"/>
              <w:rPr>
                <w:rFonts w:ascii="Times New Roman" w:hAnsi="Times New Roman" w:eastAsia="方正仿宋_GBK"/>
                <w:color w:val="000000"/>
                <w:kern w:val="0"/>
                <w:sz w:val="18"/>
                <w:szCs w:val="18"/>
              </w:rPr>
            </w:pPr>
            <w:r>
              <w:rPr>
                <w:rFonts w:ascii="Times New Roman" w:hAnsi="Times New Roman" w:eastAsia="方正仿宋_GBK"/>
                <w:b/>
                <w:color w:val="000000"/>
                <w:kern w:val="0"/>
                <w:sz w:val="18"/>
                <w:szCs w:val="18"/>
              </w:rPr>
              <w:t>1.建筑类：</w:t>
            </w:r>
            <w:r>
              <w:rPr>
                <w:rFonts w:ascii="Times New Roman" w:hAnsi="Times New Roman" w:eastAsia="方正仿宋_GBK"/>
                <w:color w:val="000000"/>
                <w:kern w:val="0"/>
                <w:sz w:val="18"/>
                <w:szCs w:val="18"/>
              </w:rPr>
              <w:t>原前织车间1</w:t>
            </w:r>
            <w:r>
              <w:rPr>
                <w:rFonts w:ascii="Times New Roman" w:hAnsi="Times New Roman" w:eastAsia="方正仿宋_GBK"/>
                <w:sz w:val="18"/>
                <w:szCs w:val="18"/>
              </w:rPr>
              <w:t>#</w:t>
            </w:r>
            <w:r>
              <w:rPr>
                <w:rFonts w:ascii="Times New Roman" w:hAnsi="Times New Roman" w:eastAsia="方正仿宋_GBK"/>
                <w:color w:val="000000"/>
                <w:kern w:val="0"/>
                <w:sz w:val="18"/>
                <w:szCs w:val="18"/>
              </w:rPr>
              <w:t>；原平绒车间</w:t>
            </w:r>
            <w:r>
              <w:rPr>
                <w:rFonts w:ascii="Times New Roman" w:hAnsi="Times New Roman" w:eastAsia="方正仿宋_GBK"/>
                <w:sz w:val="18"/>
                <w:szCs w:val="18"/>
              </w:rPr>
              <w:t>2#</w:t>
            </w:r>
            <w:r>
              <w:rPr>
                <w:rFonts w:ascii="Times New Roman" w:hAnsi="Times New Roman" w:eastAsia="方正仿宋_GBK"/>
                <w:color w:val="000000"/>
                <w:kern w:val="0"/>
                <w:sz w:val="18"/>
                <w:szCs w:val="18"/>
              </w:rPr>
              <w:t>；原织布车间</w:t>
            </w:r>
            <w:r>
              <w:rPr>
                <w:rFonts w:ascii="Times New Roman" w:hAnsi="Times New Roman" w:eastAsia="方正仿宋_GBK"/>
                <w:sz w:val="18"/>
                <w:szCs w:val="18"/>
              </w:rPr>
              <w:t>3#</w:t>
            </w:r>
            <w:r>
              <w:rPr>
                <w:rFonts w:ascii="Times New Roman" w:hAnsi="Times New Roman" w:eastAsia="方正仿宋_GBK"/>
                <w:color w:val="000000"/>
                <w:kern w:val="0"/>
                <w:sz w:val="18"/>
                <w:szCs w:val="18"/>
              </w:rPr>
              <w:t>；原染浆联车间</w:t>
            </w:r>
            <w:r>
              <w:rPr>
                <w:rFonts w:ascii="Times New Roman" w:hAnsi="Times New Roman" w:eastAsia="方正仿宋_GBK"/>
                <w:sz w:val="18"/>
                <w:szCs w:val="18"/>
              </w:rPr>
              <w:t>4#；</w:t>
            </w:r>
            <w:r>
              <w:rPr>
                <w:rFonts w:ascii="Times New Roman" w:hAnsi="Times New Roman" w:eastAsia="方正仿宋_GBK"/>
                <w:b/>
                <w:sz w:val="18"/>
                <w:szCs w:val="18"/>
              </w:rPr>
              <w:t>2.设备类：</w:t>
            </w:r>
            <w:r>
              <w:rPr>
                <w:rFonts w:ascii="Times New Roman" w:hAnsi="Times New Roman" w:eastAsia="方正仿宋_GBK"/>
                <w:sz w:val="18"/>
                <w:szCs w:val="18"/>
              </w:rPr>
              <w:t>50年代后的织布机设备1台；</w:t>
            </w:r>
            <w:r>
              <w:rPr>
                <w:rFonts w:ascii="Times New Roman" w:hAnsi="Times New Roman" w:eastAsia="方正仿宋_GBK"/>
                <w:b/>
                <w:sz w:val="18"/>
                <w:szCs w:val="18"/>
              </w:rPr>
              <w:t>3.证书类：</w:t>
            </w:r>
            <w:r>
              <w:rPr>
                <w:rFonts w:ascii="Times New Roman" w:hAnsi="Times New Roman" w:eastAsia="方正仿宋_GBK"/>
                <w:sz w:val="18"/>
                <w:szCs w:val="18"/>
              </w:rPr>
              <w:t>国家银质奖（时为国家最高质量奖项）的证书及银质奖章等一套材料（包括国家银质奖章、国家银质奖章证书及时任厂长载誉归来照片）；</w:t>
            </w:r>
            <w:r>
              <w:rPr>
                <w:rFonts w:ascii="Times New Roman" w:hAnsi="Times New Roman" w:eastAsia="方正仿宋_GBK"/>
                <w:b/>
                <w:sz w:val="18"/>
                <w:szCs w:val="18"/>
              </w:rPr>
              <w:t>4.档案及图纸：</w:t>
            </w:r>
            <w:r>
              <w:rPr>
                <w:rFonts w:ascii="Times New Roman" w:hAnsi="Times New Roman" w:eastAsia="方正仿宋_GBK"/>
                <w:sz w:val="18"/>
                <w:szCs w:val="18"/>
              </w:rPr>
              <w:t>原车间建设手绘图纸；面料样卡; 品牌商标等；时任中共中央总书记胡耀邦来厂视察的图文资料；二十世纪七十年代商标、股份制公司相关资料、工厂在80余年的建设发展中所形成的厂史资料及相关管理制度等2000余份；</w:t>
            </w:r>
            <w:r>
              <w:rPr>
                <w:rFonts w:ascii="Times New Roman" w:hAnsi="Times New Roman" w:eastAsia="方正仿宋_GBK"/>
                <w:b/>
                <w:sz w:val="18"/>
                <w:szCs w:val="18"/>
              </w:rPr>
              <w:t>5.牛仔面料染色工艺：</w:t>
            </w:r>
            <w:r>
              <w:rPr>
                <w:rFonts w:ascii="Times New Roman" w:hAnsi="Times New Roman" w:eastAsia="方正仿宋_GBK"/>
                <w:sz w:val="18"/>
                <w:szCs w:val="18"/>
              </w:rPr>
              <w:t>《靛蓝染色操作法》，第二届江苏省十大职工操作法荣誉证书。</w:t>
            </w:r>
          </w:p>
        </w:tc>
      </w:tr>
      <w:tr w14:paraId="34127B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7" w:hRule="atLeast"/>
          <w:jc w:val="center"/>
        </w:trPr>
        <w:tc>
          <w:tcPr>
            <w:tcW w:w="704" w:type="dxa"/>
            <w:shd w:val="clear" w:color="auto" w:fill="auto"/>
            <w:noWrap/>
            <w:vAlign w:val="center"/>
          </w:tcPr>
          <w:p w14:paraId="52C355FA">
            <w:pPr>
              <w:widowControl/>
              <w:spacing w:line="240" w:lineRule="auto"/>
              <w:ind w:firstLine="0" w:firstLineChars="0"/>
              <w:jc w:val="center"/>
              <w:rPr>
                <w:rFonts w:ascii="Times New Roman" w:hAnsi="Times New Roman" w:eastAsia="方正仿宋_GBK"/>
                <w:color w:val="000000"/>
                <w:kern w:val="0"/>
                <w:sz w:val="18"/>
                <w:szCs w:val="18"/>
              </w:rPr>
            </w:pPr>
            <w:r>
              <w:rPr>
                <w:rFonts w:ascii="Times New Roman" w:hAnsi="Times New Roman" w:eastAsia="方正仿宋_GBK"/>
                <w:color w:val="000000"/>
                <w:kern w:val="0"/>
                <w:sz w:val="18"/>
                <w:szCs w:val="18"/>
              </w:rPr>
              <w:t>6</w:t>
            </w:r>
          </w:p>
        </w:tc>
        <w:tc>
          <w:tcPr>
            <w:tcW w:w="855" w:type="dxa"/>
            <w:vAlign w:val="center"/>
          </w:tcPr>
          <w:p w14:paraId="606B5FF7">
            <w:pPr>
              <w:widowControl/>
              <w:spacing w:line="240" w:lineRule="auto"/>
              <w:ind w:firstLine="0" w:firstLineChars="0"/>
              <w:jc w:val="center"/>
              <w:rPr>
                <w:rFonts w:ascii="Times New Roman" w:hAnsi="Times New Roman" w:eastAsia="方正仿宋_GBK"/>
                <w:color w:val="000000"/>
                <w:kern w:val="0"/>
                <w:sz w:val="18"/>
                <w:szCs w:val="18"/>
              </w:rPr>
            </w:pPr>
            <w:r>
              <w:rPr>
                <w:rFonts w:ascii="Times New Roman" w:hAnsi="Times New Roman" w:eastAsia="方正仿宋_GBK"/>
                <w:color w:val="000000"/>
                <w:kern w:val="0"/>
                <w:sz w:val="18"/>
                <w:szCs w:val="18"/>
              </w:rPr>
              <w:t>苏州</w:t>
            </w:r>
          </w:p>
        </w:tc>
        <w:tc>
          <w:tcPr>
            <w:tcW w:w="1560" w:type="dxa"/>
            <w:shd w:val="clear" w:color="auto" w:fill="auto"/>
            <w:vAlign w:val="center"/>
          </w:tcPr>
          <w:p w14:paraId="0B6D274E">
            <w:pPr>
              <w:widowControl/>
              <w:spacing w:line="240" w:lineRule="auto"/>
              <w:ind w:firstLine="0" w:firstLineChars="0"/>
              <w:jc w:val="center"/>
              <w:rPr>
                <w:rFonts w:ascii="Times New Roman" w:hAnsi="Times New Roman" w:eastAsia="方正仿宋_GBK"/>
                <w:color w:val="000000"/>
                <w:kern w:val="0"/>
                <w:sz w:val="18"/>
                <w:szCs w:val="18"/>
              </w:rPr>
            </w:pPr>
            <w:r>
              <w:rPr>
                <w:rFonts w:ascii="Times New Roman" w:hAnsi="Times New Roman" w:eastAsia="方正仿宋_GBK"/>
                <w:color w:val="000000"/>
                <w:kern w:val="0"/>
                <w:sz w:val="18"/>
                <w:szCs w:val="18"/>
              </w:rPr>
              <w:t>浒关蚕种场</w:t>
            </w:r>
          </w:p>
        </w:tc>
        <w:tc>
          <w:tcPr>
            <w:tcW w:w="11198" w:type="dxa"/>
            <w:shd w:val="clear" w:color="auto" w:fill="auto"/>
          </w:tcPr>
          <w:p w14:paraId="6D467DD1">
            <w:pPr>
              <w:spacing w:line="240" w:lineRule="auto"/>
              <w:ind w:firstLine="0" w:firstLineChars="0"/>
              <w:jc w:val="left"/>
              <w:rPr>
                <w:rFonts w:ascii="Times New Roman" w:hAnsi="Times New Roman" w:eastAsia="方正仿宋_GBK"/>
                <w:sz w:val="18"/>
                <w:szCs w:val="18"/>
              </w:rPr>
            </w:pPr>
            <w:r>
              <w:rPr>
                <w:rFonts w:ascii="Times New Roman" w:hAnsi="Times New Roman" w:eastAsia="方正仿宋_GBK"/>
                <w:b/>
                <w:sz w:val="18"/>
                <w:szCs w:val="18"/>
              </w:rPr>
              <w:t>1.建筑类：</w:t>
            </w:r>
            <w:r>
              <w:rPr>
                <w:rFonts w:ascii="Times New Roman" w:hAnsi="Times New Roman" w:eastAsia="方正仿宋_GBK"/>
                <w:sz w:val="18"/>
                <w:szCs w:val="18"/>
              </w:rPr>
              <w:t>蚕种场办公楼1#（苏州历史建筑）；原养蚕室2#7#；原催青室3#；原蚕种上簇室4#；</w:t>
            </w:r>
            <w:r>
              <w:rPr>
                <w:rFonts w:ascii="Times New Roman" w:hAnsi="Times New Roman" w:eastAsia="方正仿宋_GBK"/>
                <w:b/>
                <w:sz w:val="18"/>
                <w:szCs w:val="18"/>
              </w:rPr>
              <w:t>2.物品类：</w:t>
            </w:r>
            <w:r>
              <w:rPr>
                <w:rFonts w:ascii="Times New Roman" w:hAnsi="Times New Roman" w:eastAsia="方正仿宋_GBK"/>
                <w:sz w:val="18"/>
                <w:szCs w:val="18"/>
              </w:rPr>
              <w:t>温度表、温度计用于测量蚕室内温度（30年代）；砝码-早期使用的称量用具（30年代）；气象仪-天气监测（70年代）；藤匾、四角篰-分装蚕茧（30年代）；观察仪、玻璃比重杯（30年代）；</w:t>
            </w:r>
            <w:r>
              <w:rPr>
                <w:rFonts w:ascii="Times New Roman" w:hAnsi="Times New Roman" w:eastAsia="方正仿宋_GBK"/>
                <w:b/>
                <w:sz w:val="18"/>
                <w:szCs w:val="18"/>
              </w:rPr>
              <w:t>3.档案及图纸：</w:t>
            </w:r>
            <w:r>
              <w:rPr>
                <w:rFonts w:ascii="Times New Roman" w:hAnsi="Times New Roman" w:eastAsia="方正仿宋_GBK"/>
                <w:sz w:val="18"/>
                <w:szCs w:val="18"/>
              </w:rPr>
              <w:t>民国时期印章、日本留学保存下来的古籍（30年代）。</w:t>
            </w:r>
          </w:p>
        </w:tc>
      </w:tr>
      <w:tr w14:paraId="04D081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8" w:hRule="atLeast"/>
          <w:jc w:val="center"/>
        </w:trPr>
        <w:tc>
          <w:tcPr>
            <w:tcW w:w="704" w:type="dxa"/>
            <w:shd w:val="clear" w:color="auto" w:fill="auto"/>
            <w:noWrap/>
            <w:vAlign w:val="center"/>
          </w:tcPr>
          <w:p w14:paraId="64B7CB91">
            <w:pPr>
              <w:widowControl/>
              <w:spacing w:line="240" w:lineRule="auto"/>
              <w:ind w:firstLine="0" w:firstLineChars="0"/>
              <w:jc w:val="center"/>
              <w:rPr>
                <w:rFonts w:ascii="Times New Roman" w:hAnsi="Times New Roman" w:eastAsia="方正仿宋_GBK"/>
                <w:color w:val="000000"/>
                <w:kern w:val="0"/>
                <w:sz w:val="18"/>
                <w:szCs w:val="18"/>
              </w:rPr>
            </w:pPr>
            <w:r>
              <w:rPr>
                <w:rFonts w:ascii="Times New Roman" w:hAnsi="Times New Roman" w:eastAsia="方正仿宋_GBK"/>
                <w:color w:val="000000"/>
                <w:kern w:val="0"/>
                <w:sz w:val="18"/>
                <w:szCs w:val="18"/>
              </w:rPr>
              <w:t>7</w:t>
            </w:r>
          </w:p>
        </w:tc>
        <w:tc>
          <w:tcPr>
            <w:tcW w:w="855" w:type="dxa"/>
            <w:vAlign w:val="center"/>
          </w:tcPr>
          <w:p w14:paraId="517F7036">
            <w:pPr>
              <w:widowControl/>
              <w:spacing w:line="240" w:lineRule="auto"/>
              <w:ind w:firstLine="0" w:firstLineChars="0"/>
              <w:jc w:val="center"/>
              <w:rPr>
                <w:rFonts w:ascii="Times New Roman" w:hAnsi="Times New Roman" w:eastAsia="方正仿宋_GBK"/>
                <w:color w:val="000000"/>
                <w:kern w:val="0"/>
                <w:sz w:val="18"/>
                <w:szCs w:val="18"/>
              </w:rPr>
            </w:pPr>
            <w:r>
              <w:rPr>
                <w:rFonts w:ascii="Times New Roman" w:hAnsi="Times New Roman" w:eastAsia="方正仿宋_GBK"/>
                <w:color w:val="000000"/>
                <w:kern w:val="0"/>
                <w:sz w:val="18"/>
                <w:szCs w:val="18"/>
              </w:rPr>
              <w:t>淮安</w:t>
            </w:r>
          </w:p>
        </w:tc>
        <w:tc>
          <w:tcPr>
            <w:tcW w:w="1560" w:type="dxa"/>
            <w:shd w:val="clear" w:color="auto" w:fill="auto"/>
            <w:vAlign w:val="center"/>
          </w:tcPr>
          <w:p w14:paraId="6F4DD032">
            <w:pPr>
              <w:widowControl/>
              <w:spacing w:line="240" w:lineRule="auto"/>
              <w:ind w:firstLine="0" w:firstLineChars="0"/>
              <w:jc w:val="center"/>
              <w:rPr>
                <w:rFonts w:ascii="Times New Roman" w:hAnsi="Times New Roman" w:eastAsia="方正仿宋_GBK"/>
                <w:color w:val="000000"/>
                <w:kern w:val="0"/>
                <w:sz w:val="18"/>
                <w:szCs w:val="18"/>
              </w:rPr>
            </w:pPr>
            <w:r>
              <w:rPr>
                <w:rFonts w:ascii="Times New Roman" w:hAnsi="Times New Roman" w:eastAsia="方正仿宋_GBK"/>
                <w:color w:val="000000"/>
                <w:kern w:val="0"/>
                <w:sz w:val="18"/>
                <w:szCs w:val="18"/>
              </w:rPr>
              <w:t>高沟酒厂旧址</w:t>
            </w:r>
          </w:p>
        </w:tc>
        <w:tc>
          <w:tcPr>
            <w:tcW w:w="11198" w:type="dxa"/>
            <w:shd w:val="clear" w:color="auto" w:fill="auto"/>
          </w:tcPr>
          <w:p w14:paraId="40288346">
            <w:pPr>
              <w:spacing w:line="240" w:lineRule="auto"/>
              <w:ind w:firstLine="0" w:firstLineChars="0"/>
              <w:jc w:val="left"/>
              <w:rPr>
                <w:rFonts w:ascii="Times New Roman" w:hAnsi="Times New Roman" w:eastAsia="方正仿宋_GBK"/>
                <w:color w:val="000000"/>
                <w:kern w:val="0"/>
                <w:sz w:val="18"/>
                <w:szCs w:val="18"/>
                <w:lang w:bidi="ar"/>
              </w:rPr>
            </w:pPr>
            <w:r>
              <w:rPr>
                <w:rFonts w:ascii="Times New Roman" w:hAnsi="Times New Roman" w:eastAsia="方正仿宋_GBK"/>
                <w:b/>
                <w:color w:val="000000"/>
                <w:kern w:val="0"/>
                <w:sz w:val="18"/>
                <w:szCs w:val="18"/>
                <w:lang w:bidi="ar"/>
              </w:rPr>
              <w:t>1.建筑类：</w:t>
            </w:r>
            <w:r>
              <w:rPr>
                <w:rFonts w:ascii="Times New Roman" w:hAnsi="Times New Roman" w:eastAsia="方正仿宋_GBK"/>
                <w:color w:val="000000"/>
                <w:kern w:val="0"/>
                <w:sz w:val="18"/>
                <w:szCs w:val="18"/>
                <w:lang w:bidi="ar"/>
              </w:rPr>
              <w:t>原原料库房；原粉碎楼；原成品酒库房及原包装物库房；高沟酒厂第一个酒库；高沟酒厂最早的化验室；原液态法生产酒精的厂房；1500吨酒库；</w:t>
            </w:r>
            <w:r>
              <w:rPr>
                <w:rFonts w:ascii="Times New Roman" w:hAnsi="Times New Roman" w:eastAsia="方正仿宋_GBK"/>
                <w:b/>
                <w:color w:val="000000"/>
                <w:kern w:val="0"/>
                <w:sz w:val="18"/>
                <w:szCs w:val="18"/>
                <w:lang w:bidi="ar"/>
              </w:rPr>
              <w:t>2.高沟酒酿造技艺：</w:t>
            </w:r>
            <w:r>
              <w:rPr>
                <w:rFonts w:ascii="Times New Roman" w:hAnsi="Times New Roman" w:eastAsia="方正仿宋_GBK"/>
                <w:color w:val="000000"/>
                <w:kern w:val="0"/>
                <w:sz w:val="18"/>
                <w:szCs w:val="18"/>
                <w:lang w:bidi="ar"/>
              </w:rPr>
              <w:t>已入选江苏省非物质文化遗产；“高沟”商标被</w:t>
            </w:r>
            <w:bookmarkStart w:id="0" w:name="_GoBack"/>
            <w:bookmarkEnd w:id="0"/>
            <w:r>
              <w:rPr>
                <w:rFonts w:ascii="Times New Roman" w:hAnsi="Times New Roman" w:eastAsia="方正仿宋_GBK"/>
                <w:color w:val="000000"/>
                <w:kern w:val="0"/>
                <w:sz w:val="18"/>
                <w:szCs w:val="18"/>
                <w:lang w:bidi="ar"/>
              </w:rPr>
              <w:t>商务部认定为“中华老字号”；“高沟古窖池群”（江苏省文物保护单位），酿酒池口共5300多个，其中近400年窖龄53个，100年以上窖龄209个；40年以上窖龄2229个；</w:t>
            </w:r>
            <w:r>
              <w:rPr>
                <w:rFonts w:ascii="Times New Roman" w:hAnsi="Times New Roman" w:eastAsia="方正仿宋_GBK"/>
                <w:b/>
                <w:color w:val="000000"/>
                <w:kern w:val="0"/>
                <w:sz w:val="18"/>
                <w:szCs w:val="18"/>
                <w:lang w:bidi="ar"/>
              </w:rPr>
              <w:t>3.档案资料类：</w:t>
            </w:r>
            <w:r>
              <w:rPr>
                <w:rFonts w:ascii="Times New Roman" w:hAnsi="Times New Roman" w:eastAsia="方正仿宋_GBK"/>
                <w:color w:val="000000"/>
                <w:kern w:val="0"/>
                <w:sz w:val="18"/>
                <w:szCs w:val="18"/>
                <w:lang w:bidi="ar"/>
              </w:rPr>
              <w:t>中共原涟水县委书记王晓楼回忆1944年中共涟水县委兴办金庄酒厂及将金庄酒厂与裕源槽坊合并的文字材料；1949年地方国营高沟酒厂获得江苏省“酿酒第一”奖旗照片及实物、高沟酒厂获得江苏省人民政府的嘉奖令；高沟酒在1984年全国第四届评酒大会中被评为浓香型白酒第二名的通知单、高沟大曲被评为“江苏省优质酒”、高沟大曲商标获准注册（注册号119922）证书等；</w:t>
            </w:r>
            <w:r>
              <w:rPr>
                <w:rFonts w:ascii="Times New Roman" w:hAnsi="Times New Roman" w:eastAsia="方正仿宋_GBK"/>
                <w:b/>
                <w:color w:val="000000"/>
                <w:kern w:val="0"/>
                <w:sz w:val="18"/>
                <w:szCs w:val="18"/>
                <w:lang w:bidi="ar"/>
              </w:rPr>
              <w:t>4.高沟酒厂时期部分产品:</w:t>
            </w:r>
            <w:r>
              <w:rPr>
                <w:rFonts w:ascii="Times New Roman" w:hAnsi="Times New Roman" w:eastAsia="方正仿宋_GBK"/>
                <w:color w:val="000000"/>
                <w:kern w:val="0"/>
                <w:sz w:val="18"/>
                <w:szCs w:val="18"/>
                <w:lang w:bidi="ar"/>
              </w:rPr>
              <w:t>高沟优曲（黑葫芦）、高沟特曲（瓷瓶）、高沟特曲（首都特供）等获奖实物。</w:t>
            </w:r>
          </w:p>
        </w:tc>
      </w:tr>
      <w:tr w14:paraId="36E6F1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7" w:hRule="atLeast"/>
          <w:jc w:val="center"/>
        </w:trPr>
        <w:tc>
          <w:tcPr>
            <w:tcW w:w="704" w:type="dxa"/>
            <w:shd w:val="clear" w:color="auto" w:fill="auto"/>
            <w:noWrap/>
            <w:vAlign w:val="center"/>
          </w:tcPr>
          <w:p w14:paraId="29801FAD">
            <w:pPr>
              <w:widowControl/>
              <w:spacing w:line="240" w:lineRule="auto"/>
              <w:ind w:firstLine="0" w:firstLineChars="0"/>
              <w:jc w:val="center"/>
              <w:rPr>
                <w:rFonts w:ascii="Times New Roman" w:hAnsi="Times New Roman" w:eastAsia="方正仿宋_GBK"/>
                <w:color w:val="000000"/>
                <w:kern w:val="0"/>
                <w:sz w:val="18"/>
                <w:szCs w:val="18"/>
              </w:rPr>
            </w:pPr>
            <w:r>
              <w:rPr>
                <w:rFonts w:ascii="Times New Roman" w:hAnsi="Times New Roman" w:eastAsia="方正仿宋_GBK"/>
                <w:color w:val="000000"/>
                <w:kern w:val="0"/>
                <w:sz w:val="18"/>
                <w:szCs w:val="18"/>
              </w:rPr>
              <w:t>8</w:t>
            </w:r>
          </w:p>
        </w:tc>
        <w:tc>
          <w:tcPr>
            <w:tcW w:w="855" w:type="dxa"/>
            <w:vAlign w:val="center"/>
          </w:tcPr>
          <w:p w14:paraId="770A6E5D">
            <w:pPr>
              <w:widowControl/>
              <w:spacing w:line="240" w:lineRule="auto"/>
              <w:ind w:firstLine="0" w:firstLineChars="0"/>
              <w:jc w:val="center"/>
              <w:rPr>
                <w:rFonts w:ascii="Times New Roman" w:hAnsi="Times New Roman" w:eastAsia="方正仿宋_GBK"/>
                <w:color w:val="000000"/>
                <w:kern w:val="0"/>
                <w:sz w:val="18"/>
                <w:szCs w:val="18"/>
              </w:rPr>
            </w:pPr>
            <w:r>
              <w:rPr>
                <w:rFonts w:ascii="Times New Roman" w:hAnsi="Times New Roman" w:eastAsia="方正仿宋_GBK"/>
                <w:color w:val="000000"/>
                <w:kern w:val="0"/>
                <w:sz w:val="18"/>
                <w:szCs w:val="18"/>
              </w:rPr>
              <w:t>盐城</w:t>
            </w:r>
          </w:p>
        </w:tc>
        <w:tc>
          <w:tcPr>
            <w:tcW w:w="1560" w:type="dxa"/>
            <w:shd w:val="clear" w:color="auto" w:fill="auto"/>
            <w:vAlign w:val="center"/>
          </w:tcPr>
          <w:p w14:paraId="4D4DEE5F">
            <w:pPr>
              <w:widowControl/>
              <w:spacing w:line="240" w:lineRule="auto"/>
              <w:ind w:firstLine="0" w:firstLineChars="0"/>
              <w:jc w:val="center"/>
              <w:rPr>
                <w:rFonts w:ascii="Times New Roman" w:hAnsi="Times New Roman" w:eastAsia="方正仿宋_GBK"/>
                <w:color w:val="000000"/>
                <w:kern w:val="0"/>
                <w:sz w:val="18"/>
                <w:szCs w:val="18"/>
              </w:rPr>
            </w:pPr>
            <w:r>
              <w:rPr>
                <w:rFonts w:ascii="Times New Roman" w:hAnsi="Times New Roman" w:eastAsia="方正仿宋_GBK"/>
                <w:color w:val="000000"/>
                <w:kern w:val="0"/>
                <w:sz w:val="18"/>
                <w:szCs w:val="18"/>
              </w:rPr>
              <w:t>大丰县自行车飞轮厂</w:t>
            </w:r>
          </w:p>
        </w:tc>
        <w:tc>
          <w:tcPr>
            <w:tcW w:w="11198" w:type="dxa"/>
            <w:shd w:val="clear" w:color="auto" w:fill="auto"/>
          </w:tcPr>
          <w:p w14:paraId="2CDEDB33">
            <w:pPr>
              <w:spacing w:line="240" w:lineRule="auto"/>
              <w:ind w:firstLine="0" w:firstLineChars="0"/>
              <w:jc w:val="left"/>
              <w:rPr>
                <w:rFonts w:ascii="Times New Roman" w:hAnsi="Times New Roman" w:eastAsia="方正仿宋_GBK"/>
                <w:color w:val="000000"/>
                <w:kern w:val="0"/>
                <w:sz w:val="18"/>
                <w:szCs w:val="18"/>
                <w:lang w:bidi="ar"/>
              </w:rPr>
            </w:pPr>
            <w:r>
              <w:rPr>
                <w:rFonts w:ascii="Times New Roman" w:hAnsi="Times New Roman" w:eastAsia="方正仿宋_GBK"/>
                <w:b/>
                <w:color w:val="000000"/>
                <w:kern w:val="0"/>
                <w:sz w:val="18"/>
                <w:szCs w:val="18"/>
                <w:lang w:bidi="ar"/>
              </w:rPr>
              <w:t>1.建筑类：</w:t>
            </w:r>
            <w:r>
              <w:rPr>
                <w:rFonts w:ascii="Times New Roman" w:hAnsi="Times New Roman" w:eastAsia="方正仿宋_GBK"/>
                <w:color w:val="000000"/>
                <w:kern w:val="0"/>
                <w:sz w:val="18"/>
                <w:szCs w:val="18"/>
                <w:lang w:bidi="ar"/>
              </w:rPr>
              <w:t>原模具车间</w:t>
            </w:r>
            <w:r>
              <w:rPr>
                <w:rFonts w:ascii="Times New Roman" w:hAnsi="Times New Roman" w:eastAsia="方正仿宋_GBK"/>
                <w:sz w:val="18"/>
                <w:szCs w:val="18"/>
              </w:rPr>
              <w:t>2#；</w:t>
            </w:r>
            <w:r>
              <w:rPr>
                <w:rFonts w:ascii="Times New Roman" w:hAnsi="Times New Roman" w:eastAsia="方正仿宋_GBK"/>
                <w:color w:val="000000"/>
                <w:kern w:val="0"/>
                <w:sz w:val="18"/>
                <w:szCs w:val="18"/>
                <w:lang w:bidi="ar"/>
              </w:rPr>
              <w:t>原装配车间及成品库</w:t>
            </w:r>
            <w:r>
              <w:rPr>
                <w:rFonts w:ascii="Times New Roman" w:hAnsi="Times New Roman" w:eastAsia="方正仿宋_GBK"/>
                <w:sz w:val="18"/>
                <w:szCs w:val="18"/>
              </w:rPr>
              <w:t>3#；</w:t>
            </w:r>
            <w:r>
              <w:rPr>
                <w:rFonts w:ascii="Times New Roman" w:hAnsi="Times New Roman" w:eastAsia="方正仿宋_GBK"/>
                <w:color w:val="000000"/>
                <w:kern w:val="0"/>
                <w:sz w:val="18"/>
                <w:szCs w:val="18"/>
                <w:lang w:bidi="ar"/>
              </w:rPr>
              <w:t>原第一处理车间</w:t>
            </w:r>
            <w:r>
              <w:rPr>
                <w:rFonts w:ascii="Times New Roman" w:hAnsi="Times New Roman" w:eastAsia="方正仿宋_GBK"/>
                <w:sz w:val="18"/>
                <w:szCs w:val="18"/>
              </w:rPr>
              <w:t>5#；</w:t>
            </w:r>
            <w:r>
              <w:rPr>
                <w:rFonts w:ascii="Times New Roman" w:hAnsi="Times New Roman" w:eastAsia="方正仿宋_GBK"/>
                <w:color w:val="000000"/>
                <w:kern w:val="0"/>
                <w:sz w:val="18"/>
                <w:szCs w:val="18"/>
                <w:lang w:bidi="ar"/>
              </w:rPr>
              <w:t>原第一冷挤压车间</w:t>
            </w:r>
            <w:r>
              <w:rPr>
                <w:rFonts w:ascii="Times New Roman" w:hAnsi="Times New Roman" w:eastAsia="方正仿宋_GBK"/>
                <w:sz w:val="18"/>
                <w:szCs w:val="18"/>
              </w:rPr>
              <w:t>6#7#</w:t>
            </w:r>
            <w:r>
              <w:rPr>
                <w:rFonts w:ascii="Times New Roman" w:hAnsi="Times New Roman" w:eastAsia="方正仿宋_GBK"/>
                <w:color w:val="000000"/>
                <w:kern w:val="0"/>
                <w:sz w:val="18"/>
                <w:szCs w:val="18"/>
                <w:lang w:bidi="ar"/>
              </w:rPr>
              <w:t>；原单级飞轮机加工车间</w:t>
            </w:r>
            <w:r>
              <w:rPr>
                <w:rFonts w:ascii="Times New Roman" w:hAnsi="Times New Roman" w:eastAsia="方正仿宋_GBK"/>
                <w:sz w:val="18"/>
                <w:szCs w:val="18"/>
              </w:rPr>
              <w:t>9#；</w:t>
            </w:r>
            <w:r>
              <w:rPr>
                <w:rFonts w:ascii="Times New Roman" w:hAnsi="Times New Roman" w:eastAsia="方正仿宋_GBK"/>
                <w:color w:val="000000"/>
                <w:kern w:val="0"/>
                <w:sz w:val="18"/>
                <w:szCs w:val="18"/>
                <w:lang w:bidi="ar"/>
              </w:rPr>
              <w:t>原机修车间</w:t>
            </w:r>
            <w:r>
              <w:rPr>
                <w:rFonts w:ascii="Times New Roman" w:hAnsi="Times New Roman" w:eastAsia="方正仿宋_GBK"/>
                <w:sz w:val="18"/>
                <w:szCs w:val="18"/>
              </w:rPr>
              <w:t>10#；</w:t>
            </w:r>
            <w:r>
              <w:rPr>
                <w:rFonts w:ascii="Times New Roman" w:hAnsi="Times New Roman" w:eastAsia="方正仿宋_GBK"/>
                <w:color w:val="000000"/>
                <w:kern w:val="0"/>
                <w:sz w:val="18"/>
                <w:szCs w:val="18"/>
                <w:lang w:bidi="ar"/>
              </w:rPr>
              <w:t>原多级飞轮车间</w:t>
            </w:r>
            <w:r>
              <w:rPr>
                <w:rFonts w:ascii="Times New Roman" w:hAnsi="Times New Roman" w:eastAsia="方正仿宋_GBK"/>
                <w:sz w:val="18"/>
                <w:szCs w:val="18"/>
              </w:rPr>
              <w:t>11#；</w:t>
            </w:r>
            <w:r>
              <w:rPr>
                <w:rFonts w:ascii="Times New Roman" w:hAnsi="Times New Roman" w:eastAsia="方正仿宋_GBK"/>
                <w:color w:val="000000"/>
                <w:kern w:val="0"/>
                <w:sz w:val="18"/>
                <w:szCs w:val="18"/>
                <w:lang w:bidi="ar"/>
              </w:rPr>
              <w:t>原飞片冲压车间</w:t>
            </w:r>
            <w:r>
              <w:rPr>
                <w:rFonts w:ascii="Times New Roman" w:hAnsi="Times New Roman" w:eastAsia="方正仿宋_GBK"/>
                <w:sz w:val="18"/>
                <w:szCs w:val="18"/>
              </w:rPr>
              <w:t>12#；</w:t>
            </w:r>
            <w:r>
              <w:rPr>
                <w:rFonts w:ascii="Times New Roman" w:hAnsi="Times New Roman" w:eastAsia="方正仿宋_GBK"/>
                <w:color w:val="000000"/>
                <w:kern w:val="0"/>
                <w:sz w:val="18"/>
                <w:szCs w:val="18"/>
                <w:lang w:bidi="ar"/>
              </w:rPr>
              <w:t>原镀压车间13</w:t>
            </w:r>
            <w:r>
              <w:rPr>
                <w:rFonts w:ascii="Times New Roman" w:hAnsi="Times New Roman" w:eastAsia="方正仿宋_GBK"/>
                <w:sz w:val="18"/>
                <w:szCs w:val="18"/>
              </w:rPr>
              <w:t>#；</w:t>
            </w:r>
            <w:r>
              <w:rPr>
                <w:rFonts w:ascii="Times New Roman" w:hAnsi="Times New Roman" w:eastAsia="方正仿宋_GBK"/>
                <w:b/>
                <w:sz w:val="18"/>
                <w:szCs w:val="18"/>
              </w:rPr>
              <w:t>2.档案和图纸：</w:t>
            </w:r>
            <w:r>
              <w:rPr>
                <w:rFonts w:ascii="Times New Roman" w:hAnsi="Times New Roman" w:eastAsia="方正仿宋_GBK"/>
                <w:sz w:val="18"/>
                <w:szCs w:val="18"/>
              </w:rPr>
              <w:t>原飞轮厂厂区图纸、企业管理资料汇编（共计32张）；</w:t>
            </w:r>
            <w:r>
              <w:rPr>
                <w:rFonts w:ascii="Times New Roman" w:hAnsi="Times New Roman" w:eastAsia="方正仿宋_GBK"/>
                <w:b/>
                <w:sz w:val="18"/>
                <w:szCs w:val="18"/>
              </w:rPr>
              <w:t>3.全国劳模资料：</w:t>
            </w:r>
            <w:r>
              <w:rPr>
                <w:rFonts w:ascii="Times New Roman" w:hAnsi="Times New Roman" w:eastAsia="方正仿宋_GBK"/>
                <w:sz w:val="18"/>
                <w:szCs w:val="18"/>
              </w:rPr>
              <w:t>原厂区副厂长黄玉兰，获得2021年全国劳模特殊困难帮扶金。</w:t>
            </w:r>
          </w:p>
        </w:tc>
      </w:tr>
    </w:tbl>
    <w:p w14:paraId="3A89D384">
      <w:pPr>
        <w:ind w:firstLine="420"/>
        <w:rPr>
          <w:rFonts w:hint="eastAsia"/>
          <w:vanish/>
        </w:rPr>
      </w:pPr>
    </w:p>
    <w:sectPr>
      <w:pgSz w:w="16838" w:h="11906" w:orient="landscape"/>
      <w:pgMar w:top="1800" w:right="1440" w:bottom="1800" w:left="144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swiss"/>
    <w:pitch w:val="default"/>
    <w:sig w:usb0="E0002EFF" w:usb1="C000785B" w:usb2="00000009" w:usb3="00000000" w:csb0="400001FF" w:csb1="FFFF0000"/>
  </w:font>
  <w:font w:name="方正黑体_GBK">
    <w:altName w:val="微软雅黑"/>
    <w:panose1 w:val="03000509000000000000"/>
    <w:charset w:val="86"/>
    <w:family w:val="script"/>
    <w:pitch w:val="default"/>
    <w:sig w:usb0="00000000" w:usb1="00000000" w:usb2="00000010" w:usb3="00000000" w:csb0="00040000" w:csb1="00000000"/>
  </w:font>
  <w:font w:name="方正小标宋_GBK">
    <w:altName w:val="微软雅黑"/>
    <w:panose1 w:val="03000509000000000000"/>
    <w:charset w:val="86"/>
    <w:family w:val="script"/>
    <w:pitch w:val="default"/>
    <w:sig w:usb0="00000000" w:usb1="00000000" w:usb2="00000010" w:usb3="00000000" w:csb0="00040000" w:csb1="00000000"/>
  </w:font>
  <w:font w:name="方正仿宋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20"/>
      </w:pPr>
      <w:r>
        <w:separator/>
      </w:r>
    </w:p>
  </w:footnote>
  <w:footnote w:type="continuationSeparator" w:id="1">
    <w:p>
      <w:pPr>
        <w:spacing w:line="360" w:lineRule="auto"/>
        <w:ind w:firstLine="42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273C"/>
    <w:rsid w:val="000147C8"/>
    <w:rsid w:val="0010042B"/>
    <w:rsid w:val="0064273C"/>
    <w:rsid w:val="1FEE2D5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Arial" w:hAnsi="Arial" w:eastAsia="宋体" w:cs="Times New Roman"/>
      <w:kern w:val="2"/>
      <w:sz w:val="21"/>
      <w:szCs w:val="24"/>
      <w:lang w:val="en-US" w:eastAsia="zh-CN" w:bidi="ar-SA"/>
    </w:rPr>
  </w:style>
  <w:style w:type="character" w:default="1" w:styleId="3">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2</Pages>
  <Words>2157</Words>
  <Characters>2338</Characters>
  <Lines>16</Lines>
  <Paragraphs>4</Paragraphs>
  <TotalTime>1</TotalTime>
  <ScaleCrop>false</ScaleCrop>
  <LinksUpToDate>false</LinksUpToDate>
  <CharactersWithSpaces>2341</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2025-02-24T01:50:00Z</dcterms:created>
  <dc:creator>lenovo</dc:creator>
  <cp:lastModifiedBy>难顾及</cp:lastModifiedBy>
  <dcterms:modified xsi:type="dcterms:W3CDTF">2025-04-17T07:23:07Z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eyJoZGlkIjoiNDUwMTFkMDI3ZjBmZjczM2Q3M2EwOGI5M2VjYzUzMDkiLCJ1c2VySWQiOiI2NDAwMjk0OTAifQ==</vt:lpwstr>
  </property>
  <property fmtid="{D5CDD505-2E9C-101B-9397-08002B2CF9AE}" pid="3" name="KSOProductBuildVer">
    <vt:lpwstr>2052-12.1.0.20784</vt:lpwstr>
  </property>
  <property fmtid="{D5CDD505-2E9C-101B-9397-08002B2CF9AE}" pid="4" name="ICV">
    <vt:lpwstr>178C7A7E559C45399C7CF4E7ED60EC79_12</vt:lpwstr>
  </property>
</Properties>
</file>