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D26C77">
      <w:pPr>
        <w:ind w:firstLine="0" w:firstLineChars="0"/>
        <w:rPr>
          <w:rFonts w:hint="eastAsia" w:ascii="Times New Roman" w:hAnsi="Times New Roman" w:eastAsia="方正黑体_GBK"/>
          <w:sz w:val="32"/>
          <w:szCs w:val="32"/>
          <w:lang w:val="en-US" w:eastAsia="zh-CN"/>
        </w:rPr>
      </w:pPr>
      <w:r>
        <w:rPr>
          <w:rFonts w:ascii="Times New Roman" w:hAnsi="Times New Roman" w:eastAsia="方正黑体_GBK"/>
          <w:sz w:val="32"/>
          <w:szCs w:val="32"/>
        </w:rPr>
        <w:t>附件</w:t>
      </w:r>
      <w:r>
        <w:rPr>
          <w:rFonts w:hint="eastAsia" w:ascii="Times New Roman" w:hAnsi="Times New Roman" w:eastAsia="方正黑体_GBK"/>
          <w:sz w:val="32"/>
          <w:szCs w:val="32"/>
          <w:lang w:val="en-US" w:eastAsia="zh-CN"/>
        </w:rPr>
        <w:t>6</w:t>
      </w:r>
    </w:p>
    <w:p w14:paraId="180B18EE">
      <w:pPr>
        <w:adjustRightInd w:val="0"/>
        <w:snapToGrid w:val="0"/>
        <w:spacing w:before="156" w:beforeLines="50" w:after="156" w:afterLines="50" w:line="240" w:lineRule="auto"/>
        <w:ind w:firstLine="0" w:firstLineChars="0"/>
        <w:jc w:val="center"/>
        <w:rPr>
          <w:rFonts w:ascii="方正小标宋_GBK" w:hAnsi="Times New Roman" w:eastAsia="方正小标宋_GBK"/>
          <w:sz w:val="36"/>
          <w:szCs w:val="36"/>
        </w:rPr>
      </w:pPr>
      <w:r>
        <w:rPr>
          <w:rFonts w:hint="eastAsia" w:ascii="方正小标宋_GBK" w:hAnsi="Times New Roman" w:eastAsia="方正小标宋_GBK"/>
          <w:sz w:val="36"/>
          <w:szCs w:val="36"/>
        </w:rPr>
        <w:t>202</w:t>
      </w:r>
      <w:r>
        <w:rPr>
          <w:rFonts w:hint="eastAsia" w:ascii="方正小标宋_GBK" w:hAnsi="Times New Roman" w:eastAsia="方正小标宋_GBK"/>
          <w:sz w:val="36"/>
          <w:szCs w:val="36"/>
          <w:lang w:val="en-US" w:eastAsia="zh-CN"/>
        </w:rPr>
        <w:t>7</w:t>
      </w:r>
      <w:r>
        <w:rPr>
          <w:rFonts w:hint="eastAsia" w:ascii="方正小标宋_GBK" w:hAnsi="Times New Roman" w:eastAsia="方正小标宋_GBK"/>
          <w:sz w:val="36"/>
          <w:szCs w:val="36"/>
        </w:rPr>
        <w:t>年度</w:t>
      </w:r>
      <w:r>
        <w:rPr>
          <w:rFonts w:ascii="方正小标宋_GBK" w:hAnsi="Times New Roman" w:eastAsia="方正小标宋_GBK"/>
          <w:sz w:val="36"/>
          <w:szCs w:val="36"/>
        </w:rPr>
        <w:t>绿色工业园区</w:t>
      </w:r>
      <w:r>
        <w:rPr>
          <w:rFonts w:hint="eastAsia" w:ascii="方正小标宋_GBK" w:hAnsi="Times New Roman" w:eastAsia="方正小标宋_GBK"/>
          <w:sz w:val="36"/>
          <w:szCs w:val="36"/>
        </w:rPr>
        <w:t>培育</w:t>
      </w:r>
      <w:r>
        <w:rPr>
          <w:rFonts w:ascii="方正小标宋_GBK" w:hAnsi="Times New Roman" w:eastAsia="方正小标宋_GBK"/>
          <w:sz w:val="36"/>
          <w:szCs w:val="36"/>
        </w:rPr>
        <w:t>计划汇总表</w:t>
      </w:r>
    </w:p>
    <w:tbl>
      <w:tblPr>
        <w:tblStyle w:val="5"/>
        <w:tblW w:w="498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4"/>
        <w:gridCol w:w="493"/>
        <w:gridCol w:w="657"/>
        <w:gridCol w:w="657"/>
        <w:gridCol w:w="1452"/>
        <w:gridCol w:w="1983"/>
        <w:gridCol w:w="986"/>
        <w:gridCol w:w="1300"/>
        <w:gridCol w:w="1398"/>
        <w:gridCol w:w="1398"/>
        <w:gridCol w:w="1398"/>
        <w:gridCol w:w="1400"/>
      </w:tblGrid>
      <w:tr w14:paraId="2C5C1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4" w:hRule="atLeast"/>
        </w:trPr>
        <w:tc>
          <w:tcPr>
            <w:tcW w:w="178" w:type="pct"/>
            <w:shd w:val="clear" w:color="auto" w:fill="auto"/>
            <w:vAlign w:val="center"/>
          </w:tcPr>
          <w:p w14:paraId="6DA2CEEE">
            <w:pPr>
              <w:widowControl/>
              <w:spacing w:line="240" w:lineRule="exact"/>
              <w:ind w:firstLine="0" w:firstLineChars="0"/>
              <w:rPr>
                <w:rFonts w:ascii="Times New Roman" w:hAnsi="Times New Roman" w:eastAsia="方正黑体_GBK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kern w:val="0"/>
                <w:sz w:val="24"/>
              </w:rPr>
              <w:t>序号</w:t>
            </w:r>
          </w:p>
        </w:tc>
        <w:tc>
          <w:tcPr>
            <w:tcW w:w="181" w:type="pct"/>
            <w:shd w:val="clear" w:color="auto" w:fill="auto"/>
            <w:vAlign w:val="center"/>
          </w:tcPr>
          <w:p w14:paraId="77EDD481">
            <w:pPr>
              <w:widowControl/>
              <w:spacing w:line="240" w:lineRule="exact"/>
              <w:ind w:firstLine="0" w:firstLineChars="0"/>
              <w:rPr>
                <w:rFonts w:ascii="Times New Roman" w:hAnsi="Times New Roman" w:eastAsia="方正黑体_GBK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kern w:val="0"/>
                <w:sz w:val="24"/>
              </w:rPr>
              <w:t>地区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7E9B6EAB"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kern w:val="0"/>
                <w:sz w:val="24"/>
              </w:rPr>
              <w:t>园区名称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2F374544"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kern w:val="0"/>
                <w:sz w:val="24"/>
              </w:rPr>
              <w:t>园区类型</w:t>
            </w:r>
          </w:p>
        </w:tc>
        <w:tc>
          <w:tcPr>
            <w:tcW w:w="533" w:type="pct"/>
            <w:shd w:val="clear" w:color="auto" w:fill="auto"/>
            <w:vAlign w:val="center"/>
          </w:tcPr>
          <w:p w14:paraId="71A2D5CA"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kern w:val="0"/>
                <w:sz w:val="24"/>
              </w:rPr>
              <w:t>园区基本概况（不超过400字）</w:t>
            </w:r>
          </w:p>
        </w:tc>
        <w:tc>
          <w:tcPr>
            <w:tcW w:w="728" w:type="pct"/>
            <w:shd w:val="clear" w:color="auto" w:fill="auto"/>
            <w:vAlign w:val="center"/>
          </w:tcPr>
          <w:p w14:paraId="502363E3"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kern w:val="0"/>
                <w:sz w:val="24"/>
              </w:rPr>
              <w:t>对绿色工业园区建设或改造开展的工作、取得的成效和未来三年改造计划等进行简要叙述（不超过400字）</w:t>
            </w:r>
          </w:p>
        </w:tc>
        <w:tc>
          <w:tcPr>
            <w:tcW w:w="362" w:type="pct"/>
            <w:shd w:val="clear" w:color="auto" w:fill="auto"/>
            <w:vAlign w:val="center"/>
          </w:tcPr>
          <w:p w14:paraId="0F09D57D"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kern w:val="0"/>
                <w:sz w:val="24"/>
              </w:rPr>
              <w:t>获得过的省级以上荣誉</w:t>
            </w:r>
          </w:p>
        </w:tc>
        <w:tc>
          <w:tcPr>
            <w:tcW w:w="477" w:type="pct"/>
            <w:shd w:val="clear" w:color="auto" w:fill="auto"/>
            <w:vAlign w:val="center"/>
          </w:tcPr>
          <w:p w14:paraId="5A67C614"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kern w:val="0"/>
                <w:sz w:val="24"/>
              </w:rPr>
              <w:t>在同类型园区中的排名情况</w:t>
            </w:r>
          </w:p>
        </w:tc>
        <w:tc>
          <w:tcPr>
            <w:tcW w:w="513" w:type="pct"/>
            <w:shd w:val="clear" w:color="auto" w:fill="auto"/>
            <w:vAlign w:val="center"/>
          </w:tcPr>
          <w:p w14:paraId="14CBAA24"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kern w:val="0"/>
                <w:sz w:val="24"/>
              </w:rPr>
              <w:t>园区工业增加值占比（%）</w:t>
            </w:r>
          </w:p>
        </w:tc>
        <w:tc>
          <w:tcPr>
            <w:tcW w:w="513" w:type="pct"/>
            <w:shd w:val="clear" w:color="auto" w:fill="auto"/>
            <w:vAlign w:val="center"/>
          </w:tcPr>
          <w:p w14:paraId="24FE85DC"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kern w:val="0"/>
                <w:sz w:val="24"/>
              </w:rPr>
              <w:t>园区亩均税收（万元/亩）</w:t>
            </w:r>
          </w:p>
        </w:tc>
        <w:tc>
          <w:tcPr>
            <w:tcW w:w="513" w:type="pct"/>
            <w:vAlign w:val="center"/>
          </w:tcPr>
          <w:p w14:paraId="6A048F6A"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kern w:val="0"/>
                <w:sz w:val="24"/>
              </w:rPr>
              <w:t>园区内企业数量</w:t>
            </w:r>
          </w:p>
        </w:tc>
        <w:tc>
          <w:tcPr>
            <w:tcW w:w="514" w:type="pct"/>
            <w:shd w:val="clear" w:color="auto" w:fill="auto"/>
            <w:vAlign w:val="center"/>
          </w:tcPr>
          <w:p w14:paraId="298C6F5B">
            <w:pPr>
              <w:widowControl/>
              <w:spacing w:line="240" w:lineRule="exact"/>
              <w:ind w:firstLine="0" w:firstLineChars="0"/>
              <w:jc w:val="center"/>
              <w:rPr>
                <w:rFonts w:ascii="Times New Roman" w:hAnsi="Times New Roman" w:eastAsia="方正黑体_GBK"/>
                <w:kern w:val="0"/>
                <w:sz w:val="24"/>
              </w:rPr>
            </w:pPr>
            <w:r>
              <w:rPr>
                <w:rFonts w:ascii="Times New Roman" w:hAnsi="Times New Roman" w:eastAsia="方正黑体_GBK"/>
                <w:kern w:val="0"/>
                <w:sz w:val="24"/>
              </w:rPr>
              <w:t>园区内绿色工厂名单（省级以上）</w:t>
            </w:r>
          </w:p>
        </w:tc>
      </w:tr>
      <w:tr w14:paraId="663FC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78" w:type="pct"/>
            <w:shd w:val="clear" w:color="auto" w:fill="auto"/>
          </w:tcPr>
          <w:p w14:paraId="3033BEAB">
            <w:pPr>
              <w:spacing w:line="590" w:lineRule="exact"/>
              <w:ind w:firstLine="48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81" w:type="pct"/>
            <w:shd w:val="clear" w:color="auto" w:fill="auto"/>
          </w:tcPr>
          <w:p w14:paraId="751C7D69">
            <w:pPr>
              <w:spacing w:line="590" w:lineRule="exact"/>
              <w:ind w:firstLine="48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241" w:type="pct"/>
            <w:shd w:val="clear" w:color="auto" w:fill="auto"/>
          </w:tcPr>
          <w:p w14:paraId="20849D84">
            <w:pPr>
              <w:spacing w:line="590" w:lineRule="exact"/>
              <w:ind w:firstLine="48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241" w:type="pct"/>
            <w:shd w:val="clear" w:color="auto" w:fill="auto"/>
          </w:tcPr>
          <w:p w14:paraId="0D09D6D3">
            <w:pPr>
              <w:spacing w:line="590" w:lineRule="exact"/>
              <w:ind w:firstLine="48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533" w:type="pct"/>
            <w:shd w:val="clear" w:color="auto" w:fill="auto"/>
          </w:tcPr>
          <w:p w14:paraId="46B30BEF">
            <w:pPr>
              <w:spacing w:line="590" w:lineRule="exact"/>
              <w:ind w:firstLine="48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728" w:type="pct"/>
            <w:shd w:val="clear" w:color="auto" w:fill="auto"/>
          </w:tcPr>
          <w:p w14:paraId="0E50E770">
            <w:pPr>
              <w:spacing w:line="590" w:lineRule="exact"/>
              <w:ind w:firstLine="48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362" w:type="pct"/>
            <w:shd w:val="clear" w:color="auto" w:fill="auto"/>
          </w:tcPr>
          <w:p w14:paraId="7540ACED">
            <w:pPr>
              <w:spacing w:line="590" w:lineRule="exact"/>
              <w:ind w:firstLine="48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477" w:type="pct"/>
            <w:shd w:val="clear" w:color="auto" w:fill="auto"/>
          </w:tcPr>
          <w:p w14:paraId="5CF7495C">
            <w:pPr>
              <w:spacing w:line="590" w:lineRule="exact"/>
              <w:ind w:firstLine="48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513" w:type="pct"/>
            <w:shd w:val="clear" w:color="auto" w:fill="auto"/>
          </w:tcPr>
          <w:p w14:paraId="1DDFB94E">
            <w:pPr>
              <w:spacing w:line="590" w:lineRule="exact"/>
              <w:ind w:firstLine="48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513" w:type="pct"/>
            <w:shd w:val="clear" w:color="auto" w:fill="auto"/>
          </w:tcPr>
          <w:p w14:paraId="7F1AB242">
            <w:pPr>
              <w:spacing w:line="590" w:lineRule="exact"/>
              <w:ind w:firstLine="48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513" w:type="pct"/>
          </w:tcPr>
          <w:p w14:paraId="6CF0C7EB">
            <w:pPr>
              <w:spacing w:line="590" w:lineRule="exact"/>
              <w:ind w:firstLine="48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514" w:type="pct"/>
            <w:shd w:val="clear" w:color="auto" w:fill="auto"/>
          </w:tcPr>
          <w:p w14:paraId="473FD087">
            <w:pPr>
              <w:spacing w:line="590" w:lineRule="exact"/>
              <w:ind w:firstLine="48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29379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78" w:type="pct"/>
            <w:shd w:val="clear" w:color="auto" w:fill="auto"/>
          </w:tcPr>
          <w:p w14:paraId="4ADC7851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81" w:type="pct"/>
            <w:shd w:val="clear" w:color="auto" w:fill="auto"/>
          </w:tcPr>
          <w:p w14:paraId="12056AA8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241" w:type="pct"/>
            <w:shd w:val="clear" w:color="auto" w:fill="auto"/>
          </w:tcPr>
          <w:p w14:paraId="1733C21B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241" w:type="pct"/>
            <w:shd w:val="clear" w:color="auto" w:fill="auto"/>
          </w:tcPr>
          <w:p w14:paraId="619EDE3A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533" w:type="pct"/>
            <w:shd w:val="clear" w:color="auto" w:fill="auto"/>
          </w:tcPr>
          <w:p w14:paraId="5AF92CE9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728" w:type="pct"/>
            <w:shd w:val="clear" w:color="auto" w:fill="auto"/>
          </w:tcPr>
          <w:p w14:paraId="47ED10BE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362" w:type="pct"/>
            <w:shd w:val="clear" w:color="auto" w:fill="auto"/>
          </w:tcPr>
          <w:p w14:paraId="3C0964E7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477" w:type="pct"/>
            <w:shd w:val="clear" w:color="auto" w:fill="auto"/>
          </w:tcPr>
          <w:p w14:paraId="116EE693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513" w:type="pct"/>
            <w:shd w:val="clear" w:color="auto" w:fill="auto"/>
          </w:tcPr>
          <w:p w14:paraId="75F60BB7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513" w:type="pct"/>
            <w:shd w:val="clear" w:color="auto" w:fill="auto"/>
          </w:tcPr>
          <w:p w14:paraId="786A45D5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513" w:type="pct"/>
          </w:tcPr>
          <w:p w14:paraId="35F3AE49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514" w:type="pct"/>
            <w:shd w:val="clear" w:color="auto" w:fill="auto"/>
          </w:tcPr>
          <w:p w14:paraId="09C3E317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</w:tr>
      <w:tr w14:paraId="5B9EF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78" w:type="pct"/>
            <w:shd w:val="clear" w:color="auto" w:fill="auto"/>
          </w:tcPr>
          <w:p w14:paraId="011DB28A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81" w:type="pct"/>
            <w:shd w:val="clear" w:color="auto" w:fill="auto"/>
          </w:tcPr>
          <w:p w14:paraId="318C42ED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241" w:type="pct"/>
            <w:shd w:val="clear" w:color="auto" w:fill="auto"/>
          </w:tcPr>
          <w:p w14:paraId="49277584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241" w:type="pct"/>
            <w:shd w:val="clear" w:color="auto" w:fill="auto"/>
          </w:tcPr>
          <w:p w14:paraId="27ECAB18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533" w:type="pct"/>
            <w:shd w:val="clear" w:color="auto" w:fill="auto"/>
          </w:tcPr>
          <w:p w14:paraId="1AC3801F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728" w:type="pct"/>
            <w:shd w:val="clear" w:color="auto" w:fill="auto"/>
          </w:tcPr>
          <w:p w14:paraId="4C106B3A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362" w:type="pct"/>
            <w:shd w:val="clear" w:color="auto" w:fill="auto"/>
          </w:tcPr>
          <w:p w14:paraId="42548762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477" w:type="pct"/>
            <w:shd w:val="clear" w:color="auto" w:fill="auto"/>
          </w:tcPr>
          <w:p w14:paraId="47F8825D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513" w:type="pct"/>
            <w:shd w:val="clear" w:color="auto" w:fill="auto"/>
          </w:tcPr>
          <w:p w14:paraId="5C8AE738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513" w:type="pct"/>
            <w:shd w:val="clear" w:color="auto" w:fill="auto"/>
          </w:tcPr>
          <w:p w14:paraId="411B404E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513" w:type="pct"/>
          </w:tcPr>
          <w:p w14:paraId="7FC4925F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514" w:type="pct"/>
            <w:shd w:val="clear" w:color="auto" w:fill="auto"/>
          </w:tcPr>
          <w:p w14:paraId="346E53B4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</w:tr>
      <w:tr w14:paraId="06B5A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178" w:type="pct"/>
            <w:shd w:val="clear" w:color="auto" w:fill="auto"/>
          </w:tcPr>
          <w:p w14:paraId="3F010F5E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81" w:type="pct"/>
            <w:shd w:val="clear" w:color="auto" w:fill="auto"/>
          </w:tcPr>
          <w:p w14:paraId="410EC5C0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241" w:type="pct"/>
            <w:shd w:val="clear" w:color="auto" w:fill="auto"/>
          </w:tcPr>
          <w:p w14:paraId="4A96E88D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241" w:type="pct"/>
            <w:shd w:val="clear" w:color="auto" w:fill="auto"/>
          </w:tcPr>
          <w:p w14:paraId="67B6580E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533" w:type="pct"/>
            <w:shd w:val="clear" w:color="auto" w:fill="auto"/>
          </w:tcPr>
          <w:p w14:paraId="31070E50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728" w:type="pct"/>
            <w:shd w:val="clear" w:color="auto" w:fill="auto"/>
          </w:tcPr>
          <w:p w14:paraId="5B25ACF9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362" w:type="pct"/>
            <w:shd w:val="clear" w:color="auto" w:fill="auto"/>
          </w:tcPr>
          <w:p w14:paraId="5C0D867E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477" w:type="pct"/>
            <w:shd w:val="clear" w:color="auto" w:fill="auto"/>
          </w:tcPr>
          <w:p w14:paraId="134007B7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513" w:type="pct"/>
            <w:shd w:val="clear" w:color="auto" w:fill="auto"/>
          </w:tcPr>
          <w:p w14:paraId="112FAFBE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513" w:type="pct"/>
            <w:shd w:val="clear" w:color="auto" w:fill="auto"/>
          </w:tcPr>
          <w:p w14:paraId="7E61A83C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513" w:type="pct"/>
          </w:tcPr>
          <w:p w14:paraId="4C321848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514" w:type="pct"/>
            <w:shd w:val="clear" w:color="auto" w:fill="auto"/>
          </w:tcPr>
          <w:p w14:paraId="7A0E9040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</w:tr>
      <w:tr w14:paraId="50D8D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78" w:type="pct"/>
            <w:shd w:val="clear" w:color="auto" w:fill="auto"/>
          </w:tcPr>
          <w:p w14:paraId="49054506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81" w:type="pct"/>
            <w:shd w:val="clear" w:color="auto" w:fill="auto"/>
          </w:tcPr>
          <w:p w14:paraId="0E2D39D8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241" w:type="pct"/>
            <w:shd w:val="clear" w:color="auto" w:fill="auto"/>
          </w:tcPr>
          <w:p w14:paraId="053EC954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241" w:type="pct"/>
            <w:shd w:val="clear" w:color="auto" w:fill="auto"/>
          </w:tcPr>
          <w:p w14:paraId="64A03C3B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533" w:type="pct"/>
            <w:shd w:val="clear" w:color="auto" w:fill="auto"/>
          </w:tcPr>
          <w:p w14:paraId="526CA354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728" w:type="pct"/>
            <w:shd w:val="clear" w:color="auto" w:fill="auto"/>
          </w:tcPr>
          <w:p w14:paraId="2292A846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362" w:type="pct"/>
            <w:shd w:val="clear" w:color="auto" w:fill="auto"/>
          </w:tcPr>
          <w:p w14:paraId="1C6DA8BA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477" w:type="pct"/>
            <w:shd w:val="clear" w:color="auto" w:fill="auto"/>
          </w:tcPr>
          <w:p w14:paraId="37E509A6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513" w:type="pct"/>
            <w:shd w:val="clear" w:color="auto" w:fill="auto"/>
          </w:tcPr>
          <w:p w14:paraId="583ABEE4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513" w:type="pct"/>
            <w:shd w:val="clear" w:color="auto" w:fill="auto"/>
          </w:tcPr>
          <w:p w14:paraId="443F976C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513" w:type="pct"/>
          </w:tcPr>
          <w:p w14:paraId="659C6DD7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514" w:type="pct"/>
            <w:shd w:val="clear" w:color="auto" w:fill="auto"/>
          </w:tcPr>
          <w:p w14:paraId="5F315F86">
            <w:pPr>
              <w:spacing w:line="590" w:lineRule="exact"/>
              <w:ind w:firstLine="640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</w:tr>
    </w:tbl>
    <w:p w14:paraId="2F231DC8">
      <w:pPr>
        <w:adjustRightInd w:val="0"/>
        <w:snapToGrid w:val="0"/>
        <w:spacing w:line="240" w:lineRule="auto"/>
        <w:ind w:firstLine="0" w:firstLineChars="0"/>
        <w:rPr>
          <w:rFonts w:ascii="Times New Roman" w:hAnsi="Times New Roman" w:eastAsia="方正仿宋_GBK"/>
          <w:kern w:val="0"/>
          <w:sz w:val="28"/>
          <w:szCs w:val="28"/>
        </w:rPr>
      </w:pPr>
      <w:r>
        <w:rPr>
          <w:rFonts w:hint="eastAsia" w:ascii="方正仿宋_GBK" w:hAnsi="Times New Roman" w:eastAsia="方正仿宋_GBK"/>
          <w:b/>
          <w:bCs/>
          <w:kern w:val="0"/>
          <w:sz w:val="28"/>
          <w:szCs w:val="28"/>
        </w:rPr>
        <w:t>注：</w:t>
      </w:r>
      <w:r>
        <w:rPr>
          <w:rFonts w:hint="eastAsia" w:ascii="Times New Roman" w:hAnsi="Times New Roman" w:cs="宋体"/>
          <w:kern w:val="0"/>
          <w:sz w:val="28"/>
          <w:szCs w:val="28"/>
        </w:rPr>
        <w:t>①</w:t>
      </w:r>
      <w:r>
        <w:rPr>
          <w:rFonts w:ascii="Times New Roman" w:hAnsi="Times New Roman" w:eastAsia="方正仿宋_GBK"/>
          <w:kern w:val="0"/>
          <w:sz w:val="28"/>
          <w:szCs w:val="28"/>
        </w:rPr>
        <w:t>有关指标指（202</w:t>
      </w:r>
      <w:r>
        <w:rPr>
          <w:rFonts w:hint="eastAsia" w:ascii="Times New Roman" w:hAnsi="Times New Roman" w:eastAsia="方正仿宋_GBK"/>
          <w:kern w:val="0"/>
          <w:sz w:val="28"/>
          <w:szCs w:val="28"/>
          <w:lang w:val="en-US" w:eastAsia="zh-CN"/>
        </w:rPr>
        <w:t>4</w:t>
      </w:r>
      <w:r>
        <w:rPr>
          <w:rFonts w:ascii="Times New Roman" w:hAnsi="Times New Roman" w:eastAsia="方正仿宋_GBK"/>
          <w:kern w:val="0"/>
          <w:sz w:val="28"/>
          <w:szCs w:val="28"/>
        </w:rPr>
        <w:t>-202</w:t>
      </w:r>
      <w:r>
        <w:rPr>
          <w:rFonts w:hint="eastAsia" w:ascii="Times New Roman" w:hAnsi="Times New Roman" w:eastAsia="方正仿宋_GBK"/>
          <w:kern w:val="0"/>
          <w:sz w:val="28"/>
          <w:szCs w:val="28"/>
          <w:lang w:val="en-US" w:eastAsia="zh-CN"/>
        </w:rPr>
        <w:t>6</w:t>
      </w:r>
      <w:bookmarkStart w:id="0" w:name="_GoBack"/>
      <w:bookmarkEnd w:id="0"/>
      <w:r>
        <w:rPr>
          <w:rFonts w:ascii="Times New Roman" w:hAnsi="Times New Roman" w:eastAsia="方正仿宋_GBK"/>
          <w:kern w:val="0"/>
          <w:sz w:val="28"/>
          <w:szCs w:val="28"/>
        </w:rPr>
        <w:t>）年平均数据。</w:t>
      </w:r>
    </w:p>
    <w:p w14:paraId="1398FFF9">
      <w:pPr>
        <w:widowControl/>
        <w:adjustRightInd w:val="0"/>
        <w:snapToGrid w:val="0"/>
        <w:spacing w:line="240" w:lineRule="auto"/>
        <w:ind w:firstLine="560"/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cs="宋体"/>
          <w:kern w:val="0"/>
          <w:sz w:val="28"/>
          <w:szCs w:val="28"/>
        </w:rPr>
        <w:t>②</w:t>
      </w:r>
      <w:r>
        <w:rPr>
          <w:rFonts w:ascii="Times New Roman" w:hAnsi="Times New Roman" w:eastAsia="方正仿宋_GBK"/>
          <w:kern w:val="0"/>
          <w:sz w:val="28"/>
          <w:szCs w:val="28"/>
        </w:rPr>
        <w:t>汇总表填写内容要与评价报告相一致，发现并经核实存在弄虚作假行为的取消绿色工业园区遴选资格。</w:t>
      </w:r>
    </w:p>
    <w:p w14:paraId="281DDFB6">
      <w:pPr>
        <w:spacing w:line="580" w:lineRule="exact"/>
        <w:ind w:firstLine="0" w:firstLineChars="0"/>
        <w:rPr>
          <w:rFonts w:ascii="Times New Roman" w:hAnsi="Times New Roman" w:eastAsia="黑体"/>
          <w:sz w:val="32"/>
          <w:szCs w:val="32"/>
        </w:rPr>
      </w:pPr>
    </w:p>
    <w:p w14:paraId="6D02C132">
      <w:pPr>
        <w:adjustRightInd w:val="0"/>
        <w:snapToGrid w:val="0"/>
        <w:spacing w:line="240" w:lineRule="auto"/>
        <w:ind w:firstLine="0" w:firstLineChars="0"/>
        <w:jc w:val="both"/>
        <w:rPr>
          <w:rFonts w:ascii="Times New Roman" w:hAnsi="Times New Roman" w:eastAsia="方正黑体_GBK"/>
          <w:sz w:val="32"/>
          <w:szCs w:val="32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6838" w:h="11906" w:orient="landscape"/>
      <w:pgMar w:top="1531" w:right="1701" w:bottom="1531" w:left="1701" w:header="851" w:footer="992" w:gutter="0"/>
      <w:pgNumType w:start="41"/>
      <w:cols w:space="425" w:num="1"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AEA2B6">
    <w:pPr>
      <w:pStyle w:val="3"/>
      <w:ind w:firstLine="360" w:firstLineChars="0"/>
      <w:jc w:val="center"/>
      <w:rPr>
        <w:rFonts w:ascii="Times New Roman" w:hAnsi="Times New Roman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id w:val="147467994"/>
                          </w:sdtPr>
                          <w:sdtEndP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sdtEndPr>
                          <w:sdtContent>
                            <w:p w14:paraId="5A87156A">
                              <w:pPr>
                                <w:pStyle w:val="3"/>
                                <w:ind w:firstLine="360" w:firstLineChars="0"/>
                                <w:jc w:val="center"/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 xml:space="preserve">— </w:t>
                              </w:r>
                              <w:r>
                                <w:rPr>
                                  <w:rFonts w:hint="default" w:ascii="Times New Roman" w:hAnsi="Times New Roman"/>
                                  <w:sz w:val="28"/>
                                  <w:szCs w:val="28"/>
                                  <w:lang w:val="en"/>
                                </w:rPr>
                                <w:t>42</w:t>
                              </w:r>
                              <w:r>
                                <w:rPr>
                                  <w:rFonts w:ascii="Times New Roman" w:hAnsi="Times New Roman"/>
                                  <w:sz w:val="28"/>
                                  <w:szCs w:val="28"/>
                                </w:rPr>
                                <w:t xml:space="preserve"> —</w:t>
                              </w:r>
                            </w:p>
                          </w:sdtContent>
                        </w:sdt>
                        <w:p w14:paraId="098357B1">
                          <w:pPr>
                            <w:ind w:firstLine="560"/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LRDXfX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47467994"/>
                    </w:sdtPr>
                    <w:sdtEndPr>
                      <w:rPr>
                        <w:rFonts w:ascii="Times New Roman" w:hAnsi="Times New Roman"/>
                        <w:sz w:val="28"/>
                        <w:szCs w:val="28"/>
                      </w:rPr>
                    </w:sdtEndPr>
                    <w:sdtContent>
                      <w:p w14:paraId="5A87156A">
                        <w:pPr>
                          <w:pStyle w:val="3"/>
                          <w:ind w:firstLine="360" w:firstLineChars="0"/>
                          <w:jc w:val="center"/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— </w:t>
                        </w:r>
                        <w:r>
                          <w:rPr>
                            <w:rFonts w:hint="default" w:ascii="Times New Roman" w:hAnsi="Times New Roman"/>
                            <w:sz w:val="28"/>
                            <w:szCs w:val="28"/>
                            <w:lang w:val="en"/>
                          </w:rPr>
                          <w:t>42</w:t>
                        </w:r>
                        <w:r>
                          <w:rPr>
                            <w:rFonts w:ascii="Times New Roman" w:hAnsi="Times New Roman"/>
                            <w:sz w:val="28"/>
                            <w:szCs w:val="28"/>
                          </w:rPr>
                          <w:t xml:space="preserve"> —</w:t>
                        </w:r>
                      </w:p>
                    </w:sdtContent>
                  </w:sdt>
                  <w:p w14:paraId="098357B1">
                    <w:pPr>
                      <w:ind w:firstLine="560"/>
                      <w:rPr>
                        <w:rFonts w:ascii="Times New Roman" w:hAnsi="Times New Roman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64BC82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39DB91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1F7E27">
    <w:pPr>
      <w:pStyle w:val="4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4D291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0BD430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7D2"/>
    <w:rsid w:val="00011051"/>
    <w:rsid w:val="00036CB3"/>
    <w:rsid w:val="00072888"/>
    <w:rsid w:val="00104106"/>
    <w:rsid w:val="00116A07"/>
    <w:rsid w:val="00122B89"/>
    <w:rsid w:val="00171682"/>
    <w:rsid w:val="001E4FD0"/>
    <w:rsid w:val="001F1A9B"/>
    <w:rsid w:val="001F6C6B"/>
    <w:rsid w:val="00214970"/>
    <w:rsid w:val="00245AF7"/>
    <w:rsid w:val="002C49CF"/>
    <w:rsid w:val="002E0111"/>
    <w:rsid w:val="00313819"/>
    <w:rsid w:val="0038648E"/>
    <w:rsid w:val="00395F14"/>
    <w:rsid w:val="003A6131"/>
    <w:rsid w:val="003C4A4D"/>
    <w:rsid w:val="004E4F22"/>
    <w:rsid w:val="00544186"/>
    <w:rsid w:val="005564EB"/>
    <w:rsid w:val="005637D2"/>
    <w:rsid w:val="0058328A"/>
    <w:rsid w:val="005967A4"/>
    <w:rsid w:val="005D02AE"/>
    <w:rsid w:val="005D4193"/>
    <w:rsid w:val="005F6E6F"/>
    <w:rsid w:val="00677A5D"/>
    <w:rsid w:val="006E1D94"/>
    <w:rsid w:val="006E3B23"/>
    <w:rsid w:val="00777A30"/>
    <w:rsid w:val="007D36A4"/>
    <w:rsid w:val="00945B1D"/>
    <w:rsid w:val="009D3A41"/>
    <w:rsid w:val="00A71C1A"/>
    <w:rsid w:val="00A75ABE"/>
    <w:rsid w:val="00B21EFC"/>
    <w:rsid w:val="00B87852"/>
    <w:rsid w:val="00BA535C"/>
    <w:rsid w:val="00BB74C6"/>
    <w:rsid w:val="00BD10A4"/>
    <w:rsid w:val="00BD22DE"/>
    <w:rsid w:val="00CD6AE5"/>
    <w:rsid w:val="00CE38C7"/>
    <w:rsid w:val="00DB1BC7"/>
    <w:rsid w:val="00DC3846"/>
    <w:rsid w:val="00E437E2"/>
    <w:rsid w:val="00EF5CE5"/>
    <w:rsid w:val="00F65FAE"/>
    <w:rsid w:val="00FA08A3"/>
    <w:rsid w:val="00FA47D2"/>
    <w:rsid w:val="00FE1A72"/>
    <w:rsid w:val="043B42EE"/>
    <w:rsid w:val="12E4180D"/>
    <w:rsid w:val="13726A12"/>
    <w:rsid w:val="16D57191"/>
    <w:rsid w:val="19502AFF"/>
    <w:rsid w:val="1F02211F"/>
    <w:rsid w:val="219D3B6E"/>
    <w:rsid w:val="22433200"/>
    <w:rsid w:val="23867849"/>
    <w:rsid w:val="2443573A"/>
    <w:rsid w:val="35357321"/>
    <w:rsid w:val="37EE2566"/>
    <w:rsid w:val="38774982"/>
    <w:rsid w:val="3A663AD8"/>
    <w:rsid w:val="3AF47A4B"/>
    <w:rsid w:val="52536A27"/>
    <w:rsid w:val="552F5EF1"/>
    <w:rsid w:val="57873A2A"/>
    <w:rsid w:val="5B1C4013"/>
    <w:rsid w:val="602D7DC9"/>
    <w:rsid w:val="6300421A"/>
    <w:rsid w:val="6B99520C"/>
    <w:rsid w:val="759F9C15"/>
    <w:rsid w:val="7A942B92"/>
    <w:rsid w:val="7C8748D9"/>
    <w:rsid w:val="7E5F4093"/>
    <w:rsid w:val="7FE67B7B"/>
    <w:rsid w:val="7FFB55C4"/>
    <w:rsid w:val="ED9B1A32"/>
    <w:rsid w:val="FD4EBA48"/>
    <w:rsid w:val="FF2D20B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Arial" w:hAnsi="Arial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44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pPr>
      <w:widowControl w:val="0"/>
      <w:jc w:val="both"/>
    </w:pPr>
    <w:rPr>
      <w:rFonts w:ascii="等线" w:hAnsi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semiHidden/>
    <w:unhideWhenUsed/>
    <w:qFormat/>
    <w:uiPriority w:val="99"/>
    <w:rPr>
      <w:color w:val="800080"/>
      <w:u w:val="single"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sz w:val="18"/>
      <w:szCs w:val="18"/>
    </w:rPr>
  </w:style>
  <w:style w:type="table" w:customStyle="1" w:styleId="12">
    <w:name w:val="网格型1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3">
    <w:name w:val="font5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4">
    <w:name w:val="font6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5">
    <w:name w:val="font7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6">
    <w:name w:val="font8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等线" w:hAnsi="等线" w:cs="宋体"/>
      <w:kern w:val="0"/>
      <w:sz w:val="18"/>
      <w:szCs w:val="18"/>
    </w:rPr>
  </w:style>
  <w:style w:type="paragraph" w:customStyle="1" w:styleId="17">
    <w:name w:val="font9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 w:val="22"/>
      <w:szCs w:val="22"/>
    </w:rPr>
  </w:style>
  <w:style w:type="paragraph" w:customStyle="1" w:styleId="18">
    <w:name w:val="font10"/>
    <w:basedOn w:val="1"/>
    <w:qFormat/>
    <w:uiPriority w:val="0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19">
    <w:name w:val="xl70"/>
    <w:basedOn w:val="1"/>
    <w:qFormat/>
    <w:uiPriority w:val="0"/>
    <w:pPr>
      <w:widowControl/>
      <w:pBdr>
        <w:bottom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黑体" w:hAnsi="黑体" w:eastAsia="黑体" w:cs="宋体"/>
      <w:kern w:val="0"/>
      <w:sz w:val="32"/>
      <w:szCs w:val="32"/>
    </w:rPr>
  </w:style>
  <w:style w:type="paragraph" w:customStyle="1" w:styleId="20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21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b/>
      <w:bCs/>
      <w:kern w:val="0"/>
      <w:sz w:val="24"/>
    </w:rPr>
  </w:style>
  <w:style w:type="paragraph" w:customStyle="1" w:styleId="22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23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color w:val="000000"/>
      <w:kern w:val="0"/>
      <w:sz w:val="24"/>
    </w:rPr>
  </w:style>
  <w:style w:type="paragraph" w:customStyle="1" w:styleId="24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25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color w:val="000000"/>
      <w:kern w:val="0"/>
      <w:sz w:val="24"/>
    </w:rPr>
  </w:style>
  <w:style w:type="paragraph" w:customStyle="1" w:styleId="26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27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28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29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0">
    <w:name w:val="xl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1">
    <w:name w:val="xl8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color w:val="000000"/>
      <w:kern w:val="0"/>
      <w:sz w:val="24"/>
    </w:rPr>
  </w:style>
  <w:style w:type="paragraph" w:customStyle="1" w:styleId="32">
    <w:name w:val="xl8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3">
    <w:name w:val="xl8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4">
    <w:name w:val="xl8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color w:val="000000"/>
      <w:kern w:val="0"/>
      <w:sz w:val="24"/>
    </w:rPr>
  </w:style>
  <w:style w:type="paragraph" w:customStyle="1" w:styleId="35">
    <w:name w:val="xl8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新宋体" w:hAnsi="新宋体" w:eastAsia="新宋体" w:cs="宋体"/>
      <w:kern w:val="0"/>
      <w:sz w:val="24"/>
    </w:rPr>
  </w:style>
  <w:style w:type="paragraph" w:customStyle="1" w:styleId="36">
    <w:name w:val="xl8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7">
    <w:name w:val="xl8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8">
    <w:name w:val="xl8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39">
    <w:name w:val="xl9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40">
    <w:name w:val="xl9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黑体" w:hAnsi="黑体" w:eastAsia="黑体" w:cs="宋体"/>
      <w:kern w:val="0"/>
      <w:sz w:val="24"/>
    </w:rPr>
  </w:style>
  <w:style w:type="paragraph" w:customStyle="1" w:styleId="41">
    <w:name w:val="xl9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黑体" w:hAnsi="黑体" w:eastAsia="黑体" w:cs="宋体"/>
      <w:kern w:val="0"/>
      <w:sz w:val="24"/>
    </w:rPr>
  </w:style>
  <w:style w:type="paragraph" w:customStyle="1" w:styleId="42">
    <w:name w:val="xl6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43">
    <w:name w:val="xl6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firstLine="0" w:firstLineChars="0"/>
      <w:jc w:val="center"/>
      <w:textAlignment w:val="center"/>
    </w:pPr>
    <w:rPr>
      <w:rFonts w:ascii="宋体" w:hAnsi="宋体" w:cs="宋体"/>
      <w:b/>
      <w:bCs/>
      <w:kern w:val="0"/>
      <w:sz w:val="24"/>
    </w:rPr>
  </w:style>
  <w:style w:type="character" w:customStyle="1" w:styleId="44">
    <w:name w:val="批注框文本 Char"/>
    <w:basedOn w:val="7"/>
    <w:link w:val="2"/>
    <w:semiHidden/>
    <w:qFormat/>
    <w:uiPriority w:val="99"/>
    <w:rPr>
      <w:rFonts w:ascii="Arial" w:hAnsi="Arial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221</Words>
  <Characters>236</Characters>
  <Lines>5</Lines>
  <Paragraphs>1</Paragraphs>
  <TotalTime>6</TotalTime>
  <ScaleCrop>false</ScaleCrop>
  <LinksUpToDate>false</LinksUpToDate>
  <CharactersWithSpaces>236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2023-12-20T18:25:00Z</dcterms:created>
  <dc:creator>lenovo</dc:creator>
  <cp:lastModifiedBy>Wangyan江苏</cp:lastModifiedBy>
  <cp:lastPrinted>2025-02-18T18:17:00Z</cp:lastPrinted>
  <dcterms:modified xsi:type="dcterms:W3CDTF">2026-10-30T07:44:11Z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eyJoZGlkIjoiZDM2NzEwYmQ0OWFiNjUyMjYwZTdiODBkMDU3MjhhZDYiLCJ1c2VySWQiOiI0Mzg2NjQ3NTYifQ==</vt:lpwstr>
  </property>
  <property fmtid="{D5CDD505-2E9C-101B-9397-08002B2CF9AE}" pid="3" name="KSOProductBuildVer">
    <vt:lpwstr>2052-12.1.0.29161</vt:lpwstr>
  </property>
  <property fmtid="{D5CDD505-2E9C-101B-9397-08002B2CF9AE}" pid="4" name="ICV">
    <vt:lpwstr>1A46DD36C7E84B6692713057599BEC90_12</vt:lpwstr>
  </property>
</Properties>
</file>