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0"/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附件</w:t>
      </w:r>
    </w:p>
    <w:p>
      <w:pPr>
        <w:jc w:val="center"/>
        <w:rPr>
          <w:rFonts w:hint="eastAsia" w:ascii="Times New Roman" w:hAnsi="Times New Roman" w:eastAsia="方正小标宋_GBK" w:cs="Times New Roman"/>
          <w:color w:val="FF0000"/>
          <w:sz w:val="44"/>
        </w:rPr>
      </w:pPr>
      <w:r>
        <w:rPr>
          <w:rFonts w:hint="eastAsia"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202</w:t>
      </w:r>
      <w:bookmarkStart w:id="0" w:name="_GoBack"/>
      <w:r>
        <w:rPr>
          <w:rFonts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工业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信息</w:t>
      </w:r>
      <w:r>
        <w:rPr>
          <w:rFonts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安全防护星级企业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公示</w:t>
      </w:r>
      <w:r>
        <w:rPr>
          <w:rFonts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名</w:t>
      </w:r>
      <w:bookmarkEnd w:id="0"/>
      <w:r>
        <w:rPr>
          <w:rFonts w:ascii="Times New Roman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单</w:t>
      </w:r>
    </w:p>
    <w:p>
      <w:pPr>
        <w:jc w:val="center"/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（新培育</w:t>
      </w:r>
      <w:r>
        <w:rPr>
          <w:rFonts w:hint="eastAsia"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176</w:t>
      </w:r>
      <w:r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家）</w:t>
      </w:r>
    </w:p>
    <w:tbl>
      <w:tblPr>
        <w:tblStyle w:val="11"/>
        <w:tblW w:w="0" w:type="auto"/>
        <w:tblInd w:w="1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5291"/>
        <w:gridCol w:w="1466"/>
        <w:gridCol w:w="11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805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0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291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2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0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466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2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0"/>
                <w14:textFill>
                  <w14:solidFill>
                    <w14:schemeClr w14:val="tx1"/>
                  </w14:solidFill>
                </w14:textFill>
              </w:rPr>
              <w:t>星级</w:t>
            </w:r>
          </w:p>
        </w:tc>
        <w:tc>
          <w:tcPr>
            <w:tcW w:w="1125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2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0"/>
                <w14:textFill>
                  <w14:solidFill>
                    <w14:schemeClr w14:val="tx1"/>
                  </w14:solidFill>
                </w14:textFill>
              </w:rPr>
              <w:t>设区市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华天科技（南京）有限公司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江苏芯德半导体科技股份有限公司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中建五洲工程装备有限公司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环宇集团（南京）有限公司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南京科润新材料技术有限公司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南京依维柯汽车有限公司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南京赫曦电气有限公司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南京科润工业介质股份有限公司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南京隼眼电子科技有限公司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南京精工新材料有限公司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江苏优智享智能制造有限公司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南京志卓电子科技有限公司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江苏可兰素环保科技有限公司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南京慧尔视智能科技有限公司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中电环保股份有限公司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江苏华玻光电技术有限公司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江苏中邦制药有限公司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芯爱科技（南京）有限公司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19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南京飞恩微电子有限公司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南京威尔药业科技有限公司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无锡小天鹅电器有限公司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无锡飞翎电子有限公司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无锡力芯微电子股份有限公司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无锡昆仑富士仪表有限公司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无锡红光微电子股份有限公司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无锡晶晟科技股份有限公司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无锡德力芯半导体科技有限公司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江苏北特汽车零部件有限公司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29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利纳马汽车系统（无锡）有限公司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确成硅化学股份有限公司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江苏斯普瑞科技有限公司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凯龙高科技股份有限公司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富士通将军中央空调（无锡）有限公司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建锠（中国）精密不锈钢科技有限公司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环晟光伏（江苏）有限公司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5291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大同机械科技（江苏）有限公司</w:t>
            </w:r>
          </w:p>
        </w:tc>
        <w:tc>
          <w:tcPr>
            <w:tcW w:w="146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无锡森锞精密机械有限公司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1"/>
                <w:szCs w:val="21"/>
              </w:rPr>
              <w:t>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升辉新材料股份有限公司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徐州徐工新能源动力科技有限公司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徐州信智科技有限公司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江苏华美热电有限公司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维维食品饮料股份有限公司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徐州徐工汽车制造有限公司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江苏协鑫硅材料科技发展有限公司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江苏中泓光电科技有限公司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江苏新氢动力科技有限公司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</w:trPr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江苏宁欣汽车零部件有限公司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江苏庆亚电子科技有限公司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江苏鹏泰电气有限公司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睢宁万丰天然气有限公司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宝钢轧辊科技有限责任公司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国能常州发电有限公司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亚东（常州）科技有限公司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常州移远通信技术有限公司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江苏海鋆自动化技术有限公司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江苏贝特瑞纳米科技有限公司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东方日升（江苏）新能源有限公司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江苏鑫和泰机械集团有限公司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新纶新能源材料（常州）有限公司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江苏嘉盛环境设备制造有限公司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常州同惠电子股份有限公司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格瑞海思人居环境科技（江苏）有限公司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苏州华兴源创科技股份有限公司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苏州瑞玛精密工业集团股份有限公司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环鸿电子（昆山）有限公司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苏州金猫咖啡有限公司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吴江市兰天织造有限公司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江苏亨通精密铜业有限公司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君威钢绳索具（江苏）有限公司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江苏爱朋医疗科技股份有限公司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南通凡尔胜机械有限公司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江苏宇迪光学股份有限公司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启东市通兴铸件厂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南通成德乳胶制品有限公司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上海鸿鑫船舶配件制造启东有限公司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南通林泰克斯新材料科技有限公司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江苏当升材料科技有限公司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江苏思维福特机械科技股份有限公司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江苏英杰光缆科技有限公司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江苏广承药业有限公司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南通市乐能电力有限公司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音户神商精工（南通）有限公司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南通三圣石墨设备科技股份有限公司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江苏鸿鼎地毯有限公司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爱思开希（南通）半导体材料有限公司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南通鋆鼎精密科技股份有限公司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南通大力化工设备有限公司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江苏双林海洋生物药业有限公司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启东乾朔电子有限公司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启东人和电动工具有限公司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恒悦（江苏）食品机械科技有限公司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江苏省镔鑫钢铁集团有限公司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江苏凯实金桥新材料有限公司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江苏亚邦华尔染料有限公司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连云港杜钟新奥神氨纶有限公司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江苏万航木业有限公司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淮安纵横生物科技有限公司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江苏纽泰格科技集团股份有限公司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盱眙天生服装有限公司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江苏邦宇薄膜技术有限公司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江苏信创连精密电子有限公司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华亿轴承科技（江苏）有限公司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盐城市联鑫钢铁有限公司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江苏剑牌农化科技有限公司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江苏清泉化学股份有限公司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江苏丰东热技术有限公司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江苏金韦尔机械有限公司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盐城凯利药业有限公司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盐城金刚星精密锻造有限公司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江苏八巨药业有限公司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江苏新化化工有限公司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江苏馨瑞香料有限公司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江苏博敏电子有限公司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中广核射阳洋马风力发电有限公司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江苏托普轮胎股份有限公司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江苏联环药业股份有限公司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扬州天启新材料股份有限公司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招商局金陵船舶（江苏）有限公司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亚新科凸轮轴（仪征）有限公司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扬州四新新材料科技股份有限公司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扬州坤达机械制造有限公司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江苏申辰通信技术有限公司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江苏金材科技有限公司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江苏日兴纳米材料科技有限公司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扬州中惠制药有限公司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扬州晶樱光电科技有限公司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江苏卡明模具有限公司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扬州华航特钢有限公司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江苏迅维电子科技有限公司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扬州市泽龙塑业有限公司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江苏老树宠物用品有限公司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扬州宏运车业有限公司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江苏金陵特种涂料有限公司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江苏竣业过程机械设备有限公司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江苏捷凯电力器材有限公司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扬州鑫宝利金属制品有限公司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扬州创盟自行车配件有限公司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扬州沃盛车业制造有限公司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扬州美邦工程材料有限公司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扬州太星金属焊割气有限公司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扬州万事达金属制品有限公司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江苏奔宇车身制造有限公司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江苏方正钢铁集团有限公司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扬州市岩特户外装备科技有限公司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扬州诺亚机械有限公司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江苏索普化工股份有限公司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镇江润晶高纯化工科技股份有限公司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威腾电气集团股份有限公司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江苏恒顺醋业股份有限公司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先尼科化工（泰兴）有限公司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江苏泰隆减速机(集团)股份有限公司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泰兴市永志电子器件有限公司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江苏云涌电子科技股份有限公司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创越新材料（泰州）有限公司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江苏常隆农化有限公司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江苏威鹰机械有限公司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江苏海宇机械有限公司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盛虹动能科技（泰州）有限公司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江苏九天光电科技有限公司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艾兰得营养品泰州有限公司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泰州衡川新能源材料科技有限公司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扬子江药业集团江苏制药股份有限公司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五行科技股份有限公司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一道新能源科技（泰州）有限公司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泰州市金鹰精密铸造有限公司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江苏民生重工有限公司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167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天合光能（宿迁）光电有限公司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168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天合光能（宿迁）科技有限公司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169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江苏德华纺织有限公司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170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江苏联康信息股份有限公司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171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江苏新源水务有限公司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172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南玻院（宿迁）新材料有限公司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173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浙江天能电池江苏新能源有限公司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174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浙江天能电池（江苏）有限公司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175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天能集团江苏科技有限公司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176</w:t>
            </w:r>
          </w:p>
        </w:tc>
        <w:tc>
          <w:tcPr>
            <w:tcW w:w="5291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常州皓鸣信息科技有限公司</w:t>
            </w:r>
          </w:p>
        </w:tc>
        <w:tc>
          <w:tcPr>
            <w:tcW w:w="14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增强级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</w:tbl>
    <w:p>
      <w:pPr>
        <w:widowControl/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jc w:val="center"/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（星级提升</w:t>
      </w:r>
      <w:r>
        <w:rPr>
          <w:rFonts w:hint="eastAsia"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43</w:t>
      </w:r>
      <w:r>
        <w:rPr>
          <w:rFonts w:ascii="Times New Roman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家）</w:t>
      </w:r>
    </w:p>
    <w:tbl>
      <w:tblPr>
        <w:tblStyle w:val="11"/>
        <w:tblW w:w="0" w:type="auto"/>
        <w:tblInd w:w="1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4169"/>
        <w:gridCol w:w="1306"/>
        <w:gridCol w:w="1306"/>
        <w:gridCol w:w="11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tblHeader/>
        </w:trPr>
        <w:tc>
          <w:tcPr>
            <w:tcW w:w="805" w:type="dxa"/>
            <w:shd w:val="clear" w:color="auto" w:fill="D8D8D8" w:themeFill="background1" w:themeFillShade="D9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169" w:type="dxa"/>
            <w:shd w:val="clear" w:color="auto" w:fill="D8D8D8" w:themeFill="background1" w:themeFillShade="D9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306" w:type="dxa"/>
            <w:shd w:val="clear" w:color="auto" w:fill="D8D8D8" w:themeFill="background1" w:themeFillShade="D9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提升前</w:t>
            </w:r>
          </w:p>
        </w:tc>
        <w:tc>
          <w:tcPr>
            <w:tcW w:w="1306" w:type="dxa"/>
            <w:shd w:val="clear" w:color="auto" w:fill="D8D8D8" w:themeFill="background1" w:themeFillShade="D9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提升后</w:t>
            </w:r>
          </w:p>
        </w:tc>
        <w:tc>
          <w:tcPr>
            <w:tcW w:w="1113" w:type="dxa"/>
            <w:shd w:val="clear" w:color="auto" w:fill="D8D8D8" w:themeFill="background1" w:themeFillShade="D9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设区市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南京华信藤仓光通信有限公司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国电南瑞三能电力仪表（南京）有限公司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南京冠盛汽配有限公司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中辰电缆股份有限公司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无锡鑫盛换热器科技股份有限公司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宝银特种钢管有限公司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7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江苏省精创电气股份有限公司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8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徐州徐工液压件有限公司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9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江苏华辰变压器股份有限公司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10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天合光能股份有限公司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11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时代上汽动力电池有限公司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12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常州光洋轴承股份有限公司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13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常州东方特钢有限公司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14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常州华威电子有限公司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15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江苏中科朗恩斯车辆科技有限公司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16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常州润来科技有限公司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17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苏州英威腾电力电子有限公司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18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鼎镁新材料科技股份有限公司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19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研华科技（中国）有限公司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20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江苏亨通线缆科技有限公司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21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苏州新吴光电股份有限公司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22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苏州伟创电气科技股份有限公司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23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江苏欣达通信科技股份有限公司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24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江苏永鼎盛达电缆有限公司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25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东曜药业有限公司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26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江苏汤沟两相和酒业有限公司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27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江苏恒瑞医药股份有限公司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28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连云港神鹰碳纤维自行车有限公司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29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中天钢铁集团（淮安）新材料有限公司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30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荣芯半导体（淮安）有限公司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31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江苏今世缘酒业股份有限公司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32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江苏省盐海化工有限公司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33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扬州中集通华专用车有限公司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34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扬州神龙绳业有限公司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35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江苏罗思韦尔电气有限公司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36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孚能科技（镇江）有限公司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四星级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37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航天海鹰（镇江）特种材料有限公司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38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优利德（江苏）化工有限公司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39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江苏晶度半导体科技有限公司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三星级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40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江苏艾兰得营养品有限公司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41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新程汽车工业有限公司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42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靖江特殊钢有限公司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一星级</w:t>
            </w:r>
          </w:p>
        </w:tc>
        <w:tc>
          <w:tcPr>
            <w:tcW w:w="1306" w:type="dxa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二星级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43</w:t>
            </w:r>
          </w:p>
        </w:tc>
        <w:tc>
          <w:tcPr>
            <w:tcW w:w="4169" w:type="dxa"/>
            <w:vAlign w:val="center"/>
          </w:tcPr>
          <w:p>
            <w:pPr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江苏洋河酒厂股份有限公司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基本级</w:t>
            </w:r>
          </w:p>
        </w:tc>
        <w:tc>
          <w:tcPr>
            <w:tcW w:w="130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增强级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 w:val="21"/>
                <w:szCs w:val="21"/>
              </w:rPr>
              <w:t>宿迁市</w:t>
            </w:r>
          </w:p>
        </w:tc>
      </w:tr>
    </w:tbl>
    <w:p>
      <w:pPr>
        <w:spacing w:before="100" w:beforeAutospacing="1" w:after="100" w:afterAutospacing="1"/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1" w:right="1588" w:bottom="1440" w:left="1588" w:header="851" w:footer="79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46686080"/>
    </w:sdtPr>
    <w:sdtEndPr>
      <w:rPr>
        <w:rFonts w:ascii="Times New Roman" w:hAnsi="Times New Roman" w:cs="Times New Roman"/>
        <w:sz w:val="32"/>
      </w:rPr>
    </w:sdtEndPr>
    <w:sdtContent>
      <w:p>
        <w:pPr>
          <w:pStyle w:val="7"/>
          <w:jc w:val="center"/>
          <w:rPr>
            <w:rFonts w:ascii="Times New Roman" w:hAnsi="Times New Roman" w:cs="Times New Roman"/>
            <w:sz w:val="32"/>
          </w:rPr>
        </w:pPr>
        <w:r>
          <w:rPr>
            <w:rFonts w:ascii="Times New Roman" w:hAnsi="Times New Roman" w:cs="Times New Roman"/>
            <w:sz w:val="32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6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</w:t>
        </w:r>
        <w:r>
          <w:rPr>
            <w:rFonts w:ascii="Times New Roman" w:hAnsi="Times New Roman" w:cs="Times New Roman"/>
            <w:sz w:val="32"/>
          </w:rPr>
          <w:t>—</w:t>
        </w:r>
      </w:p>
    </w:sdtContent>
  </w:sdt>
  <w:p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top w:val="none" w:color="auto" w:sz="0" w:space="0"/>
        <w:left w:val="none" w:color="auto" w:sz="0" w:space="0"/>
        <w:bottom w:val="none" w:color="auto" w:sz="0" w:space="1"/>
        <w:right w:val="none" w:color="auto" w:sz="0" w:space="0"/>
        <w:between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pict>
        <v:shape id="PowerPlusWaterMarkObject10891086" o:spid="_x0000_s2050" o:spt="136" type="#_x0000_t136" style="position:absolute;left:0pt;height:61.5pt;width:553.85pt;mso-position-horizontal:center;mso-position-horizontal-relative:margin;mso-position-vertical:center;mso-position-vertical-relative:margin;rotation:20643840f;z-index:-251655168;mso-width-relative:page;mso-height-relative:page;" fillcolor="#000000" filled="t" stroked="f" coordsize="21600,21600" o:allowincell="f">
          <v:path/>
          <v:fill on="t" opacity="32768f" focussize="0,0"/>
          <v:stroke on="f"/>
          <v:imagedata o:title=""/>
          <o:lock v:ext="edit"/>
          <v:textpath on="t" fitpath="t" trim="f" xscale="f" string="校对版本，请勿转发" style="font-family:黑体;font-size:1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pict>
        <v:shape id="PowerPlusWaterMarkObject10891085" o:spid="_x0000_s2049" o:spt="136" type="#_x0000_t136" style="position:absolute;left:0pt;height:61.5pt;width:553.85pt;mso-position-horizontal:center;mso-position-horizontal-relative:margin;mso-position-vertical:center;mso-position-vertical-relative:margin;rotation:20643840f;z-index:-251657216;mso-width-relative:page;mso-height-relative:page;" fillcolor="#000000" filled="t" stroked="f" coordsize="21600,21600" o:allowincell="f">
          <v:path/>
          <v:fill on="t" opacity="32768f" focussize="0,0"/>
          <v:stroke on="f"/>
          <v:imagedata o:title=""/>
          <o:lock v:ext="edit"/>
          <v:textpath on="t" fitpath="t" trim="f" xscale="f" string="校对版本，请勿转发" style="font-family:黑体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902"/>
    <w:rsid w:val="000D0066"/>
    <w:rsid w:val="00322902"/>
    <w:rsid w:val="005D3CB8"/>
    <w:rsid w:val="00673ACF"/>
    <w:rsid w:val="007E1E7C"/>
    <w:rsid w:val="00F360E2"/>
    <w:rsid w:val="FFF7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snapToGrid w:val="0"/>
      <w:spacing w:before="156" w:beforeLines="50" w:after="156" w:afterLines="50"/>
      <w:ind w:firstLine="641"/>
      <w:outlineLvl w:val="0"/>
    </w:pPr>
    <w:rPr>
      <w:rFonts w:ascii="Times New Roman" w:hAnsi="Times New Roman" w:eastAsia="黑体" w:cs="Times New Roman"/>
      <w:color w:val="000000" w:themeColor="text1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14"/>
    <w:unhideWhenUsed/>
    <w:qFormat/>
    <w:uiPriority w:val="9"/>
    <w:pPr>
      <w:snapToGrid w:val="0"/>
      <w:spacing w:before="156" w:beforeLines="50" w:after="156" w:afterLines="50"/>
      <w:ind w:firstLine="640" w:firstLineChars="200"/>
      <w:outlineLvl w:val="1"/>
    </w:pPr>
    <w:rPr>
      <w:rFonts w:ascii="Times New Roman" w:hAnsi="Times New Roman" w:eastAsia="方正楷体_GBK" w:cs="Times New Roman"/>
    </w:rPr>
  </w:style>
  <w:style w:type="paragraph" w:styleId="4">
    <w:name w:val="heading 3"/>
    <w:basedOn w:val="1"/>
    <w:next w:val="1"/>
    <w:link w:val="15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16"/>
    <w:semiHidden/>
    <w:unhideWhenUsed/>
    <w:qFormat/>
    <w:uiPriority w:val="99"/>
    <w:pPr>
      <w:jc w:val="left"/>
    </w:p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5"/>
    <w:next w:val="5"/>
    <w:link w:val="20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">
    <w:name w:val="标题 1 Char"/>
    <w:basedOn w:val="12"/>
    <w:link w:val="2"/>
    <w:qFormat/>
    <w:uiPriority w:val="9"/>
    <w:rPr>
      <w:rFonts w:ascii="Times New Roman" w:hAnsi="Times New Roman" w:eastAsia="黑体" w:cs="Times New Roman"/>
      <w:color w:val="000000" w:themeColor="text1"/>
      <w:sz w:val="32"/>
      <w14:textFill>
        <w14:solidFill>
          <w14:schemeClr w14:val="tx1"/>
        </w14:solidFill>
      </w14:textFill>
    </w:rPr>
  </w:style>
  <w:style w:type="character" w:customStyle="1" w:styleId="14">
    <w:name w:val="标题 2 Char"/>
    <w:basedOn w:val="12"/>
    <w:link w:val="3"/>
    <w:qFormat/>
    <w:uiPriority w:val="9"/>
    <w:rPr>
      <w:rFonts w:ascii="Times New Roman" w:hAnsi="Times New Roman" w:eastAsia="方正楷体_GBK" w:cs="Times New Roman"/>
      <w:sz w:val="32"/>
    </w:rPr>
  </w:style>
  <w:style w:type="character" w:customStyle="1" w:styleId="15">
    <w:name w:val="标题 3 Char"/>
    <w:basedOn w:val="12"/>
    <w:link w:val="4"/>
    <w:semiHidden/>
    <w:qFormat/>
    <w:uiPriority w:val="9"/>
    <w:rPr>
      <w:rFonts w:eastAsia="方正仿宋_GBK"/>
      <w:b/>
      <w:bCs/>
      <w:sz w:val="32"/>
      <w:szCs w:val="32"/>
    </w:rPr>
  </w:style>
  <w:style w:type="character" w:customStyle="1" w:styleId="16">
    <w:name w:val="批注文字 Char"/>
    <w:basedOn w:val="12"/>
    <w:link w:val="5"/>
    <w:semiHidden/>
    <w:qFormat/>
    <w:uiPriority w:val="99"/>
    <w:rPr>
      <w:rFonts w:eastAsia="方正仿宋_GBK"/>
      <w:sz w:val="32"/>
    </w:rPr>
  </w:style>
  <w:style w:type="character" w:customStyle="1" w:styleId="17">
    <w:name w:val="批注框文本 Char"/>
    <w:basedOn w:val="12"/>
    <w:link w:val="6"/>
    <w:semiHidden/>
    <w:qFormat/>
    <w:uiPriority w:val="99"/>
    <w:rPr>
      <w:rFonts w:eastAsia="方正仿宋_GBK"/>
      <w:sz w:val="18"/>
      <w:szCs w:val="18"/>
    </w:rPr>
  </w:style>
  <w:style w:type="character" w:customStyle="1" w:styleId="18">
    <w:name w:val="页脚 Char"/>
    <w:basedOn w:val="12"/>
    <w:link w:val="7"/>
    <w:qFormat/>
    <w:uiPriority w:val="99"/>
    <w:rPr>
      <w:rFonts w:eastAsia="方正仿宋_GBK"/>
      <w:sz w:val="18"/>
      <w:szCs w:val="18"/>
    </w:rPr>
  </w:style>
  <w:style w:type="character" w:customStyle="1" w:styleId="19">
    <w:name w:val="页眉 Char"/>
    <w:basedOn w:val="12"/>
    <w:link w:val="8"/>
    <w:qFormat/>
    <w:uiPriority w:val="99"/>
    <w:rPr>
      <w:rFonts w:eastAsia="方正仿宋_GBK"/>
      <w:sz w:val="18"/>
      <w:szCs w:val="18"/>
    </w:rPr>
  </w:style>
  <w:style w:type="character" w:customStyle="1" w:styleId="20">
    <w:name w:val="批注主题 Char"/>
    <w:basedOn w:val="16"/>
    <w:link w:val="9"/>
    <w:semiHidden/>
    <w:qFormat/>
    <w:uiPriority w:val="99"/>
    <w:rPr>
      <w:rFonts w:eastAsia="方正仿宋_GBK"/>
      <w:b/>
      <w:bCs/>
      <w:sz w:val="32"/>
    </w:rPr>
  </w:style>
  <w:style w:type="paragraph" w:styleId="21">
    <w:name w:val="List Paragraph"/>
    <w:basedOn w:val="1"/>
    <w:qFormat/>
    <w:uiPriority w:val="34"/>
    <w:pPr>
      <w:ind w:firstLine="420" w:firstLineChars="200"/>
    </w:pPr>
  </w:style>
  <w:style w:type="paragraph" w:customStyle="1" w:styleId="22">
    <w:name w:val="标题2"/>
    <w:basedOn w:val="1"/>
    <w:next w:val="1"/>
    <w:qFormat/>
    <w:uiPriority w:val="0"/>
    <w:pPr>
      <w:autoSpaceDE w:val="0"/>
      <w:autoSpaceDN w:val="0"/>
      <w:snapToGrid w:val="0"/>
      <w:spacing w:line="590" w:lineRule="atLeast"/>
      <w:jc w:val="center"/>
    </w:pPr>
    <w:rPr>
      <w:rFonts w:ascii="Times New Roman" w:hAnsi="Times New Roman" w:eastAsia="方正楷体_GBK" w:cs="Times New Roman"/>
      <w:snapToGrid w:val="0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880</Words>
  <Characters>5020</Characters>
  <Lines>41</Lines>
  <Paragraphs>11</Paragraphs>
  <TotalTime>10</TotalTime>
  <ScaleCrop>false</ScaleCrop>
  <LinksUpToDate>false</LinksUpToDate>
  <CharactersWithSpaces>5889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2025-01-13T11:40:00Z</dcterms:created>
  <dc:creator>ABCwork</dc:creator>
  <cp:lastModifiedBy>uos</cp:lastModifiedBy>
  <cp:lastPrinted>2025-01-13T11:45:00Z</cp:lastPrinted>
  <dcterms:modified xsi:type="dcterms:W3CDTF">2025-01-14T11:16:16Z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