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0BC" w:rsidRPr="005D10BC" w:rsidRDefault="005D10BC" w:rsidP="005D10BC">
      <w:pPr>
        <w:widowControl/>
        <w:shd w:val="clear" w:color="auto" w:fill="FFFFFF"/>
        <w:spacing w:line="480" w:lineRule="atLeast"/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附件</w:t>
      </w:r>
    </w:p>
    <w:p w:rsidR="005D10BC" w:rsidRPr="005D10BC" w:rsidRDefault="005D10BC" w:rsidP="005D10BC">
      <w:pPr>
        <w:widowControl/>
        <w:shd w:val="clear" w:color="auto" w:fill="FFFFFF"/>
        <w:spacing w:line="480" w:lineRule="atLeast"/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</w:p>
    <w:p w:rsidR="005D10BC" w:rsidRPr="005D10BC" w:rsidRDefault="005D10BC" w:rsidP="005D10BC">
      <w:pPr>
        <w:widowControl/>
        <w:shd w:val="clear" w:color="auto" w:fill="FFFFFF"/>
        <w:spacing w:line="480" w:lineRule="atLeast"/>
        <w:jc w:val="center"/>
        <w:rPr>
          <w:rFonts w:ascii="方正小标宋_GBK" w:eastAsia="方正小标宋_GBK" w:hAnsi="宋体" w:cs="宋体"/>
          <w:color w:val="000000"/>
          <w:kern w:val="0"/>
          <w:sz w:val="44"/>
          <w:szCs w:val="44"/>
        </w:rPr>
      </w:pPr>
      <w:bookmarkStart w:id="0" w:name="_GoBack"/>
      <w:r w:rsidRPr="005D10BC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江苏省首席数据官制</w:t>
      </w:r>
      <w:proofErr w:type="gramStart"/>
      <w:r w:rsidRPr="005D10BC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度试点</w:t>
      </w:r>
      <w:proofErr w:type="gramEnd"/>
      <w:r w:rsidRPr="005D10BC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企业名单</w:t>
      </w:r>
      <w:bookmarkEnd w:id="0"/>
    </w:p>
    <w:p w:rsidR="005D10BC" w:rsidRPr="005D10BC" w:rsidRDefault="005D10BC" w:rsidP="005D10BC">
      <w:pPr>
        <w:rPr>
          <w:rFonts w:ascii="等线" w:eastAsia="等线" w:hAnsi="等线" w:cs="Times New Roman"/>
        </w:rPr>
      </w:pP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江苏永钢集团有限公司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proofErr w:type="gramStart"/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波司登</w:t>
      </w:r>
      <w:proofErr w:type="gramEnd"/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羽绒服装有限公司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江苏风云科技服务有限公司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科大讯飞（苏州）科技有限公司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江苏永鼎股份有限公司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</w:t>
      </w:r>
      <w:proofErr w:type="gramStart"/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亿友慧云软件</w:t>
      </w:r>
      <w:proofErr w:type="gramEnd"/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股份有限公司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proofErr w:type="gramStart"/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诺得物流</w:t>
      </w:r>
      <w:proofErr w:type="gramEnd"/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股份有限公司</w:t>
      </w:r>
    </w:p>
    <w:p w:rsidR="005D10BC" w:rsidRPr="005D10BC" w:rsidRDefault="005D10BC" w:rsidP="005D10BC">
      <w:pPr>
        <w:rPr>
          <w:rFonts w:ascii="方正仿宋_GBK" w:eastAsia="方正仿宋_GBK" w:hAnsi="等线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等线" w:cs="宋体" w:hint="eastAsia"/>
          <w:color w:val="000000"/>
          <w:kern w:val="0"/>
          <w:sz w:val="32"/>
          <w:szCs w:val="32"/>
        </w:rPr>
        <w:t>江苏恒顺醋业股份有限公司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南京熊猫信息产业有限公司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红豆集团有限公司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徐州徐工挖掘机械有限公司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常州产业投资集团有限公司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江苏汤沟两相和酒业有限公司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江苏富乐德半导体科技有限公司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江苏邗建集团有限公司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扬子江药业集团有限公司</w:t>
      </w:r>
    </w:p>
    <w:p w:rsidR="005D10BC" w:rsidRPr="005D10BC" w:rsidRDefault="005D10BC" w:rsidP="005D10BC">
      <w:pPr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proofErr w:type="gramStart"/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赢胜节能</w:t>
      </w:r>
      <w:proofErr w:type="gramEnd"/>
      <w:r w:rsidRPr="005D10B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集团有限公司</w:t>
      </w:r>
    </w:p>
    <w:p w:rsidR="00D503C0" w:rsidRDefault="00D503C0"/>
    <w:sectPr w:rsidR="00D50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0BC"/>
    <w:rsid w:val="000579B8"/>
    <w:rsid w:val="00350ED2"/>
    <w:rsid w:val="005A0C01"/>
    <w:rsid w:val="005D10BC"/>
    <w:rsid w:val="005F0675"/>
    <w:rsid w:val="006F259B"/>
    <w:rsid w:val="00950409"/>
    <w:rsid w:val="00A245F5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1</cp:revision>
  <dcterms:created xsi:type="dcterms:W3CDTF">2021-09-16T08:03:00Z</dcterms:created>
  <dcterms:modified xsi:type="dcterms:W3CDTF">2021-09-16T08:04:00Z</dcterms:modified>
</cp:coreProperties>
</file>