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hint="eastAsia"/>
        </w:rPr>
      </w:pPr>
    </w:p>
    <w:p>
      <w:pPr>
        <w:ind w:left="420" w:firstLine="0" w:firstLineChars="0"/>
        <w:rPr>
          <w:rFonts w:hint="eastAsia"/>
        </w:rPr>
      </w:pPr>
    </w:p>
    <w:p>
      <w:pPr>
        <w:spacing w:line="240" w:lineRule="auto"/>
        <w:ind w:firstLine="0" w:firstLineChars="0"/>
        <w:rPr>
          <w:rFonts w:hint="eastAsia" w:ascii="宋体" w:hAnsi="宋体" w:eastAsia="宋体" w:cs="宋体"/>
          <w:b/>
          <w:color w:val="FF0000"/>
          <w:w w:val="80"/>
          <w:sz w:val="90"/>
          <w:szCs w:val="90"/>
        </w:rPr>
      </w:pPr>
      <w:r>
        <w:rPr>
          <w:rFonts w:hint="eastAsia" w:ascii="宋体" w:hAnsi="宋体" w:eastAsia="宋体" w:cs="宋体"/>
          <w:b/>
          <w:color w:val="FF0000"/>
          <w:w w:val="80"/>
          <w:sz w:val="90"/>
          <w:szCs w:val="90"/>
        </w:rPr>
        <w:t>江苏省工业和信息化厅文件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苏工信数据〔2022〕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664</w:t>
      </w:r>
      <w:r>
        <w:rPr>
          <w:rFonts w:ascii="Times New Roman" w:hAnsi="Times New Roman" w:eastAsia="方正仿宋_GBK"/>
          <w:sz w:val="32"/>
          <w:szCs w:val="32"/>
        </w:rPr>
        <w:t>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1312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6&#10;fHlz1wAAAAkBAAAPAAAAAAAAAAEAIAAAADgAAABkcnMvZG93bnJldi54bWxQSwECFAAUAAAACACH&#10;TuJAksnmf9YBAAB7AwAADgAAAAAAAAABACAAAAA8AQAAZHJzL2Uyb0RvYy54bWxQSwUGAAAAAAYA&#10;BgBZAQAAhA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0288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FgAAAGRycy9QSwECFAAUAAAACACHTuJAtOws&#10;KNYAAAANAQAADwAAAAAAAAABACAAAAA4AAAAZHJzL2Rvd25yZXYueG1sUEsBAhQAFAAAAAgAh07i&#10;QOHOroLVAQAAewMAAA4AAAAAAAAAAQAgAAAAOwEAAGRycy9lMm9Eb2MueG1sUEsFBgAAAAAGAAYA&#10;WQEAAIIF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7"/>
        <w:shd w:val="clear" w:color="auto" w:fill="FFFFFF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pStyle w:val="7"/>
        <w:shd w:val="clear" w:color="auto" w:fill="FFFFFF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关于公布江苏省第二批首席数据官制度</w:t>
      </w:r>
    </w:p>
    <w:p>
      <w:pPr>
        <w:pStyle w:val="7"/>
        <w:shd w:val="clear" w:color="auto" w:fill="FFFFFF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试点企业名单和优秀案例的通知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640" w:firstLineChars="200"/>
        <w:jc w:val="both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pStyle w:val="7"/>
        <w:shd w:val="clear" w:color="auto" w:fill="FFFFFF"/>
        <w:spacing w:before="0" w:beforeAutospacing="0" w:after="0" w:afterAutospacing="0" w:line="480" w:lineRule="atLeast"/>
        <w:jc w:val="both"/>
        <w:rPr>
          <w:rFonts w:ascii="Times New Roman" w:hAnsi="Times New Roman" w:eastAsia="方正仿宋_GBK" w:cs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  <w:shd w:val="clear" w:color="auto" w:fill="FFFFFF"/>
        </w:rPr>
        <w:t>各设区市工信局（大数据产业主管部门），昆山市、泰兴市、沭阳县工信局：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为贯彻落实工信部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《</w:t>
      </w:r>
      <w:r>
        <w:rPr>
          <w:rFonts w:ascii="Times New Roman" w:hAnsi="Times New Roman" w:eastAsia="方正仿宋_GBK" w:cs="Times New Roman"/>
          <w:sz w:val="32"/>
          <w:szCs w:val="32"/>
        </w:rPr>
        <w:t>“十四五”大数据产业发展规划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》</w:t>
      </w:r>
      <w:r>
        <w:rPr>
          <w:rFonts w:ascii="Times New Roman" w:hAnsi="Times New Roman" w:eastAsia="方正仿宋_GBK" w:cs="Times New Roman"/>
          <w:sz w:val="32"/>
          <w:szCs w:val="32"/>
        </w:rPr>
        <w:t>《江苏省数字经济促进条例》</w:t>
      </w:r>
      <w:r>
        <w:rPr>
          <w:rFonts w:ascii="Times New Roman" w:hAnsi="Times New Roman" w:eastAsia="方正仿宋_GBK" w:cs="Times New Roman"/>
          <w:color w:val="333333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提高企业数据战略意识，建立一支核心数字化高级人才队伍，推动企业构建数据驱动的管理体系和决策模式，进一步激发数据要素潜力，我厅从9月份开始，在全省开展了第二批首席数据官（以下简称“CDO”）制度试点企业遴选及优秀案例征集工作。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经单位申报、地方推荐、专家评审等程序，遴选出</w:t>
      </w:r>
      <w:r>
        <w:rPr>
          <w:rFonts w:ascii="Times New Roman" w:hAnsi="Times New Roman" w:eastAsia="方正仿宋_GBK" w:cs="Times New Roman"/>
          <w:sz w:val="32"/>
          <w:szCs w:val="32"/>
        </w:rPr>
        <w:t>中通服咨询设计研究院有限公司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等25家CDO制度试点企业、</w:t>
      </w:r>
      <w:r>
        <w:rPr>
          <w:rFonts w:ascii="Times New Roman" w:hAnsi="Times New Roman" w:eastAsia="方正仿宋_GBK" w:cs="Times New Roman"/>
          <w:sz w:val="32"/>
          <w:szCs w:val="32"/>
        </w:rPr>
        <w:t>徐州徐工挖掘机械有限公司的CDO制度助力徐工挖机数字化转型等6个CDO制度优秀案例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shd w:val="clear" w:color="auto" w:fill="FFFFFF"/>
        </w:rPr>
        <w:t>现将名单予以公布。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640" w:firstLineChars="200"/>
        <w:jc w:val="both"/>
        <w:rPr>
          <w:rFonts w:ascii="Times New Roman" w:hAnsi="Times New Roman" w:eastAsia="方正仿宋_GBK" w:cs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  <w:shd w:val="clear" w:color="auto" w:fill="FFFFFF"/>
        </w:rPr>
        <w:t>第二批CDO制度试点期限为一年，自即日起至2023年11月底。请各地工信局（大数据产业管理部门）高度重视，积极宣传推广CDO制度建设的成功做法，认真指导试点企业进一步完善本单位CDO制度建设方案，跟踪建设进度，协调解决相关问题，确保试点工作取得预期成效。各试点企业要按照方案稳步推进，积极选派CDO参加省市组织的培训、交流等活动，半年报送一次试点工作开展情况（2023年5月底、11月底），及时总结试点经验和成功案例，为更多企业开展CDO制度建设提供示范。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640" w:firstLineChars="200"/>
        <w:jc w:val="both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480"/>
        <w:jc w:val="both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附件：1、江苏省第二批首席数据官制度试点企业名单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480"/>
        <w:jc w:val="both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 xml:space="preserve">      2、企业首席数据官制度优秀案例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jc w:val="both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480"/>
        <w:jc w:val="both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 xml:space="preserve">                         江苏省工业和信息化厅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480"/>
        <w:jc w:val="center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 xml:space="preserve">                     2022年12月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1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日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480"/>
        <w:jc w:val="center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480"/>
        <w:jc w:val="center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7"/>
        <w:shd w:val="clear" w:color="auto" w:fill="FFFFFF"/>
        <w:spacing w:before="0" w:beforeAutospacing="0" w:after="0" w:afterAutospacing="0" w:line="480" w:lineRule="atLeast"/>
        <w:ind w:firstLine="480"/>
        <w:jc w:val="center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7"/>
        <w:shd w:val="clear" w:color="auto" w:fill="FFFFFF"/>
        <w:spacing w:before="0" w:beforeAutospacing="0" w:after="0" w:afterAutospacing="0" w:line="480" w:lineRule="atLeast"/>
        <w:jc w:val="both"/>
        <w:rPr>
          <w:rFonts w:ascii="方正黑体_GBK" w:hAnsi="方正黑体_GBK" w:eastAsia="方正黑体_GBK" w:cs="Times New Roman"/>
          <w:color w:val="000000"/>
          <w:sz w:val="32"/>
          <w:szCs w:val="32"/>
        </w:rPr>
      </w:pPr>
      <w:r>
        <w:rPr>
          <w:rFonts w:ascii="方正黑体_GBK" w:hAnsi="方正黑体_GBK" w:eastAsia="方正黑体_GBK" w:cs="Times New Roman"/>
          <w:color w:val="000000"/>
          <w:sz w:val="32"/>
          <w:szCs w:val="32"/>
        </w:rPr>
        <w:t>附件1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jc w:val="both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7"/>
        <w:shd w:val="clear" w:color="auto" w:fill="FFFFFF"/>
        <w:spacing w:before="0" w:beforeAutospacing="0" w:after="0" w:afterAutospacing="0" w:line="58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江苏省第二批首席数据官制度</w:t>
      </w:r>
    </w:p>
    <w:p>
      <w:pPr>
        <w:pStyle w:val="7"/>
        <w:shd w:val="clear" w:color="auto" w:fill="FFFFFF"/>
        <w:spacing w:before="0" w:beforeAutospacing="0" w:after="0" w:afterAutospacing="0" w:line="580" w:lineRule="exac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试点企业名单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中通服咨询设计研究院有限公司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江苏原力数字科技股份有限公司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南京三百云信息科技有限公司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朗新科技集团股份有限公司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浪潮卓数大数据产业发展有限公司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江苏曼荼罗软件股份有限公司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蓝深远望科技股份有限公司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华云数据控股集团有限公司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盛虹控股集团有限公司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江苏博云科技股份有限公司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江苏国望高科纤维有限公司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江苏盖睿健康科技有限公司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苏州通润驱动设备股份有限公司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江苏沙钢集团有限公司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江苏汇环环保科技有限公司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江苏杰瑞信息科技有限公司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江苏星月测绘科技股份有限公司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江苏亚威机床股份有限公司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惠龙易通国际物流股份有限公司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中节能太阳能科技（镇江）有限公司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江苏太平洋精锻科技股份有限公司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江苏兴达钢帘线股份有限公司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江苏洋河酒厂股份有限公司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江苏泰隆减速机股份有限公司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江苏华聘科技有限公司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pStyle w:val="2"/>
        <w:rPr>
          <w:rFonts w:ascii="Times New Roman" w:hAnsi="Times New Roman" w:cs="Times New Roman"/>
        </w:rPr>
      </w:pPr>
    </w:p>
    <w:p>
      <w:pPr>
        <w:widowControl/>
        <w:jc w:val="left"/>
        <w:rPr>
          <w:rFonts w:ascii="Times New Roman" w:hAnsi="Times New Roman" w:eastAsia="方正楷体_GBK" w:cs="Times New Roman"/>
          <w:sz w:val="32"/>
          <w:szCs w:val="32"/>
        </w:rPr>
      </w:pPr>
      <w:r>
        <w:rPr>
          <w:rFonts w:ascii="Times New Roman" w:hAnsi="Times New Roman" w:eastAsia="方正楷体_GBK" w:cs="Times New Roman"/>
          <w:sz w:val="32"/>
          <w:szCs w:val="32"/>
        </w:rPr>
        <w:br w:type="page"/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jc w:val="both"/>
        <w:rPr>
          <w:rFonts w:ascii="方正黑体_GBK" w:hAnsi="方正黑体_GBK" w:eastAsia="方正黑体_GBK" w:cs="Times New Roman"/>
          <w:kern w:val="2"/>
          <w:sz w:val="32"/>
          <w:szCs w:val="32"/>
        </w:rPr>
      </w:pPr>
      <w:r>
        <w:rPr>
          <w:rFonts w:ascii="方正黑体_GBK" w:hAnsi="方正黑体_GBK" w:eastAsia="方正黑体_GBK" w:cs="Times New Roman"/>
          <w:kern w:val="2"/>
          <w:sz w:val="32"/>
          <w:szCs w:val="32"/>
        </w:rPr>
        <w:t>附件2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pStyle w:val="7"/>
        <w:shd w:val="clear" w:color="auto" w:fill="FFFFFF"/>
        <w:spacing w:before="0" w:beforeAutospacing="0" w:after="0" w:afterAutospacing="0" w:line="480" w:lineRule="atLeast"/>
        <w:jc w:val="center"/>
        <w:rPr>
          <w:rFonts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eastAsia="方正小标宋_GBK" w:cs="Times New Roman"/>
          <w:color w:val="000000"/>
          <w:sz w:val="44"/>
          <w:szCs w:val="44"/>
        </w:rPr>
        <w:t>企业首席数据官制度优秀案例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1、徐州徐工挖掘机械有限公司：CDO制度助力徐工挖机数字化转型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2、南京熊猫信息产业有限公司：基于数据驱动型的协同研发体系及科研数字化管理平台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3、常州产业投资集团有限公司：数据赋能——把好“智改数转”主方向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4、江苏永钢集团有限公司：让数据成为推动永钢数字经济发展的新引擎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5、波丝登羽绒服装有限公司：创新数据治理，赋能企业高质量发展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6、江苏永鼎股份有限公司：基于永鼎工业互联网云平台的数据管理与应用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pgSz w:w="11906" w:h="16838"/>
      <w:pgMar w:top="2001" w:right="1474" w:bottom="20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 w:cs="Times New Roma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jc w:val="center"/>
                          </w:pP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t xml:space="preserve"> —</w:t>
                          </w:r>
                          <w:sdt>
                            <w:sdtPr>
                              <w:rPr>
                                <w:rFonts w:ascii="Times New Roman" w:hAnsi="Times New Roman" w:cs="Times New Roman"/>
                              </w:rPr>
                              <w:id w:val="1952059007"/>
                            </w:sdtPr>
                            <w:sdtEndPr>
                              <w:rPr>
                                <w:rFonts w:ascii="Times New Roman" w:hAnsi="Times New Roman" w:cs="Times New Roman"/>
                              </w:rPr>
                            </w:sdtEndPr>
                            <w:sdtContent/>
                          </w:sdt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jc w:val="center"/>
                    </w:pP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t xml:space="preserve"> —</w:t>
                    </w:r>
                    <w:sdt>
                      <w:sdtPr>
                        <w:rPr>
                          <w:rFonts w:ascii="Times New Roman" w:hAnsi="Times New Roman" w:cs="Times New Roman"/>
                        </w:rPr>
                        <w:id w:val="1952059007"/>
                      </w:sdtPr>
                      <w:sdtEndPr>
                        <w:rPr>
                          <w:rFonts w:ascii="Times New Roman" w:hAnsi="Times New Roman" w:cs="Times New Roman"/>
                        </w:rPr>
                      </w:sdtEndPr>
                      <w:sdtContent/>
                    </w:sdt>
                  </w:p>
                </w:txbxContent>
              </v:textbox>
            </v:shape>
          </w:pict>
        </mc:Fallback>
      </mc:AlternateContent>
    </w:r>
  </w:p>
  <w:p>
    <w:pPr>
      <w:pStyle w:val="5"/>
      <w:rPr>
        <w:rFonts w:ascii="Times New Roman" w:hAnsi="Times New Roman"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zYjQ0NWI0MmNiMDgyMGFmY2FiMzhmZDFhNzViODQifQ=="/>
  </w:docVars>
  <w:rsids>
    <w:rsidRoot w:val="004E3D8D"/>
    <w:rsid w:val="0002586A"/>
    <w:rsid w:val="000D5CC7"/>
    <w:rsid w:val="000F374D"/>
    <w:rsid w:val="001A5E8F"/>
    <w:rsid w:val="001C26B5"/>
    <w:rsid w:val="00252B2D"/>
    <w:rsid w:val="00313D7E"/>
    <w:rsid w:val="003234FB"/>
    <w:rsid w:val="00325991"/>
    <w:rsid w:val="00353040"/>
    <w:rsid w:val="00380C9C"/>
    <w:rsid w:val="00393549"/>
    <w:rsid w:val="003E7C27"/>
    <w:rsid w:val="003F31D8"/>
    <w:rsid w:val="00421311"/>
    <w:rsid w:val="00452196"/>
    <w:rsid w:val="004A7507"/>
    <w:rsid w:val="004E3D8D"/>
    <w:rsid w:val="004F20D3"/>
    <w:rsid w:val="005665E1"/>
    <w:rsid w:val="005716D7"/>
    <w:rsid w:val="0061384C"/>
    <w:rsid w:val="006B7775"/>
    <w:rsid w:val="007031F7"/>
    <w:rsid w:val="00755F50"/>
    <w:rsid w:val="0076232A"/>
    <w:rsid w:val="007B1239"/>
    <w:rsid w:val="007C610A"/>
    <w:rsid w:val="00820A2E"/>
    <w:rsid w:val="00866234"/>
    <w:rsid w:val="00874777"/>
    <w:rsid w:val="00921772"/>
    <w:rsid w:val="009552D3"/>
    <w:rsid w:val="009662C0"/>
    <w:rsid w:val="00975608"/>
    <w:rsid w:val="0098189D"/>
    <w:rsid w:val="00997AB7"/>
    <w:rsid w:val="009C54FB"/>
    <w:rsid w:val="00A32DE3"/>
    <w:rsid w:val="00A55F50"/>
    <w:rsid w:val="00A96BBB"/>
    <w:rsid w:val="00AA5308"/>
    <w:rsid w:val="00AD36AC"/>
    <w:rsid w:val="00B21C05"/>
    <w:rsid w:val="00BE0D1A"/>
    <w:rsid w:val="00BE13EB"/>
    <w:rsid w:val="00BE7BC6"/>
    <w:rsid w:val="00C80B5C"/>
    <w:rsid w:val="00CC6317"/>
    <w:rsid w:val="00D35598"/>
    <w:rsid w:val="00DB373F"/>
    <w:rsid w:val="00DD448D"/>
    <w:rsid w:val="00E273CE"/>
    <w:rsid w:val="00E64658"/>
    <w:rsid w:val="00EC13B1"/>
    <w:rsid w:val="00F04129"/>
    <w:rsid w:val="00FB1490"/>
    <w:rsid w:val="02390242"/>
    <w:rsid w:val="081014B7"/>
    <w:rsid w:val="0C621FF6"/>
    <w:rsid w:val="10EF12A7"/>
    <w:rsid w:val="238B14FC"/>
    <w:rsid w:val="29C045C9"/>
    <w:rsid w:val="2B023AF6"/>
    <w:rsid w:val="2F3B456A"/>
    <w:rsid w:val="36745C27"/>
    <w:rsid w:val="416D1BF0"/>
    <w:rsid w:val="47A54DB1"/>
    <w:rsid w:val="48FC04E3"/>
    <w:rsid w:val="4AD650FF"/>
    <w:rsid w:val="4CDA266D"/>
    <w:rsid w:val="534A57B8"/>
    <w:rsid w:val="575A52A3"/>
    <w:rsid w:val="5C8136C1"/>
    <w:rsid w:val="61F86D39"/>
    <w:rsid w:val="64265229"/>
    <w:rsid w:val="68C67749"/>
    <w:rsid w:val="69DB29A9"/>
    <w:rsid w:val="714F4CEB"/>
    <w:rsid w:val="79576DB4"/>
    <w:rsid w:val="FC9B8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jc w:val="center"/>
      <w:outlineLvl w:val="0"/>
    </w:pPr>
    <w:rPr>
      <w:rFonts w:eastAsia="方正小标宋_GBK"/>
      <w:bCs/>
      <w:kern w:val="44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sz w:val="24"/>
    </w:rPr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Hyperlink"/>
    <w:basedOn w:val="10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脚 Char"/>
    <w:basedOn w:val="10"/>
    <w:link w:val="5"/>
    <w:qFormat/>
    <w:uiPriority w:val="99"/>
    <w:rPr>
      <w:sz w:val="18"/>
      <w:szCs w:val="18"/>
    </w:rPr>
  </w:style>
  <w:style w:type="character" w:customStyle="1" w:styleId="13">
    <w:name w:val="批注框文本 Char"/>
    <w:basedOn w:val="10"/>
    <w:link w:val="4"/>
    <w:semiHidden/>
    <w:qFormat/>
    <w:uiPriority w:val="99"/>
    <w:rPr>
      <w:sz w:val="18"/>
      <w:szCs w:val="18"/>
    </w:rPr>
  </w:style>
  <w:style w:type="character" w:customStyle="1" w:styleId="14">
    <w:name w:val="页眉 Char"/>
    <w:basedOn w:val="10"/>
    <w:link w:val="6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5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193</Words>
  <Characters>1102</Characters>
  <Lines>9</Lines>
  <Paragraphs>2</Paragraphs>
  <TotalTime>2</TotalTime>
  <ScaleCrop>false</ScaleCrop>
  <LinksUpToDate>false</LinksUpToDate>
  <CharactersWithSpaces>1293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2022-11-28T10:45:00Z</dcterms:created>
  <dc:creator>admin</dc:creator>
  <cp:lastModifiedBy>uos</cp:lastModifiedBy>
  <cp:lastPrinted>2021-06-04T10:00:00Z</cp:lastPrinted>
  <dcterms:modified xsi:type="dcterms:W3CDTF">2022-12-01T10:48:50Z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E2E80ABB680B46A99B8EAF71AB799273</vt:lpwstr>
  </property>
</Properties>
</file>