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ascii="Times New Roman" w:hAnsi="Times New Roman"/>
        </w:rPr>
      </w:pPr>
    </w:p>
    <w:p>
      <w:pPr>
        <w:ind w:left="420" w:firstLine="0" w:firstLineChars="0"/>
        <w:rPr>
          <w:rFonts w:ascii="Times New Roman" w:hAnsi="Times New Roman"/>
        </w:rPr>
      </w:pPr>
    </w:p>
    <w:p>
      <w:pPr>
        <w:ind w:firstLine="0" w:firstLineChars="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spacing w:line="600" w:lineRule="exact"/>
        <w:ind w:firstLine="0" w:firstLineChars="0"/>
        <w:jc w:val="center"/>
        <w:rPr>
          <w:rFonts w:ascii="Times New Roman" w:hAnsi="Times New Roman" w:eastAsia="方正仿宋_GBK"/>
          <w:sz w:val="32"/>
          <w:szCs w:val="32"/>
        </w:rPr>
      </w:pPr>
    </w:p>
    <w:p>
      <w:pPr>
        <w:spacing w:line="600" w:lineRule="exact"/>
        <w:ind w:firstLine="0" w:firstLineChars="0"/>
        <w:jc w:val="center"/>
        <w:rPr>
          <w:rFonts w:ascii="Times New Roman" w:hAnsi="Times New Roman" w:eastAsia="方正仿宋_GBK"/>
          <w:sz w:val="32"/>
          <w:szCs w:val="32"/>
        </w:rPr>
      </w:pPr>
      <w:r>
        <w:rPr>
          <w:rFonts w:ascii="Times New Roman" w:hAnsi="Times New Roman" w:eastAsia="方正仿宋_GBK"/>
          <w:sz w:val="32"/>
          <w:szCs w:val="32"/>
          <w:lang w:val="en"/>
        </w:rPr>
        <w:t>苏工信数据〔2022〕696号</w:t>
      </w:r>
    </w:p>
    <w:p>
      <w:pPr>
        <w:spacing w:line="600" w:lineRule="exact"/>
        <w:ind w:firstLine="0" w:firstLineChars="0"/>
        <w:jc w:val="center"/>
        <w:rPr>
          <w:rFonts w:ascii="Times New Roman" w:hAnsi="Times New Roman" w:eastAsia="方正仿宋_GBK"/>
          <w:sz w:val="32"/>
          <w:szCs w:val="32"/>
        </w:rPr>
      </w:pPr>
      <w:r>
        <w:rPr>
          <w:rFonts w:hint="eastAsia"/>
          <w:b/>
          <w:color w:val="FF0000"/>
          <w:sz w:val="90"/>
          <w:szCs w:val="90"/>
        </w:rPr>
        <mc:AlternateContent>
          <mc:Choice Requires="wps">
            <w:drawing>
              <wp:anchor distT="0" distB="0" distL="114300" distR="114300" simplePos="0" relativeHeight="251664384"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3" name="直接连接符 3"/>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FF0000"/>
                          </a:solidFill>
                          <a:round/>
                        </a:ln>
                      </wps:spPr>
                      <wps:bodyPr/>
                    </wps:wsp>
                  </a:graphicData>
                </a:graphic>
              </wp:anchor>
            </w:drawing>
          </mc:Choice>
          <mc:Fallback>
            <w:pict>
              <v:line id="_x0000_s1026" o:spid="_x0000_s1026" o:spt="20" style="position:absolute;left:0pt;flip:y;margin-left:-26.5pt;margin-top:20.4pt;height:0pt;width:486pt;z-index:251664384;mso-width-relative:page;mso-height-relative:page;" filled="f" stroked="t" coordsize="21600,21600" o:gfxdata="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6fHlz&#10;1wAAAAkBAAAPAAAAAAAAAAEAIAAAADgAAABkcnMvZG93bnJldi54bWxQSwECFAAUAAAACACHTuJA&#10;eTPTXNMBAABtAwAADgAAAAAAAAABACAAAAA8AQAAZHJzL2Uyb0RvYy54bWxQSwUGAAAAAAYABgBZ&#10;AQAAgQUAAAAA&#10;">
                <v:fill on="f" focussize="0,0"/>
                <v:stroke weight="1.5pt" color="#FF0000" joinstyle="round"/>
                <v:imagedata o:title=""/>
                <o:lock v:ext="edit" aspectratio="f"/>
              </v:line>
            </w:pict>
          </mc:Fallback>
        </mc:AlternateContent>
      </w:r>
      <w:r>
        <w:rPr>
          <w:rFonts w:ascii="Times New Roman" w:hAnsi="Times New Roman" w:eastAsia="方正仿宋_GBK"/>
          <w:sz w:val="32"/>
          <w:szCs w:val="32"/>
        </w:rPr>
        <mc:AlternateContent>
          <mc:Choice Requires="wps">
            <w:drawing>
              <wp:anchor distT="0" distB="0" distL="114300" distR="114300" simplePos="0" relativeHeight="251663360"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5" name="直接连接符 5"/>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flip:y;margin-left:48.95pt;margin-top:673.15pt;height:0pt;width:486pt;z-index:251663360;mso-width-relative:page;mso-height-relative:page;" filled="f" stroked="t" coordsize="21600,21600" o:gfxdata="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C07Cwo1gAA&#10;AA0BAAAPAAAAAAAAAAEAIAAAADgAAABkcnMvZG93bnJldi54bWxQSwECFAAUAAAACACHTuJA9RNz&#10;9dEBAABtAwAADgAAAAAAAAABACAAAAA7AQAAZHJzL2Uyb0RvYy54bWxQSwUGAAAAAAYABgBZAQAA&#10;fgUAAAAA&#10;">
                <v:fill on="f" focussize="0,0"/>
                <v:stroke weight="1.5pt" color="#000000" joinstyle="round"/>
                <v:imagedata o:title=""/>
                <o:lock v:ext="edit" aspectratio="f"/>
              </v:line>
            </w:pict>
          </mc:Fallback>
        </mc:AlternateContent>
      </w:r>
    </w:p>
    <w:p>
      <w:pPr>
        <w:ind w:left="420" w:firstLine="0" w:firstLineChars="0"/>
      </w:pPr>
      <w:r>
        <w:t xml:space="preserve"> </w:t>
      </w:r>
    </w:p>
    <w:p>
      <w:pPr>
        <w:keepNext w:val="0"/>
        <w:keepLines w:val="0"/>
        <w:widowControl w:val="0"/>
        <w:suppressLineNumbers w:val="0"/>
        <w:spacing w:before="0" w:beforeAutospacing="0" w:after="0" w:afterAutospacing="0" w:line="590" w:lineRule="exact"/>
        <w:ind w:left="0" w:right="0" w:firstLine="0" w:firstLineChars="0"/>
        <w:jc w:val="center"/>
        <w:rPr>
          <w:rFonts w:hint="eastAsia" w:ascii="方正小标宋_GBK" w:hAnsi="方正小标宋_GBK" w:eastAsia="方正小标宋_GBK" w:cs="方正小标宋_GBK"/>
          <w:kern w:val="2"/>
          <w:sz w:val="44"/>
          <w:szCs w:val="44"/>
          <w:lang w:val="en-US" w:eastAsia="zh-CN" w:bidi="ar"/>
        </w:rPr>
      </w:pPr>
      <mc:AlternateContent>
        <mc:Choice Requires="wpsCustomData">
          <wpsCustomData:docfieldStart id="0" docfieldname="Content" hidden="false" print="true" readonly="false" index="1"/>
        </mc:Choice>
      </mc:AlternateContent>
      <w:bookmarkStart w:id="0" w:name="Content"/>
      <w:r>
        <w:rPr>
          <w:rFonts w:hint="eastAsia" w:ascii="方正小标宋_GBK" w:hAnsi="方正小标宋_GBK" w:eastAsia="方正小标宋_GBK" w:cs="方正小标宋_GBK"/>
          <w:kern w:val="2"/>
          <w:sz w:val="44"/>
          <w:szCs w:val="44"/>
          <w:lang w:val="en-US" w:eastAsia="zh-CN" w:bidi="ar"/>
        </w:rPr>
        <w:t>关于</w:t>
      </w:r>
      <w:r>
        <w:rPr>
          <w:rFonts w:hint="eastAsia" w:ascii="方正小标宋_GBK" w:hAnsi="Calibri" w:eastAsia="方正小标宋_GBK" w:cs="Arial"/>
          <w:kern w:val="2"/>
          <w:sz w:val="44"/>
          <w:szCs w:val="44"/>
          <w:lang w:val="en-US" w:eastAsia="zh-CN" w:bidi="ar"/>
        </w:rPr>
        <w:t>公布2022年江苏省新型数据</w:t>
      </w:r>
      <w:r>
        <w:rPr>
          <w:rFonts w:hint="eastAsia" w:ascii="方正小标宋_GBK" w:hAnsi="方正小标宋_GBK" w:eastAsia="方正小标宋_GBK" w:cs="方正小标宋_GBK"/>
          <w:kern w:val="2"/>
          <w:sz w:val="44"/>
          <w:szCs w:val="44"/>
          <w:lang w:val="en-US" w:eastAsia="zh-CN" w:bidi="ar"/>
        </w:rPr>
        <w:t>中心</w:t>
      </w:r>
    </w:p>
    <w:p>
      <w:pPr>
        <w:keepNext w:val="0"/>
        <w:keepLines w:val="0"/>
        <w:widowControl w:val="0"/>
        <w:suppressLineNumbers w:val="0"/>
        <w:spacing w:before="0" w:beforeAutospacing="0" w:after="0" w:afterAutospacing="0" w:line="590" w:lineRule="exact"/>
        <w:ind w:left="0" w:right="0" w:firstLine="0" w:firstLineChars="0"/>
        <w:jc w:val="center"/>
        <w:rPr>
          <w:rFonts w:hint="eastAsia" w:ascii="方正小标宋_GBK" w:hAnsi="Calibri" w:eastAsia="方正小标宋_GBK" w:cs="Arial"/>
          <w:kern w:val="2"/>
          <w:sz w:val="44"/>
          <w:szCs w:val="44"/>
        </w:rPr>
      </w:pPr>
      <w:r>
        <w:rPr>
          <w:rFonts w:hint="eastAsia" w:ascii="方正小标宋_GBK" w:hAnsi="方正小标宋_GBK" w:eastAsia="方正小标宋_GBK" w:cs="方正小标宋_GBK"/>
          <w:kern w:val="2"/>
          <w:sz w:val="44"/>
          <w:szCs w:val="44"/>
          <w:lang w:val="en-US" w:eastAsia="zh-CN" w:bidi="ar"/>
        </w:rPr>
        <w:t>典型案例</w:t>
      </w:r>
      <w:r>
        <w:rPr>
          <w:rFonts w:hint="eastAsia" w:ascii="方正小标宋_GBK" w:hAnsi="Calibri" w:eastAsia="方正小标宋_GBK" w:cs="Arial"/>
          <w:kern w:val="2"/>
          <w:sz w:val="44"/>
          <w:szCs w:val="44"/>
          <w:lang w:val="en-US" w:eastAsia="zh-CN" w:bidi="ar"/>
        </w:rPr>
        <w:t>名单的通知</w:t>
      </w:r>
    </w:p>
    <w:p>
      <w:pPr>
        <w:keepNext w:val="0"/>
        <w:keepLines w:val="0"/>
        <w:widowControl w:val="0"/>
        <w:suppressLineNumbers w:val="0"/>
        <w:spacing w:before="0" w:beforeAutospacing="0" w:after="0" w:afterAutospacing="0" w:line="590" w:lineRule="exact"/>
        <w:ind w:left="0" w:right="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50" w:lineRule="exact"/>
        <w:ind w:left="0" w:right="0" w:firstLine="0" w:firstLineChars="0"/>
        <w:jc w:val="both"/>
        <w:rPr>
          <w:rFonts w:hint="default" w:ascii="Times New Roman" w:hAnsi="Times New Roman" w:eastAsia="方正仿宋_GBK" w:cs="Times New Roman"/>
          <w:kern w:val="2"/>
          <w:sz w:val="32"/>
          <w:szCs w:val="32"/>
        </w:rPr>
      </w:pPr>
      <w:r>
        <w:rPr>
          <w:rFonts w:hint="eastAsia" w:ascii="方正仿宋_GBK" w:hAnsi="方正仿宋_GBK" w:eastAsia="方正仿宋_GBK" w:cs="方正仿宋_GBK"/>
          <w:kern w:val="2"/>
          <w:sz w:val="32"/>
          <w:szCs w:val="32"/>
          <w:lang w:val="en-US" w:eastAsia="zh-CN" w:bidi="ar"/>
        </w:rPr>
        <w:t>各设区市工信局（大数据产业主管部门），昆山市、泰兴市、沭阳县工信局，</w:t>
      </w:r>
      <w:r>
        <w:rPr>
          <w:rFonts w:hint="eastAsia" w:ascii="Times New Roman" w:hAnsi="Times New Roman" w:eastAsia="方正仿宋_GBK" w:cs="Times New Roman"/>
          <w:kern w:val="2"/>
          <w:sz w:val="32"/>
          <w:szCs w:val="32"/>
          <w:lang w:val="en-US" w:eastAsia="zh-CN" w:bidi="ar"/>
        </w:rPr>
        <w:t>各基础</w:t>
      </w:r>
      <w:r>
        <w:rPr>
          <w:rFonts w:hint="eastAsia" w:ascii="方正仿宋_GBK" w:hAnsi="方正仿宋_GBK" w:eastAsia="方正仿宋_GBK" w:cs="方正仿宋_GBK"/>
          <w:kern w:val="2"/>
          <w:sz w:val="32"/>
          <w:szCs w:val="32"/>
          <w:lang w:val="en-US" w:eastAsia="zh-CN" w:bidi="ar"/>
        </w:rPr>
        <w:t>电信运营企业</w:t>
      </w:r>
      <w:r>
        <w:rPr>
          <w:rFonts w:hint="eastAsia"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有关单位：</w:t>
      </w:r>
    </w:p>
    <w:p>
      <w:pPr>
        <w:keepNext w:val="0"/>
        <w:keepLines w:val="0"/>
        <w:widowControl w:val="0"/>
        <w:suppressLineNumbers w:val="0"/>
        <w:spacing w:before="0" w:beforeAutospacing="0" w:after="0" w:afterAutospacing="0" w:line="550" w:lineRule="exact"/>
        <w:ind w:left="0" w:right="0" w:firstLine="640" w:firstLineChars="200"/>
        <w:jc w:val="both"/>
        <w:rPr>
          <w:rFonts w:hint="default" w:ascii="Times New Roman" w:hAnsi="Times New Roman" w:eastAsia="方正仿宋_GBK" w:cs="Times New Roman"/>
          <w:kern w:val="2"/>
          <w:sz w:val="32"/>
          <w:szCs w:val="32"/>
        </w:rPr>
      </w:pPr>
      <w:r>
        <w:rPr>
          <w:rFonts w:hint="eastAsia" w:ascii="方正仿宋_GBK" w:hAnsi="方正仿宋_GBK" w:eastAsia="方正仿宋_GBK" w:cs="方正仿宋_GBK"/>
          <w:kern w:val="2"/>
          <w:sz w:val="32"/>
          <w:szCs w:val="32"/>
          <w:lang w:val="en-US" w:eastAsia="zh-CN" w:bidi="ar"/>
        </w:rPr>
        <w:t>为贯彻</w:t>
      </w:r>
      <w:r>
        <w:rPr>
          <w:rFonts w:hint="eastAsia" w:ascii="Times New Roman" w:hAnsi="Times New Roman" w:eastAsia="方正仿宋_GBK" w:cs="Times New Roman"/>
          <w:kern w:val="2"/>
          <w:sz w:val="32"/>
          <w:szCs w:val="32"/>
          <w:lang w:val="en-US" w:eastAsia="zh-CN" w:bidi="ar"/>
        </w:rPr>
        <w:t>落实工信部《新型数据中心三年发展行动计划（</w:t>
      </w:r>
      <w:r>
        <w:rPr>
          <w:rFonts w:hint="default" w:ascii="Times New Roman" w:hAnsi="Times New Roman" w:eastAsia="方正仿宋_GBK" w:cs="Times New Roman"/>
          <w:kern w:val="2"/>
          <w:sz w:val="32"/>
          <w:szCs w:val="32"/>
          <w:lang w:val="en-US" w:eastAsia="zh-CN" w:bidi="ar"/>
        </w:rPr>
        <w:t>2021-2023</w:t>
      </w:r>
      <w:r>
        <w:rPr>
          <w:rFonts w:hint="eastAsia" w:ascii="方正仿宋_GBK" w:hAnsi="方正仿宋_GBK" w:eastAsia="方正仿宋_GBK" w:cs="方正仿宋_GBK"/>
          <w:kern w:val="2"/>
          <w:sz w:val="32"/>
          <w:szCs w:val="32"/>
          <w:lang w:val="en-US" w:eastAsia="zh-CN" w:bidi="ar"/>
        </w:rPr>
        <w:t>年）》和《江苏省新型数据中心统筹发展实施意见》，</w:t>
      </w:r>
      <w:r>
        <w:rPr>
          <w:rFonts w:hint="eastAsia" w:ascii="Times New Roman" w:hAnsi="Times New Roman" w:eastAsia="方正仿宋_GBK" w:cs="Times New Roman"/>
          <w:kern w:val="2"/>
          <w:sz w:val="32"/>
          <w:szCs w:val="32"/>
          <w:lang w:val="en-US" w:eastAsia="zh-CN" w:bidi="ar"/>
        </w:rPr>
        <w:t>我厅组织开展</w:t>
      </w:r>
      <w:r>
        <w:rPr>
          <w:rFonts w:hint="default" w:ascii="Times New Roman" w:hAnsi="Times New Roman" w:eastAsia="方正仿宋_GBK" w:cs="Times New Roman"/>
          <w:kern w:val="2"/>
          <w:sz w:val="32"/>
          <w:szCs w:val="32"/>
          <w:lang w:val="en-US" w:eastAsia="zh-CN" w:bidi="ar"/>
        </w:rPr>
        <w:t>2022</w:t>
      </w:r>
      <w:r>
        <w:rPr>
          <w:rFonts w:hint="eastAsia" w:ascii="方正仿宋_GBK" w:hAnsi="方正仿宋_GBK" w:eastAsia="方正仿宋_GBK" w:cs="方正仿宋_GBK"/>
          <w:kern w:val="2"/>
          <w:sz w:val="32"/>
          <w:szCs w:val="32"/>
          <w:lang w:val="en-US" w:eastAsia="zh-CN" w:bidi="ar"/>
        </w:rPr>
        <w:t>年江苏省新型数据中心典型</w:t>
      </w:r>
      <w:r>
        <w:rPr>
          <w:rFonts w:hint="eastAsia" w:ascii="Times New Roman" w:hAnsi="Times New Roman" w:eastAsia="方正仿宋_GBK" w:cs="Times New Roman"/>
          <w:kern w:val="2"/>
          <w:sz w:val="32"/>
          <w:szCs w:val="32"/>
          <w:lang w:val="en-US" w:eastAsia="zh-CN" w:bidi="ar"/>
        </w:rPr>
        <w:t>案例遴选工作。经</w:t>
      </w:r>
      <w:r>
        <w:rPr>
          <w:rFonts w:hint="eastAsia" w:ascii="方正仿宋_GBK" w:hAnsi="方正仿宋_GBK" w:eastAsia="方正仿宋_GBK" w:cs="方正仿宋_GBK"/>
          <w:kern w:val="2"/>
          <w:sz w:val="32"/>
          <w:szCs w:val="32"/>
          <w:lang w:val="en-US" w:eastAsia="zh-CN" w:bidi="ar"/>
        </w:rPr>
        <w:t>企业申报、</w:t>
      </w:r>
      <w:r>
        <w:rPr>
          <w:rFonts w:hint="eastAsia" w:ascii="Times New Roman" w:hAnsi="Times New Roman" w:eastAsia="方正仿宋_GBK" w:cs="Times New Roman"/>
          <w:kern w:val="2"/>
          <w:sz w:val="32"/>
          <w:szCs w:val="32"/>
          <w:lang w:val="en-US" w:eastAsia="zh-CN" w:bidi="ar"/>
        </w:rPr>
        <w:t>地方</w:t>
      </w:r>
      <w:r>
        <w:rPr>
          <w:rFonts w:hint="eastAsia" w:ascii="方正仿宋_GBK" w:hAnsi="方正仿宋_GBK" w:eastAsia="方正仿宋_GBK" w:cs="方正仿宋_GBK"/>
          <w:kern w:val="2"/>
          <w:sz w:val="32"/>
          <w:szCs w:val="32"/>
          <w:lang w:val="en-US" w:eastAsia="zh-CN" w:bidi="ar"/>
        </w:rPr>
        <w:t>推荐、</w:t>
      </w:r>
      <w:r>
        <w:rPr>
          <w:rFonts w:hint="eastAsia" w:ascii="Times New Roman" w:hAnsi="Times New Roman" w:eastAsia="方正仿宋_GBK" w:cs="Times New Roman"/>
          <w:kern w:val="2"/>
          <w:sz w:val="32"/>
          <w:szCs w:val="32"/>
          <w:lang w:val="en-US" w:eastAsia="zh-CN" w:bidi="ar"/>
        </w:rPr>
        <w:t>形式审查</w:t>
      </w:r>
      <w:r>
        <w:rPr>
          <w:rFonts w:hint="eastAsia" w:ascii="方正仿宋_GBK" w:hAnsi="方正仿宋_GBK" w:eastAsia="方正仿宋_GBK" w:cs="方正仿宋_GBK"/>
          <w:kern w:val="2"/>
          <w:sz w:val="32"/>
          <w:szCs w:val="32"/>
          <w:lang w:val="en-US" w:eastAsia="zh-CN" w:bidi="ar"/>
        </w:rPr>
        <w:t>、</w:t>
      </w:r>
      <w:r>
        <w:rPr>
          <w:rFonts w:hint="eastAsia" w:ascii="Times New Roman" w:hAnsi="Times New Roman" w:eastAsia="方正仿宋_GBK" w:cs="Times New Roman"/>
          <w:kern w:val="2"/>
          <w:sz w:val="32"/>
          <w:szCs w:val="32"/>
          <w:lang w:val="en-US" w:eastAsia="zh-CN" w:bidi="ar"/>
        </w:rPr>
        <w:t>专家评审、网上</w:t>
      </w:r>
      <w:r>
        <w:rPr>
          <w:rFonts w:hint="eastAsia" w:ascii="方正仿宋_GBK" w:hAnsi="方正仿宋_GBK" w:eastAsia="方正仿宋_GBK" w:cs="方正仿宋_GBK"/>
          <w:kern w:val="2"/>
          <w:sz w:val="32"/>
          <w:szCs w:val="32"/>
          <w:lang w:val="en-US" w:eastAsia="zh-CN" w:bidi="ar"/>
        </w:rPr>
        <w:t>公示</w:t>
      </w:r>
      <w:r>
        <w:rPr>
          <w:rFonts w:hint="eastAsia" w:ascii="Times New Roman" w:hAnsi="Times New Roman" w:eastAsia="方正仿宋_GBK" w:cs="Times New Roman"/>
          <w:kern w:val="2"/>
          <w:sz w:val="32"/>
          <w:szCs w:val="32"/>
          <w:lang w:val="en-US" w:eastAsia="zh-CN" w:bidi="ar"/>
        </w:rPr>
        <w:t>等环节，遴选出中国电信股份有限公司苏州分公司的苏州太湖国际信息中心等</w:t>
      </w:r>
      <w:r>
        <w:rPr>
          <w:rFonts w:hint="default" w:ascii="Times New Roman" w:hAnsi="Times New Roman" w:eastAsia="方正仿宋_GBK" w:cs="Times New Roman"/>
          <w:kern w:val="2"/>
          <w:sz w:val="32"/>
          <w:szCs w:val="32"/>
          <w:lang w:val="en-US" w:eastAsia="zh-CN" w:bidi="ar"/>
        </w:rPr>
        <w:t>6</w:t>
      </w:r>
      <w:r>
        <w:rPr>
          <w:rFonts w:hint="eastAsia" w:ascii="方正仿宋_GBK" w:hAnsi="方正仿宋_GBK" w:eastAsia="方正仿宋_GBK" w:cs="方正仿宋_GBK"/>
          <w:kern w:val="2"/>
          <w:sz w:val="32"/>
          <w:szCs w:val="32"/>
          <w:lang w:val="en-US" w:eastAsia="zh-CN" w:bidi="ar"/>
        </w:rPr>
        <w:t>个典型案例，</w:t>
      </w:r>
      <w:r>
        <w:rPr>
          <w:rFonts w:hint="eastAsia" w:ascii="Times New Roman" w:hAnsi="Times New Roman" w:eastAsia="方正仿宋_GBK" w:cs="Times New Roman"/>
          <w:kern w:val="2"/>
          <w:sz w:val="32"/>
          <w:szCs w:val="32"/>
          <w:lang w:val="en-US" w:eastAsia="zh-CN" w:bidi="ar"/>
        </w:rPr>
        <w:t>现将</w:t>
      </w:r>
      <w:r>
        <w:rPr>
          <w:rFonts w:hint="eastAsia" w:ascii="方正仿宋_GBK" w:hAnsi="方正仿宋_GBK" w:eastAsia="方正仿宋_GBK" w:cs="方正仿宋_GBK"/>
          <w:kern w:val="2"/>
          <w:sz w:val="32"/>
          <w:szCs w:val="32"/>
          <w:lang w:val="en-US" w:eastAsia="zh-CN" w:bidi="ar"/>
        </w:rPr>
        <w:t>名单予以公布</w:t>
      </w:r>
      <w:r>
        <w:rPr>
          <w:rFonts w:hint="eastAsia" w:ascii="Times New Roman" w:hAnsi="Times New Roman" w:eastAsia="方正仿宋_GBK" w:cs="Times New Roman"/>
          <w:kern w:val="2"/>
          <w:sz w:val="32"/>
          <w:szCs w:val="32"/>
          <w:lang w:val="en-US" w:eastAsia="zh-CN" w:bidi="ar"/>
        </w:rPr>
        <w:t>。</w:t>
      </w:r>
    </w:p>
    <w:p>
      <w:pPr>
        <w:keepNext w:val="0"/>
        <w:keepLines w:val="0"/>
        <w:widowControl w:val="0"/>
        <w:suppressLineNumbers w:val="0"/>
        <w:spacing w:before="0" w:beforeAutospacing="0" w:after="0" w:afterAutospacing="0" w:line="550" w:lineRule="exact"/>
        <w:ind w:left="0" w:right="0" w:firstLine="640" w:firstLineChars="200"/>
        <w:jc w:val="both"/>
        <w:rPr>
          <w:rFonts w:hint="eastAsia" w:ascii="Times New Roman" w:hAnsi="Times New Roman" w:eastAsia="方正仿宋_GBK" w:cs="Times New Roman"/>
          <w:kern w:val="2"/>
          <w:sz w:val="32"/>
          <w:szCs w:val="32"/>
          <w:lang w:val="en-US" w:eastAsia="zh-CN" w:bidi="ar"/>
        </w:rPr>
      </w:pPr>
      <w:r>
        <w:rPr>
          <w:rFonts w:hint="eastAsia" w:ascii="Times New Roman" w:hAnsi="Times New Roman" w:eastAsia="方正仿宋_GBK" w:cs="Times New Roman"/>
          <w:kern w:val="2"/>
          <w:sz w:val="32"/>
          <w:szCs w:val="32"/>
          <w:lang w:val="en-US" w:eastAsia="zh-CN" w:bidi="ar"/>
        </w:rPr>
        <w:t>各单位要</w:t>
      </w:r>
      <w:r>
        <w:rPr>
          <w:rFonts w:hint="eastAsia" w:ascii="方正仿宋_GBK" w:hAnsi="方正仿宋_GBK" w:eastAsia="方正仿宋_GBK" w:cs="方正仿宋_GBK"/>
          <w:kern w:val="2"/>
          <w:sz w:val="32"/>
          <w:szCs w:val="32"/>
          <w:lang w:val="en-US" w:eastAsia="zh-CN" w:bidi="ar"/>
        </w:rPr>
        <w:t>加大对</w:t>
      </w:r>
      <w:r>
        <w:rPr>
          <w:rFonts w:hint="eastAsia" w:ascii="Times New Roman" w:hAnsi="Times New Roman" w:eastAsia="方正仿宋_GBK" w:cs="Times New Roman"/>
          <w:kern w:val="2"/>
          <w:sz w:val="32"/>
          <w:szCs w:val="32"/>
          <w:lang w:val="en-US" w:eastAsia="zh-CN" w:bidi="ar"/>
        </w:rPr>
        <w:t>典型案例</w:t>
      </w:r>
      <w:r>
        <w:rPr>
          <w:rFonts w:hint="eastAsia" w:ascii="方正仿宋_GBK" w:hAnsi="方正仿宋_GBK" w:eastAsia="方正仿宋_GBK" w:cs="方正仿宋_GBK"/>
          <w:kern w:val="2"/>
          <w:sz w:val="32"/>
          <w:szCs w:val="32"/>
          <w:lang w:val="en-US" w:eastAsia="zh-CN" w:bidi="ar"/>
        </w:rPr>
        <w:t>的宣传推广，</w:t>
      </w:r>
      <w:r>
        <w:rPr>
          <w:rFonts w:hint="eastAsia" w:ascii="Times New Roman" w:hAnsi="Times New Roman" w:eastAsia="方正仿宋_GBK" w:cs="Times New Roman"/>
          <w:kern w:val="2"/>
          <w:sz w:val="32"/>
          <w:szCs w:val="32"/>
          <w:lang w:val="en-US" w:eastAsia="zh-CN" w:bidi="ar"/>
        </w:rPr>
        <w:t>大力</w:t>
      </w:r>
      <w:r>
        <w:rPr>
          <w:rFonts w:hint="eastAsia" w:ascii="方正仿宋_GBK" w:hAnsi="方正仿宋_GBK" w:eastAsia="方正仿宋_GBK" w:cs="方正仿宋_GBK"/>
          <w:kern w:val="2"/>
          <w:sz w:val="32"/>
          <w:szCs w:val="32"/>
          <w:lang w:val="en-US" w:eastAsia="zh-CN" w:bidi="ar"/>
        </w:rPr>
        <w:t>推进智能算力中心、边缘数据中心等新型</w:t>
      </w:r>
      <w:r>
        <w:rPr>
          <w:rFonts w:hint="eastAsia" w:ascii="Times New Roman" w:hAnsi="Times New Roman" w:eastAsia="方正仿宋_GBK" w:cs="Times New Roman"/>
          <w:kern w:val="2"/>
          <w:sz w:val="32"/>
          <w:szCs w:val="32"/>
          <w:lang w:val="en-US" w:eastAsia="zh-CN" w:bidi="ar"/>
        </w:rPr>
        <w:t>算力</w:t>
      </w:r>
      <w:r>
        <w:rPr>
          <w:rFonts w:hint="eastAsia" w:ascii="方正仿宋_GBK" w:hAnsi="方正仿宋_GBK" w:eastAsia="方正仿宋_GBK" w:cs="方正仿宋_GBK"/>
          <w:kern w:val="2"/>
          <w:sz w:val="32"/>
          <w:szCs w:val="32"/>
          <w:lang w:val="en-US" w:eastAsia="zh-CN" w:bidi="ar"/>
        </w:rPr>
        <w:t>基础设施</w:t>
      </w:r>
      <w:r>
        <w:rPr>
          <w:rFonts w:hint="eastAsia" w:ascii="Times New Roman" w:hAnsi="Times New Roman" w:eastAsia="方正仿宋_GBK" w:cs="Times New Roman"/>
          <w:kern w:val="2"/>
          <w:sz w:val="32"/>
          <w:szCs w:val="32"/>
          <w:lang w:val="en-US" w:eastAsia="zh-CN" w:bidi="ar"/>
        </w:rPr>
        <w:t>建设</w:t>
      </w:r>
      <w:r>
        <w:rPr>
          <w:rFonts w:hint="eastAsia" w:ascii="方正仿宋_GBK" w:hAnsi="方正仿宋_GBK" w:eastAsia="方正仿宋_GBK" w:cs="方正仿宋_GBK"/>
          <w:kern w:val="2"/>
          <w:sz w:val="32"/>
          <w:szCs w:val="32"/>
          <w:lang w:val="en-US" w:eastAsia="zh-CN" w:bidi="ar"/>
        </w:rPr>
        <w:t>，</w:t>
      </w:r>
      <w:r>
        <w:rPr>
          <w:rFonts w:hint="eastAsia" w:ascii="Times New Roman" w:hAnsi="Times New Roman" w:eastAsia="方正仿宋_GBK" w:cs="Times New Roman"/>
          <w:kern w:val="2"/>
          <w:sz w:val="32"/>
          <w:szCs w:val="32"/>
          <w:lang w:val="en-US" w:eastAsia="zh-CN" w:bidi="ar"/>
        </w:rPr>
        <w:t>加</w:t>
      </w:r>
      <w:r>
        <w:rPr>
          <w:rFonts w:hint="eastAsia" w:ascii="方正仿宋_GBK" w:hAnsi="方正仿宋_GBK" w:eastAsia="方正仿宋_GBK" w:cs="方正仿宋_GBK"/>
          <w:kern w:val="2"/>
          <w:sz w:val="32"/>
          <w:szCs w:val="32"/>
          <w:lang w:val="en-US" w:eastAsia="zh-CN" w:bidi="ar"/>
        </w:rPr>
        <w:t>快老旧数据中心改造，</w:t>
      </w:r>
      <w:r>
        <w:rPr>
          <w:rFonts w:hint="eastAsia" w:ascii="Times New Roman" w:hAnsi="Times New Roman" w:eastAsia="方正仿宋_GBK" w:cs="Times New Roman"/>
          <w:kern w:val="2"/>
          <w:sz w:val="32"/>
          <w:szCs w:val="32"/>
          <w:lang w:val="en-US" w:eastAsia="zh-CN" w:bidi="ar"/>
        </w:rPr>
        <w:t>促进</w:t>
      </w:r>
      <w:r>
        <w:rPr>
          <w:rFonts w:hint="eastAsia" w:ascii="方正仿宋_GBK" w:hAnsi="方正仿宋_GBK" w:eastAsia="方正仿宋_GBK" w:cs="方正仿宋_GBK"/>
          <w:kern w:val="2"/>
          <w:sz w:val="32"/>
          <w:szCs w:val="32"/>
          <w:lang w:val="en-US" w:eastAsia="zh-CN" w:bidi="ar"/>
        </w:rPr>
        <w:t>算力赋能</w:t>
      </w:r>
      <w:r>
        <w:rPr>
          <w:rFonts w:hint="eastAsia" w:ascii="Times New Roman" w:hAnsi="Times New Roman" w:eastAsia="方正仿宋_GBK" w:cs="Times New Roman"/>
          <w:kern w:val="2"/>
          <w:sz w:val="32"/>
          <w:szCs w:val="32"/>
          <w:lang w:val="en-US" w:eastAsia="zh-CN" w:bidi="ar"/>
        </w:rPr>
        <w:t>行</w:t>
      </w:r>
      <w:r>
        <w:rPr>
          <w:rFonts w:hint="eastAsia" w:ascii="方正仿宋_GBK" w:hAnsi="方正仿宋_GBK" w:eastAsia="方正仿宋_GBK" w:cs="方正仿宋_GBK"/>
          <w:kern w:val="2"/>
          <w:sz w:val="32"/>
          <w:szCs w:val="32"/>
          <w:lang w:val="en-US" w:eastAsia="zh-CN" w:bidi="ar"/>
        </w:rPr>
        <w:t>业数字化转型</w:t>
      </w:r>
      <w:r>
        <w:rPr>
          <w:rFonts w:hint="eastAsia" w:ascii="Times New Roman" w:hAnsi="Times New Roman" w:eastAsia="方正仿宋_GBK" w:cs="Times New Roman"/>
          <w:kern w:val="2"/>
          <w:sz w:val="32"/>
          <w:szCs w:val="32"/>
          <w:lang w:val="en-US" w:eastAsia="zh-CN" w:bidi="ar"/>
        </w:rPr>
        <w:t>，有力</w:t>
      </w:r>
      <w:r>
        <w:rPr>
          <w:rFonts w:hint="eastAsia" w:ascii="方正仿宋_GBK" w:hAnsi="方正仿宋_GBK" w:eastAsia="方正仿宋_GBK" w:cs="方正仿宋_GBK"/>
          <w:kern w:val="2"/>
          <w:sz w:val="32"/>
          <w:szCs w:val="32"/>
          <w:lang w:val="en-US" w:eastAsia="zh-CN" w:bidi="ar"/>
        </w:rPr>
        <w:t>支撑我省数字经济发展</w:t>
      </w:r>
      <w:r>
        <w:rPr>
          <w:rFonts w:hint="eastAsia" w:ascii="Times New Roman" w:hAnsi="Times New Roman" w:eastAsia="方正仿宋_GBK" w:cs="Times New Roman"/>
          <w:kern w:val="2"/>
          <w:sz w:val="32"/>
          <w:szCs w:val="32"/>
          <w:lang w:val="en-US" w:eastAsia="zh-CN" w:bidi="ar"/>
        </w:rPr>
        <w:t>。</w:t>
      </w:r>
    </w:p>
    <w:p>
      <w:pPr>
        <w:keepNext w:val="0"/>
        <w:keepLines w:val="0"/>
        <w:widowControl w:val="0"/>
        <w:suppressLineNumbers w:val="0"/>
        <w:spacing w:before="0" w:beforeAutospacing="0" w:after="0" w:afterAutospacing="0" w:line="590" w:lineRule="exact"/>
        <w:ind w:left="0" w:right="0" w:firstLine="640" w:firstLineChars="200"/>
        <w:jc w:val="both"/>
        <w:rPr>
          <w:rFonts w:hint="default" w:ascii="Times New Roman" w:hAnsi="Times New Roman" w:eastAsia="方正仿宋_GBK" w:cs="Times New Roman"/>
          <w:kern w:val="2"/>
          <w:sz w:val="32"/>
          <w:szCs w:val="32"/>
          <w:lang w:val="en-US" w:eastAsia="zh-CN" w:bidi="ar"/>
        </w:rPr>
      </w:pPr>
    </w:p>
    <w:p>
      <w:pPr>
        <w:keepNext w:val="0"/>
        <w:keepLines w:val="0"/>
        <w:widowControl w:val="0"/>
        <w:suppressLineNumbers w:val="0"/>
        <w:spacing w:before="0" w:beforeAutospacing="0" w:after="0" w:afterAutospacing="0" w:line="590" w:lineRule="exact"/>
        <w:ind w:left="0" w:right="0" w:firstLine="640" w:firstLineChars="200"/>
        <w:jc w:val="both"/>
        <w:rPr>
          <w:rFonts w:hint="default" w:ascii="Times New Roman" w:hAnsi="Times New Roman" w:eastAsia="方正仿宋_GBK" w:cs="Times New Roman"/>
          <w:kern w:val="2"/>
          <w:sz w:val="32"/>
          <w:szCs w:val="32"/>
        </w:rPr>
      </w:pPr>
      <w:r>
        <w:rPr>
          <w:rFonts w:hint="eastAsia" w:ascii="方正仿宋_GBK" w:hAnsi="方正仿宋_GBK" w:eastAsia="方正仿宋_GBK" w:cs="方正仿宋_GBK"/>
          <w:kern w:val="2"/>
          <w:sz w:val="32"/>
          <w:szCs w:val="32"/>
          <w:lang w:val="en-US" w:eastAsia="zh-CN" w:bidi="ar"/>
        </w:rPr>
        <w:t>附件：</w:t>
      </w:r>
      <w:r>
        <w:rPr>
          <w:rFonts w:hint="default" w:ascii="Times New Roman" w:hAnsi="Times New Roman" w:eastAsia="方正仿宋_GBK" w:cs="Times New Roman"/>
          <w:kern w:val="2"/>
          <w:sz w:val="32"/>
          <w:szCs w:val="32"/>
          <w:lang w:val="en-US" w:eastAsia="zh-CN" w:bidi="ar"/>
        </w:rPr>
        <w:t>2022</w:t>
      </w:r>
      <w:r>
        <w:rPr>
          <w:rFonts w:hint="eastAsia" w:ascii="Times New Roman" w:hAnsi="Times New Roman" w:eastAsia="方正仿宋_GBK" w:cs="Times New Roman"/>
          <w:kern w:val="2"/>
          <w:sz w:val="32"/>
          <w:szCs w:val="32"/>
          <w:lang w:val="en-US" w:eastAsia="zh-CN" w:bidi="ar"/>
        </w:rPr>
        <w:t>年</w:t>
      </w:r>
      <w:r>
        <w:rPr>
          <w:rFonts w:hint="eastAsia" w:ascii="方正仿宋_GBK" w:hAnsi="方正仿宋_GBK" w:eastAsia="方正仿宋_GBK" w:cs="方正仿宋_GBK"/>
          <w:kern w:val="2"/>
          <w:sz w:val="32"/>
          <w:szCs w:val="32"/>
          <w:lang w:val="en-US" w:eastAsia="zh-CN" w:bidi="ar"/>
        </w:rPr>
        <w:t>江苏省</w:t>
      </w:r>
      <w:r>
        <w:rPr>
          <w:rFonts w:hint="eastAsia" w:ascii="Times New Roman" w:hAnsi="Times New Roman" w:eastAsia="方正仿宋_GBK" w:cs="Times New Roman"/>
          <w:kern w:val="2"/>
          <w:sz w:val="32"/>
          <w:szCs w:val="32"/>
          <w:lang w:val="en-US" w:eastAsia="zh-CN" w:bidi="ar"/>
        </w:rPr>
        <w:t>新型</w:t>
      </w:r>
      <w:r>
        <w:rPr>
          <w:rFonts w:hint="eastAsia" w:ascii="方正仿宋_GBK" w:hAnsi="方正仿宋_GBK" w:eastAsia="方正仿宋_GBK" w:cs="方正仿宋_GBK"/>
          <w:kern w:val="2"/>
          <w:sz w:val="32"/>
          <w:szCs w:val="32"/>
          <w:lang w:val="en-US" w:eastAsia="zh-CN" w:bidi="ar"/>
        </w:rPr>
        <w:t>数据中心</w:t>
      </w:r>
      <w:r>
        <w:rPr>
          <w:rFonts w:hint="eastAsia" w:ascii="Times New Roman" w:hAnsi="Times New Roman" w:eastAsia="方正仿宋_GBK" w:cs="Times New Roman"/>
          <w:kern w:val="2"/>
          <w:sz w:val="32"/>
          <w:szCs w:val="32"/>
          <w:lang w:val="en-US" w:eastAsia="zh-CN" w:bidi="ar"/>
        </w:rPr>
        <w:t>典型案例</w:t>
      </w:r>
      <w:r>
        <w:rPr>
          <w:rFonts w:hint="eastAsia" w:ascii="方正仿宋_GBK" w:hAnsi="方正仿宋_GBK" w:eastAsia="方正仿宋_GBK" w:cs="方正仿宋_GBK"/>
          <w:kern w:val="2"/>
          <w:sz w:val="32"/>
          <w:szCs w:val="32"/>
          <w:lang w:val="en-US" w:eastAsia="zh-CN" w:bidi="ar"/>
        </w:rPr>
        <w:t>名单</w:t>
      </w:r>
    </w:p>
    <w:p>
      <w:pPr>
        <w:keepNext w:val="0"/>
        <w:keepLines w:val="0"/>
        <w:widowControl w:val="0"/>
        <w:suppressLineNumbers w:val="0"/>
        <w:spacing w:before="0" w:beforeAutospacing="0" w:after="0" w:afterAutospacing="0" w:line="590" w:lineRule="exact"/>
        <w:ind w:left="0" w:right="0" w:firstLine="5440" w:firstLineChars="17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90" w:lineRule="exact"/>
        <w:ind w:left="0" w:right="0" w:firstLine="5440" w:firstLineChars="17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 xml:space="preserve"> </w:t>
      </w:r>
      <w:bookmarkEnd w:id="0"/>
    </w:p>
    <mc:AlternateContent>
      <mc:Choice Requires="wpsCustomData">
        <wpsCustomData:docfieldEnd id="0"/>
      </mc:Choice>
    </mc:AlternateContent>
    <w:p>
      <w:pPr>
        <w:spacing w:line="580" w:lineRule="exact"/>
        <w:ind w:firstLine="640"/>
        <w:rPr>
          <w:rFonts w:ascii="Times New Roman" w:hAnsi="Times New Roman" w:eastAsia="方正仿宋_GBK"/>
          <w:sz w:val="32"/>
          <w:szCs w:val="32"/>
        </w:rPr>
      </w:pPr>
    </w:p>
    <w:p>
      <w:pPr>
        <w:spacing w:line="580" w:lineRule="exact"/>
        <w:ind w:firstLine="640"/>
        <w:rPr>
          <w:rFonts w:ascii="Times New Roman" w:hAnsi="Times New Roman" w:eastAsia="方正仿宋_GBK"/>
          <w:sz w:val="32"/>
          <w:szCs w:val="32"/>
        </w:rPr>
      </w:pPr>
    </w:p>
    <w:p>
      <w:pPr>
        <w:spacing w:line="580" w:lineRule="exact"/>
        <w:ind w:firstLine="4252" w:firstLineChars="1329"/>
        <w:rPr>
          <w:rFonts w:ascii="Times New Roman" w:hAnsi="Times New Roman" w:eastAsia="方正仿宋_GBK"/>
          <w:sz w:val="32"/>
          <w:szCs w:val="32"/>
        </w:rPr>
      </w:pPr>
      <w:r>
        <w:rPr>
          <w:rFonts w:ascii="Times New Roman" w:hAnsi="Times New Roman" w:eastAsia="方正仿宋_GBK"/>
          <w:sz w:val="32"/>
          <w:szCs w:val="32"/>
        </w:rPr>
        <w:t>江苏省工业和信息化厅</w:t>
      </w:r>
    </w:p>
    <w:p>
      <w:pPr>
        <w:spacing w:line="580" w:lineRule="exact"/>
        <w:ind w:firstLine="4675" w:firstLineChars="1461"/>
        <w:rPr>
          <w:rFonts w:hint="default" w:ascii="Times New Roman" w:hAnsi="Times New Roman" w:eastAsia="方正仿宋_GBK"/>
          <w:sz w:val="32"/>
          <w:szCs w:val="32"/>
          <w:lang w:val="en"/>
        </w:rPr>
      </w:pPr>
      <mc:AlternateContent>
        <mc:Choice Requires="wpsCustomData">
          <wpsCustomData:docfieldStart id="1" docfieldname="签发日期" hidden="false" print="true" readonly="false" index="5"/>
        </mc:Choice>
      </mc:AlternateContent>
      <w:bookmarkStart w:id="1" w:name="签发日期"/>
      <w:r>
        <w:rPr>
          <w:rFonts w:ascii="Times New Roman" w:hAnsi="Times New Roman" w:eastAsia="方正仿宋_GBK"/>
          <w:sz w:val="32"/>
          <w:szCs w:val="32"/>
          <w:lang w:val="en"/>
        </w:rPr>
        <w:t>2022年12月1</w:t>
      </w:r>
      <w:r>
        <w:rPr>
          <w:rFonts w:hint="default" w:ascii="Times New Roman" w:hAnsi="Times New Roman" w:eastAsia="方正仿宋_GBK"/>
          <w:sz w:val="32"/>
          <w:szCs w:val="32"/>
          <w:lang w:val="en"/>
        </w:rPr>
        <w:t>9</w:t>
      </w:r>
      <w:r>
        <w:rPr>
          <w:rFonts w:ascii="Times New Roman" w:hAnsi="Times New Roman" w:eastAsia="方正仿宋_GBK"/>
          <w:sz w:val="32"/>
          <w:szCs w:val="32"/>
          <w:lang w:val="en"/>
        </w:rPr>
        <w:t>日</w:t>
      </w:r>
      <mc:AlternateContent>
        <mc:Choice Requires="wpsCustomData">
          <wpsCustomData:docfieldEnd id="1"/>
        </mc:Choice>
      </mc:AlternateContent>
    </w:p>
    <w:bookmarkEnd w:id="1"/>
    <w:p>
      <w:pPr>
        <w:spacing w:line="580" w:lineRule="exact"/>
        <w:ind w:firstLine="4675" w:firstLineChars="1461"/>
        <w:rPr>
          <w:rFonts w:ascii="Times New Roman" w:hAnsi="Times New Roman" w:eastAsia="方正仿宋_GBK"/>
          <w:sz w:val="32"/>
          <w:szCs w:val="32"/>
        </w:rPr>
      </w:pPr>
    </w:p>
    <w:p>
      <w:pPr>
        <w:spacing w:line="580" w:lineRule="exact"/>
        <w:ind w:firstLine="4675" w:firstLineChars="1461"/>
        <w:rPr>
          <w:rFonts w:ascii="Times New Roman" w:hAnsi="Times New Roman" w:eastAsia="方正仿宋_GBK"/>
          <w:sz w:val="32"/>
          <w:szCs w:val="32"/>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spacing w:line="580" w:lineRule="exact"/>
        <w:ind w:firstLine="560"/>
        <w:rPr>
          <w:rFonts w:ascii="方正黑体_GBK" w:hAnsi="Times New Roman" w:eastAsia="方正黑体_GBK"/>
          <w:sz w:val="28"/>
          <w:szCs w:val="28"/>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0" w:firstLineChars="0"/>
        <w:rPr>
          <w:rFonts w:ascii="Times New Roman" w:hAnsi="Times New Roman" w:eastAsia="仿宋"/>
          <w:sz w:val="32"/>
          <w:szCs w:val="32"/>
        </w:rPr>
      </w:pPr>
    </w:p>
    <w:p>
      <w:pPr>
        <w:adjustRightInd w:val="0"/>
        <w:snapToGrid w:val="0"/>
        <w:spacing w:line="600" w:lineRule="atLeast"/>
        <w:ind w:firstLine="294" w:firstLineChars="105"/>
        <w:outlineLvl w:val="0"/>
        <w:rPr>
          <w:rFonts w:ascii="Times New Roman" w:hAnsi="Times New Roman"/>
        </w:rPr>
      </w:pPr>
      <w:r>
        <w:rPr>
          <w:rFonts w:ascii="Times New Roman" w:hAnsi="Times New Roman" w:eastAsia="方正仿宋_GBK"/>
          <w:sz w:val="28"/>
          <w:szCs w:val="28"/>
        </w:rPr>
        <mc:AlternateContent>
          <mc:Choice Requires="wps">
            <w:drawing>
              <wp:anchor distT="0" distB="0" distL="114300" distR="114300" simplePos="0" relativeHeight="251662336" behindDoc="0" locked="0" layoutInCell="1" allowOverlap="1">
                <wp:simplePos x="0" y="0"/>
                <wp:positionH relativeFrom="margin">
                  <wp:posOffset>-8255</wp:posOffset>
                </wp:positionH>
                <wp:positionV relativeFrom="paragraph">
                  <wp:posOffset>22860</wp:posOffset>
                </wp:positionV>
                <wp:extent cx="5659120" cy="34290"/>
                <wp:effectExtent l="0" t="6350" r="17780" b="16510"/>
                <wp:wrapNone/>
                <wp:docPr id="4" name="直接连接符 4"/>
                <wp:cNvGraphicFramePr/>
                <a:graphic xmlns:a="http://schemas.openxmlformats.org/drawingml/2006/main">
                  <a:graphicData uri="http://schemas.microsoft.com/office/word/2010/wordprocessingShape">
                    <wps:wsp>
                      <wps:cNvCnPr>
                        <a:cxnSpLocks noChangeShapeType="true"/>
                      </wps:cNvCnPr>
                      <wps:spPr bwMode="auto">
                        <a:xfrm flipV="true">
                          <a:off x="0" y="0"/>
                          <a:ext cx="5658929" cy="34505"/>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5pt;margin-top:1.8pt;height:2.7pt;width:445.6pt;mso-position-horizontal-relative:margin;z-index:251662336;mso-width-relative:page;mso-height-relative:page;" filled="f" stroked="t" coordsize="21600,21600" o:gfxdata="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BYAAABkcnMvUEsBAhQAFAAAAAgAh07iQIBS&#10;o77WAAAABgEAAA8AAAAAAAAAAQAgAAAAOAAAAGRycy9kb3ducmV2LnhtbFBLAQIUABQAAAAIAIdO&#10;4kDQ3Xco1gEAAHEDAAAOAAAAAAAAAAEAIAAAADsBAABkcnMvZTJvRG9jLnhtbFBLBQYAAAAABgAG&#10;AFkBAACDBQAAAAA=&#10;">
                <v:fill on="f" focussize="0,0"/>
                <v:stroke weight="1pt" color="#000000" joinstyle="round"/>
                <v:imagedata o:title=""/>
                <o:lock v:ext="edit" aspectratio="f"/>
              </v:line>
            </w:pict>
          </mc:Fallback>
        </mc:AlternateContent>
      </w:r>
      <w:r>
        <w:rPr>
          <w:rFonts w:ascii="Times New Roman" w:hAnsi="Times New Roman" w:eastAsia="方正仿宋_GBK"/>
          <w:sz w:val="28"/>
          <w:szCs w:val="28"/>
        </w:rPr>
        <w:t xml:space="preserve">江苏省工信厅办公室                      </w:t>
      </w:r>
      <mc:AlternateContent>
        <mc:Choice Requires="wpsCustomData">
          <wpsCustomData:docfieldStart id="2" docfieldname="印发日期" hidden="false" print="true" readonly="false" index="7"/>
        </mc:Choice>
      </mc:AlternateContent>
      <w:r>
        <w:rPr>
          <w:rFonts w:hint="eastAsia" w:ascii="Times New Roman" w:hAnsi="Times New Roman" w:eastAsia="方正仿宋_GBK"/>
          <w:sz w:val="28"/>
          <w:szCs w:val="28"/>
          <w:lang w:val="en-US" w:eastAsia="zh-CN"/>
        </w:rPr>
        <w:t>2022年12月19日</w:t>
      </w:r>
      <mc:AlternateContent>
        <mc:Choice Requires="wpsCustomData">
          <wpsCustomData:docfieldEnd id="2"/>
        </mc:Choice>
      </mc:AlternateContent>
      <w:r>
        <w:rPr>
          <w:rFonts w:ascii="Times New Roman" w:hAnsi="Times New Roman" w:eastAsia="方正仿宋_GBK"/>
          <w:sz w:val="28"/>
          <w:szCs w:val="28"/>
        </w:rPr>
        <w:t>印发</w:t>
      </w:r>
      <w:r>
        <w:rPr>
          <w:rFonts w:ascii="Times New Roman" w:hAnsi="Times New Roman" w:eastAsia="方正仿宋_GBK"/>
          <w:sz w:val="28"/>
          <w:szCs w:val="28"/>
        </w:rPr>
        <mc:AlternateContent>
          <mc:Choice Requires="wps">
            <w:drawing>
              <wp:anchor distT="0" distB="0" distL="114300" distR="114300" simplePos="0" relativeHeight="251660288" behindDoc="0" locked="0" layoutInCell="1" allowOverlap="1">
                <wp:simplePos x="0" y="0"/>
                <wp:positionH relativeFrom="margin">
                  <wp:posOffset>-7620</wp:posOffset>
                </wp:positionH>
                <wp:positionV relativeFrom="paragraph">
                  <wp:posOffset>432435</wp:posOffset>
                </wp:positionV>
                <wp:extent cx="5660390" cy="26035"/>
                <wp:effectExtent l="0" t="6350" r="16510" b="24765"/>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flipV="true">
                          <a:off x="0" y="0"/>
                          <a:ext cx="5660534" cy="26251"/>
                        </a:xfrm>
                        <a:prstGeom prst="line">
                          <a:avLst/>
                        </a:prstGeom>
                        <a:noFill/>
                        <a:ln w="12700">
                          <a:solidFill>
                            <a:srgbClr val="000000"/>
                          </a:solidFill>
                          <a:round/>
                        </a:ln>
                      </wps:spPr>
                      <wps:bodyPr/>
                    </wps:wsp>
                  </a:graphicData>
                </a:graphic>
              </wp:anchor>
            </w:drawing>
          </mc:Choice>
          <mc:Fallback>
            <w:pict>
              <v:line id="_x0000_s1026" o:spid="_x0000_s1026" o:spt="20" style="position:absolute;left:0pt;flip:y;margin-left:-0.6pt;margin-top:34.05pt;height:2.05pt;width:445.7pt;mso-position-horizontal-relative:margin;z-index:251660288;mso-width-relative:page;mso-height-relative:page;" filled="f" stroked="t" coordsize="21600,21600" o:gfxdata="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Cb&#10;0Kuq2AAAAAgBAAAPAAAAAAAAAAEAIAAAADgAAABkcnMvZG93bnJldi54bWxQSwECFAAUAAAACACH&#10;TuJAvwHqnNUBAABxAwAADgAAAAAAAAABACAAAAA9AQAAZHJzL2Uyb0RvYy54bWxQSwUGAAAAAAYA&#10;BgBZAQAAhAUAAAAA&#10;">
                <v:fill on="f" focussize="0,0"/>
                <v:stroke weight="1pt" color="#000000" joinstyle="round"/>
                <v:imagedata o:title=""/>
                <o:lock v:ext="edit" aspectratio="f"/>
              </v:line>
            </w:pict>
          </mc:Fallback>
        </mc:AlternateContent>
      </w:r>
    </w:p>
    <w:p/>
    <w:p>
      <w:pPr>
        <w:spacing w:line="240" w:lineRule="auto"/>
        <w:ind w:firstLine="0" w:firstLineChars="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附件</w:t>
      </w:r>
    </w:p>
    <w:p>
      <w:pPr>
        <w:widowControl/>
        <w:spacing w:line="590" w:lineRule="exact"/>
        <w:ind w:firstLine="0" w:firstLineChars="0"/>
        <w:jc w:val="center"/>
        <w:rPr>
          <w:rFonts w:ascii="方正小标宋_GBK" w:hAnsi="Times New Roman" w:eastAsia="方正小标宋_GBK" w:cs="Times New Roman"/>
          <w:color w:val="070707"/>
          <w:spacing w:val="-8"/>
          <w:kern w:val="0"/>
          <w:sz w:val="44"/>
          <w:szCs w:val="44"/>
        </w:rPr>
      </w:pPr>
      <w:r>
        <w:rPr>
          <w:rFonts w:hint="eastAsia" w:ascii="方正小标宋_GBK" w:hAnsi="Times New Roman" w:eastAsia="方正小标宋_GBK" w:cs="Times New Roman"/>
          <w:color w:val="070707"/>
          <w:spacing w:val="-8"/>
          <w:kern w:val="0"/>
          <w:sz w:val="44"/>
          <w:szCs w:val="44"/>
        </w:rPr>
        <w:t>2022年江苏省新型数据中心典型案例名单</w:t>
      </w:r>
    </w:p>
    <w:p>
      <w:pPr>
        <w:widowControl/>
        <w:spacing w:line="590" w:lineRule="exact"/>
        <w:ind w:firstLine="0" w:firstLineChars="0"/>
        <w:jc w:val="center"/>
        <w:rPr>
          <w:rFonts w:ascii="方正小标宋_GBK" w:hAnsi="Times New Roman" w:eastAsia="方正小标宋_GBK" w:cs="Times New Roman"/>
          <w:color w:val="070707"/>
          <w:spacing w:val="-8"/>
          <w:kern w:val="0"/>
          <w:sz w:val="44"/>
          <w:szCs w:val="44"/>
        </w:rPr>
      </w:pPr>
    </w:p>
    <w:tbl>
      <w:tblPr>
        <w:tblStyle w:val="6"/>
        <w:tblW w:w="87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1984"/>
        <w:gridCol w:w="3969"/>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vAlign w:val="center"/>
          </w:tcPr>
          <w:p>
            <w:pPr>
              <w:widowControl/>
              <w:spacing w:line="240" w:lineRule="auto"/>
              <w:ind w:firstLine="0" w:firstLineChars="0"/>
              <w:jc w:val="center"/>
              <w:rPr>
                <w:rFonts w:ascii="方正黑体_GBK" w:hAnsi="方正黑体_GBK" w:eastAsia="方正黑体_GBK" w:cs="宋体"/>
                <w:bCs/>
                <w:kern w:val="0"/>
                <w:sz w:val="28"/>
                <w:szCs w:val="28"/>
              </w:rPr>
            </w:pPr>
            <w:r>
              <w:rPr>
                <w:rFonts w:hint="eastAsia" w:ascii="方正黑体_GBK" w:hAnsi="方正黑体_GBK" w:eastAsia="方正黑体_GBK" w:cs="宋体"/>
                <w:bCs/>
                <w:kern w:val="0"/>
                <w:sz w:val="28"/>
                <w:szCs w:val="28"/>
              </w:rPr>
              <w:t>序号</w:t>
            </w:r>
          </w:p>
        </w:tc>
        <w:tc>
          <w:tcPr>
            <w:tcW w:w="1984" w:type="dxa"/>
            <w:vAlign w:val="center"/>
          </w:tcPr>
          <w:p>
            <w:pPr>
              <w:widowControl/>
              <w:spacing w:line="240" w:lineRule="auto"/>
              <w:ind w:firstLine="0" w:firstLineChars="0"/>
              <w:jc w:val="center"/>
              <w:rPr>
                <w:rFonts w:ascii="黑体" w:hAnsi="黑体" w:eastAsia="黑体" w:cs="宋体"/>
                <w:color w:val="000000"/>
                <w:kern w:val="0"/>
                <w:sz w:val="24"/>
                <w:szCs w:val="24"/>
              </w:rPr>
            </w:pPr>
            <w:r>
              <w:rPr>
                <w:rFonts w:hint="eastAsia" w:ascii="黑体" w:hAnsi="黑体" w:eastAsia="黑体" w:cs="Arial"/>
                <w:color w:val="000000"/>
                <w:szCs w:val="22"/>
              </w:rPr>
              <w:t>企业名称</w:t>
            </w:r>
          </w:p>
        </w:tc>
        <w:tc>
          <w:tcPr>
            <w:tcW w:w="3969" w:type="dxa"/>
            <w:vAlign w:val="center"/>
          </w:tcPr>
          <w:p>
            <w:pPr>
              <w:spacing w:line="240" w:lineRule="auto"/>
              <w:ind w:firstLine="0" w:firstLineChars="0"/>
              <w:jc w:val="center"/>
              <w:rPr>
                <w:rFonts w:ascii="黑体" w:hAnsi="黑体" w:eastAsia="黑体" w:cs="Arial"/>
                <w:color w:val="000000"/>
                <w:szCs w:val="22"/>
              </w:rPr>
            </w:pPr>
            <w:r>
              <w:rPr>
                <w:rFonts w:hint="eastAsia" w:ascii="黑体" w:hAnsi="黑体" w:eastAsia="黑体" w:cs="Arial"/>
                <w:color w:val="000000"/>
                <w:szCs w:val="22"/>
              </w:rPr>
              <w:t>项目名称</w:t>
            </w:r>
          </w:p>
        </w:tc>
        <w:tc>
          <w:tcPr>
            <w:tcW w:w="1985" w:type="dxa"/>
            <w:vAlign w:val="center"/>
          </w:tcPr>
          <w:p>
            <w:pPr>
              <w:spacing w:line="240" w:lineRule="auto"/>
              <w:ind w:firstLine="0" w:firstLineChars="0"/>
              <w:jc w:val="center"/>
              <w:rPr>
                <w:rFonts w:ascii="黑体" w:hAnsi="黑体" w:eastAsia="黑体" w:cs="Arial"/>
                <w:color w:val="000000"/>
                <w:szCs w:val="22"/>
              </w:rPr>
            </w:pPr>
            <w:r>
              <w:rPr>
                <w:rFonts w:hint="eastAsia" w:ascii="黑体" w:hAnsi="黑体" w:eastAsia="黑体" w:cs="Arial"/>
                <w:color w:val="000000"/>
                <w:szCs w:val="22"/>
              </w:rPr>
              <w:t>申报方向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noWrap/>
            <w:vAlign w:val="center"/>
          </w:tcPr>
          <w:p>
            <w:pPr>
              <w:spacing w:line="240" w:lineRule="auto"/>
              <w:ind w:firstLine="0" w:firstLineChars="0"/>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1</w:t>
            </w:r>
          </w:p>
        </w:tc>
        <w:tc>
          <w:tcPr>
            <w:tcW w:w="1984" w:type="dxa"/>
            <w:vAlign w:val="center"/>
          </w:tcPr>
          <w:p>
            <w:pPr>
              <w:spacing w:line="240" w:lineRule="auto"/>
              <w:ind w:firstLine="0" w:firstLineChars="0"/>
              <w:jc w:val="center"/>
              <w:rPr>
                <w:rFonts w:ascii="仿宋_GB2312" w:hAnsi="宋体" w:eastAsia="仿宋_GB2312" w:cs="Arial"/>
                <w:color w:val="000000"/>
                <w:szCs w:val="22"/>
              </w:rPr>
            </w:pPr>
            <w:r>
              <w:rPr>
                <w:rFonts w:hint="eastAsia" w:ascii="仿宋_GB2312" w:hAnsi="Calibri" w:eastAsia="仿宋_GB2312" w:cs="Arial"/>
                <w:color w:val="000000"/>
                <w:szCs w:val="22"/>
              </w:rPr>
              <w:t>中国电信股份有限公司苏州分公司</w:t>
            </w:r>
          </w:p>
        </w:tc>
        <w:tc>
          <w:tcPr>
            <w:tcW w:w="3969"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苏州太湖国际信息中心</w:t>
            </w:r>
          </w:p>
        </w:tc>
        <w:tc>
          <w:tcPr>
            <w:tcW w:w="1985"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大型数据中心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noWrap/>
            <w:vAlign w:val="center"/>
          </w:tcPr>
          <w:p>
            <w:pPr>
              <w:spacing w:line="240" w:lineRule="auto"/>
              <w:ind w:firstLine="0" w:firstLineChars="0"/>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2</w:t>
            </w:r>
          </w:p>
        </w:tc>
        <w:tc>
          <w:tcPr>
            <w:tcW w:w="1984"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江苏凤凰新云网络科技有限公司</w:t>
            </w:r>
          </w:p>
        </w:tc>
        <w:tc>
          <w:tcPr>
            <w:tcW w:w="3969"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凤凰新港数据中心</w:t>
            </w:r>
          </w:p>
        </w:tc>
        <w:tc>
          <w:tcPr>
            <w:tcW w:w="1985"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大型数据中心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noWrap/>
            <w:vAlign w:val="center"/>
          </w:tcPr>
          <w:p>
            <w:pPr>
              <w:spacing w:line="240" w:lineRule="auto"/>
              <w:ind w:firstLine="0" w:firstLineChars="0"/>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3</w:t>
            </w:r>
          </w:p>
        </w:tc>
        <w:tc>
          <w:tcPr>
            <w:tcW w:w="1984"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中国移动通信集</w:t>
            </w:r>
            <w:bookmarkStart w:id="2" w:name="_GoBack"/>
            <w:bookmarkEnd w:id="2"/>
            <w:r>
              <w:rPr>
                <w:rFonts w:hint="eastAsia" w:ascii="仿宋_GB2312" w:hAnsi="Calibri" w:eastAsia="仿宋_GB2312" w:cs="Arial"/>
                <w:color w:val="000000"/>
                <w:szCs w:val="22"/>
              </w:rPr>
              <w:t>团江苏有限公司</w:t>
            </w:r>
          </w:p>
        </w:tc>
        <w:tc>
          <w:tcPr>
            <w:tcW w:w="3969"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中国移动长三角（汾湖）数据中心</w:t>
            </w:r>
          </w:p>
        </w:tc>
        <w:tc>
          <w:tcPr>
            <w:tcW w:w="1985"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大型数据中心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noWrap/>
            <w:vAlign w:val="center"/>
          </w:tcPr>
          <w:p>
            <w:pPr>
              <w:spacing w:line="240" w:lineRule="auto"/>
              <w:ind w:firstLine="0" w:firstLineChars="0"/>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4</w:t>
            </w:r>
          </w:p>
        </w:tc>
        <w:tc>
          <w:tcPr>
            <w:tcW w:w="1984"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中国电信股份有限公司常州分公司</w:t>
            </w:r>
          </w:p>
        </w:tc>
        <w:tc>
          <w:tcPr>
            <w:tcW w:w="3969"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常州天目湖国际数据中心</w:t>
            </w:r>
          </w:p>
        </w:tc>
        <w:tc>
          <w:tcPr>
            <w:tcW w:w="1985"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中小数据中心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noWrap/>
            <w:vAlign w:val="center"/>
          </w:tcPr>
          <w:p>
            <w:pPr>
              <w:spacing w:line="240" w:lineRule="auto"/>
              <w:ind w:firstLine="0" w:firstLineChars="0"/>
              <w:jc w:val="center"/>
              <w:rPr>
                <w:rFonts w:ascii="Times New Roman" w:hAnsi="Times New Roman" w:eastAsia="方正仿宋_GBK" w:cs="Times New Roman"/>
                <w:sz w:val="24"/>
                <w:szCs w:val="24"/>
              </w:rPr>
            </w:pPr>
            <w:r>
              <w:rPr>
                <w:rFonts w:ascii="Times New Roman" w:hAnsi="Times New Roman" w:eastAsia="方正仿宋_GBK" w:cs="Times New Roman"/>
                <w:sz w:val="24"/>
                <w:szCs w:val="24"/>
              </w:rPr>
              <w:t>5</w:t>
            </w:r>
          </w:p>
        </w:tc>
        <w:tc>
          <w:tcPr>
            <w:tcW w:w="1984"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江苏有线数据网络有限责任公司</w:t>
            </w:r>
          </w:p>
        </w:tc>
        <w:tc>
          <w:tcPr>
            <w:tcW w:w="3969"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国家文化大数据华东区域中心机房</w:t>
            </w:r>
          </w:p>
        </w:tc>
        <w:tc>
          <w:tcPr>
            <w:tcW w:w="1985"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中小数据中心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846" w:type="dxa"/>
            <w:noWrap/>
            <w:vAlign w:val="center"/>
          </w:tcPr>
          <w:p>
            <w:pPr>
              <w:spacing w:line="240" w:lineRule="auto"/>
              <w:ind w:firstLine="0" w:firstLineChars="0"/>
              <w:jc w:val="center"/>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6</w:t>
            </w:r>
          </w:p>
        </w:tc>
        <w:tc>
          <w:tcPr>
            <w:tcW w:w="1984"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中国电信股份有限公司无锡分公司</w:t>
            </w:r>
          </w:p>
        </w:tc>
        <w:tc>
          <w:tcPr>
            <w:tcW w:w="3969"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无锡电信东亭边缘数据中心</w:t>
            </w:r>
          </w:p>
        </w:tc>
        <w:tc>
          <w:tcPr>
            <w:tcW w:w="1985" w:type="dxa"/>
            <w:vAlign w:val="center"/>
          </w:tcPr>
          <w:p>
            <w:pPr>
              <w:spacing w:line="240" w:lineRule="auto"/>
              <w:ind w:firstLine="0" w:firstLineChars="0"/>
              <w:jc w:val="center"/>
              <w:rPr>
                <w:rFonts w:ascii="仿宋_GB2312" w:hAnsi="Calibri" w:eastAsia="仿宋_GB2312" w:cs="Arial"/>
                <w:color w:val="000000"/>
                <w:szCs w:val="22"/>
              </w:rPr>
            </w:pPr>
            <w:r>
              <w:rPr>
                <w:rFonts w:hint="eastAsia" w:ascii="仿宋_GB2312" w:hAnsi="Calibri" w:eastAsia="仿宋_GB2312" w:cs="Arial"/>
                <w:color w:val="000000"/>
                <w:szCs w:val="22"/>
              </w:rPr>
              <w:t>边缘数据中心</w:t>
            </w:r>
          </w:p>
        </w:tc>
      </w:tr>
    </w:tbl>
    <w:p/>
    <w:sectPr>
      <w:headerReference r:id="rId7" w:type="first"/>
      <w:footerReference r:id="rId10" w:type="first"/>
      <w:headerReference r:id="rId5" w:type="default"/>
      <w:footerReference r:id="rId8" w:type="default"/>
      <w:headerReference r:id="rId6" w:type="even"/>
      <w:footerReference r:id="rId9" w:type="even"/>
      <w:pgSz w:w="11906" w:h="16838"/>
      <w:pgMar w:top="2001" w:right="1474" w:bottom="1984" w:left="1474" w:header="851" w:footer="1134" w:gutter="0"/>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方正小标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168" w:rightChars="80"/>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420" w:firstLineChars="15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revisionView w:markup="0"/>
  <w:documentProtection w:enforcement="0"/>
  <w:defaultTabStop w:val="420"/>
  <w:evenAndOddHeaders w:val="true"/>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DA770B"/>
    <w:rsid w:val="397FC26D"/>
    <w:rsid w:val="3EFB41F2"/>
    <w:rsid w:val="5BDE1071"/>
    <w:rsid w:val="5DF7442D"/>
    <w:rsid w:val="676F0B23"/>
    <w:rsid w:val="6DC7C7C3"/>
    <w:rsid w:val="6DDF4948"/>
    <w:rsid w:val="72BF7A14"/>
    <w:rsid w:val="73CE9428"/>
    <w:rsid w:val="7EDA770B"/>
    <w:rsid w:val="7EFEF736"/>
    <w:rsid w:val="7FFF3276"/>
    <w:rsid w:val="C6F23BAB"/>
    <w:rsid w:val="CCF776A4"/>
    <w:rsid w:val="F6A7AFBA"/>
    <w:rsid w:val="F7EF24A5"/>
    <w:rsid w:val="FA7D7CD0"/>
    <w:rsid w:val="FD3F3FB3"/>
    <w:rsid w:val="FD7787C6"/>
    <w:rsid w:val="FF356F1B"/>
    <w:rsid w:val="FFAFF476"/>
    <w:rsid w:val="FFEE2B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 w:type="paragraph" w:styleId="3">
    <w:name w:val="header"/>
    <w:basedOn w:val="1"/>
    <w:semiHidden/>
    <w:unhideWhenUsed/>
    <w:qFormat/>
    <w:uiPriority w:val="99"/>
    <w:pPr>
      <w:pBdr>
        <w:bottom w:val="single" w:color="auto" w:sz="6" w:space="1"/>
      </w:pBdr>
      <w:tabs>
        <w:tab w:val="center" w:pos="4153"/>
        <w:tab w:val="right" w:pos="8306"/>
      </w:tabs>
      <w:snapToGrid w:val="0"/>
      <w:spacing w:line="240" w:lineRule="auto"/>
      <w:jc w:val="center"/>
    </w:pPr>
    <w:rPr>
      <w:rFonts w:cstheme="minorBidi"/>
      <w:sz w:val="18"/>
      <w:szCs w:val="18"/>
    </w:rPr>
  </w:style>
  <w:style w:type="table" w:customStyle="1" w:styleId="6">
    <w:name w:val="网格型2"/>
    <w:qFormat/>
    <w:uiPriority w:val="39"/>
    <w:rPr>
      <w:rFonts w:asciiTheme="minorHAnsi" w:hAnsiTheme="minorHAnsi" w:eastAsiaTheme="minorEastAsia" w:cstheme="minorBid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Pages>
  <Words>0</Words>
  <Characters>0</Characters>
  <Lines>1</Lines>
  <Paragraphs>1</Paragraphs>
  <TotalTime>0</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2018-12-26T08:33:00Z</dcterms:created>
  <dc:creator>测试2</dc:creator>
  <cp:lastModifiedBy>uos</cp:lastModifiedBy>
  <cp:lastPrinted>2022-12-20T05:45:00Z</cp:lastPrinted>
  <dcterms:modified xsi:type="dcterms:W3CDTF">2022-12-30T13:29:22Z</dcterms:modified>
  <dc:title>苏工信〔2022〕号              签发人：</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