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jc w:val="left"/>
        <w:rPr>
          <w:rFonts w:ascii="Times New Roman" w:hAnsi="Times New Roman" w:eastAsia="方正仿宋_GBK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</w:rPr>
        <w:t>附件1</w:t>
      </w:r>
    </w:p>
    <w:p>
      <w:pPr>
        <w:overflowPunct w:val="0"/>
        <w:snapToGrid w:val="0"/>
        <w:spacing w:line="590" w:lineRule="exact"/>
        <w:ind w:firstLine="640"/>
        <w:jc w:val="center"/>
        <w:rPr>
          <w:rFonts w:ascii="方正小标宋_GBK" w:hAnsi="Times New Roman" w:eastAsia="方正小标宋_GBK"/>
          <w:sz w:val="44"/>
          <w:szCs w:val="44"/>
        </w:rPr>
      </w:pPr>
      <w:r>
        <w:rPr>
          <w:rFonts w:hint="eastAsia" w:ascii="方正小标宋_GBK" w:hAnsi="Times New Roman" w:eastAsia="方正小标宋_GBK"/>
          <w:sz w:val="44"/>
          <w:szCs w:val="44"/>
        </w:rPr>
        <w:t>创新型中小企业评价标准</w:t>
      </w:r>
    </w:p>
    <w:p>
      <w:pPr>
        <w:overflowPunct w:val="0"/>
        <w:snapToGrid w:val="0"/>
        <w:spacing w:before="156" w:beforeLines="50" w:line="590" w:lineRule="exact"/>
        <w:ind w:firstLine="640" w:firstLineChars="200"/>
        <w:rPr>
          <w:rFonts w:ascii="方正黑体_GBK" w:hAnsi="Times New Roman" w:eastAsia="方正黑体_GBK"/>
          <w:sz w:val="32"/>
          <w:szCs w:val="32"/>
        </w:rPr>
      </w:pPr>
      <w:r>
        <w:rPr>
          <w:rFonts w:hint="eastAsia" w:ascii="方正黑体_GBK" w:hAnsi="Times New Roman" w:eastAsia="方正黑体_GBK"/>
          <w:sz w:val="32"/>
          <w:szCs w:val="32"/>
        </w:rPr>
        <w:t>一、公告条件</w:t>
      </w:r>
    </w:p>
    <w:p>
      <w:pPr>
        <w:overflowPunct w:val="0"/>
        <w:snapToGrid w:val="0"/>
        <w:spacing w:line="59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评价得分达到 60 分以上（其中创新能力指标得分不低于 20 分、成长性指标及专业化指标得分均不低于 15 分），或满足下列条件之一：</w:t>
      </w:r>
    </w:p>
    <w:p>
      <w:pPr>
        <w:overflowPunct w:val="0"/>
        <w:snapToGrid w:val="0"/>
        <w:spacing w:line="59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（一）近三年内获得过国家级、省级科技奖励。</w:t>
      </w:r>
    </w:p>
    <w:p>
      <w:pPr>
        <w:overflowPunct w:val="0"/>
        <w:snapToGrid w:val="0"/>
        <w:spacing w:line="590" w:lineRule="exact"/>
        <w:ind w:firstLine="64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（二）获得高新技术企业、国家级技术创新示范企业、知识产权优势企业和知识产权示范企业等荣誉（均为有效期内）。</w:t>
      </w:r>
    </w:p>
    <w:p>
      <w:pPr>
        <w:overflowPunct w:val="0"/>
        <w:snapToGrid w:val="0"/>
        <w:spacing w:line="590" w:lineRule="exact"/>
        <w:ind w:firstLine="64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（三）拥有经认定的省部级以上研发机构。</w:t>
      </w:r>
    </w:p>
    <w:p>
      <w:pPr>
        <w:overflowPunct w:val="0"/>
        <w:snapToGrid w:val="0"/>
        <w:spacing w:line="590" w:lineRule="exact"/>
        <w:ind w:firstLine="64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（四）近三年内新增股权融资总额（合格机构投资者的实缴额）500万元以上。</w:t>
      </w:r>
    </w:p>
    <w:p>
      <w:pPr>
        <w:overflowPunct w:val="0"/>
        <w:snapToGrid w:val="0"/>
        <w:spacing w:line="590" w:lineRule="exact"/>
        <w:ind w:firstLine="640" w:firstLineChars="200"/>
        <w:rPr>
          <w:rFonts w:ascii="方正黑体_GBK" w:hAnsi="Times New Roman" w:eastAsia="方正黑体_GBK"/>
          <w:sz w:val="32"/>
          <w:szCs w:val="32"/>
        </w:rPr>
      </w:pPr>
      <w:r>
        <w:rPr>
          <w:rFonts w:hint="eastAsia" w:ascii="方正黑体_GBK" w:hAnsi="Times New Roman" w:eastAsia="方正黑体_GBK"/>
          <w:sz w:val="32"/>
          <w:szCs w:val="32"/>
        </w:rPr>
        <w:t>二、评价指标</w:t>
      </w:r>
    </w:p>
    <w:p>
      <w:pPr>
        <w:overflowPunct w:val="0"/>
        <w:snapToGrid w:val="0"/>
        <w:spacing w:line="590" w:lineRule="exact"/>
        <w:ind w:firstLine="64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包括创新能力、成长性、专业化三类六个指标，评价结果依分值计算，满分为 100 分。</w:t>
      </w:r>
    </w:p>
    <w:p>
      <w:pPr>
        <w:overflowPunct w:val="0"/>
        <w:snapToGrid w:val="0"/>
        <w:spacing w:line="590" w:lineRule="exact"/>
        <w:ind w:firstLine="64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（一）创新能力指标（满分40分）</w:t>
      </w:r>
    </w:p>
    <w:p>
      <w:pPr>
        <w:overflowPunct w:val="0"/>
        <w:snapToGrid w:val="0"/>
        <w:spacing w:line="590" w:lineRule="exact"/>
        <w:ind w:firstLine="64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1． 与企业主导产品相关的有效知识产权数量（满分20分）</w:t>
      </w:r>
    </w:p>
    <w:p>
      <w:pPr>
        <w:overflowPunct w:val="0"/>
        <w:snapToGrid w:val="0"/>
        <w:spacing w:line="590" w:lineRule="exact"/>
        <w:ind w:firstLine="64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A．</w:t>
      </w:r>
      <w:r>
        <w:rPr>
          <w:rFonts w:hint="eastAsia" w:ascii="Times New Roman" w:hAnsi="Times New Roman" w:eastAsia="方正仿宋_GBK"/>
          <w:sz w:val="32"/>
          <w:szCs w:val="32"/>
        </w:rPr>
        <w:t>Ⅰ</w:t>
      </w:r>
      <w:r>
        <w:rPr>
          <w:rFonts w:ascii="Times New Roman" w:hAnsi="Times New Roman" w:eastAsia="方正仿宋_GBK"/>
          <w:sz w:val="32"/>
          <w:szCs w:val="32"/>
        </w:rPr>
        <w:t>类高价值知识产权1项以上（20分）</w:t>
      </w:r>
    </w:p>
    <w:p>
      <w:pPr>
        <w:overflowPunct w:val="0"/>
        <w:snapToGrid w:val="0"/>
        <w:spacing w:line="590" w:lineRule="exact"/>
        <w:ind w:firstLine="64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B．自主研发的</w:t>
      </w:r>
      <w:r>
        <w:rPr>
          <w:rFonts w:hint="eastAsia" w:ascii="Times New Roman" w:hAnsi="Times New Roman" w:eastAsia="方正仿宋_GBK"/>
          <w:sz w:val="32"/>
          <w:szCs w:val="32"/>
        </w:rPr>
        <w:t>Ⅰ</w:t>
      </w:r>
      <w:r>
        <w:rPr>
          <w:rFonts w:ascii="Times New Roman" w:hAnsi="Times New Roman" w:eastAsia="方正仿宋_GBK"/>
          <w:sz w:val="32"/>
          <w:szCs w:val="32"/>
        </w:rPr>
        <w:t>类知识产权1项以上（15分）</w:t>
      </w:r>
    </w:p>
    <w:p>
      <w:pPr>
        <w:overflowPunct w:val="0"/>
        <w:snapToGrid w:val="0"/>
        <w:spacing w:line="590" w:lineRule="exact"/>
        <w:ind w:firstLine="64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C．</w:t>
      </w:r>
      <w:r>
        <w:rPr>
          <w:rFonts w:hint="eastAsia" w:ascii="Times New Roman" w:hAnsi="Times New Roman" w:eastAsia="方正仿宋_GBK"/>
          <w:sz w:val="32"/>
          <w:szCs w:val="32"/>
        </w:rPr>
        <w:t>Ⅰ</w:t>
      </w:r>
      <w:r>
        <w:rPr>
          <w:rFonts w:ascii="Times New Roman" w:hAnsi="Times New Roman" w:eastAsia="方正仿宋_GBK"/>
          <w:sz w:val="32"/>
          <w:szCs w:val="32"/>
        </w:rPr>
        <w:t>类知识产权1项以上（10分）</w:t>
      </w:r>
    </w:p>
    <w:p>
      <w:pPr>
        <w:overflowPunct w:val="0"/>
        <w:snapToGrid w:val="0"/>
        <w:spacing w:line="590" w:lineRule="exact"/>
        <w:ind w:firstLine="64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D．</w:t>
      </w:r>
      <w:r>
        <w:rPr>
          <w:rFonts w:hint="eastAsia" w:ascii="Times New Roman" w:hAnsi="Times New Roman" w:eastAsia="方正仿宋_GBK"/>
          <w:sz w:val="32"/>
          <w:szCs w:val="32"/>
        </w:rPr>
        <w:t>Ⅱ</w:t>
      </w:r>
      <w:r>
        <w:rPr>
          <w:rFonts w:ascii="Times New Roman" w:hAnsi="Times New Roman" w:eastAsia="方正仿宋_GBK"/>
          <w:sz w:val="32"/>
          <w:szCs w:val="32"/>
        </w:rPr>
        <w:t>类知识产权1项以上（5分）</w:t>
      </w:r>
    </w:p>
    <w:p>
      <w:pPr>
        <w:overflowPunct w:val="0"/>
        <w:snapToGrid w:val="0"/>
        <w:spacing w:line="590" w:lineRule="exact"/>
        <w:ind w:firstLine="64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E．无（0分）</w:t>
      </w:r>
    </w:p>
    <w:p>
      <w:pPr>
        <w:overflowPunct w:val="0"/>
        <w:snapToGrid w:val="0"/>
        <w:spacing w:line="59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2．上年度研发费用总额占营业收入总额比重（满分20分）</w:t>
      </w:r>
    </w:p>
    <w:p>
      <w:pPr>
        <w:overflowPunct w:val="0"/>
        <w:snapToGrid w:val="0"/>
        <w:spacing w:line="59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A．5%以上（20分）</w:t>
      </w:r>
    </w:p>
    <w:p>
      <w:pPr>
        <w:overflowPunct w:val="0"/>
        <w:snapToGrid w:val="0"/>
        <w:spacing w:line="590" w:lineRule="exact"/>
        <w:ind w:firstLine="64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B．3%-5%（15分）</w:t>
      </w:r>
    </w:p>
    <w:p>
      <w:pPr>
        <w:overflowPunct w:val="0"/>
        <w:snapToGrid w:val="0"/>
        <w:spacing w:line="590" w:lineRule="exact"/>
        <w:ind w:firstLine="64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C．2%-3%（10分）</w:t>
      </w:r>
    </w:p>
    <w:p>
      <w:pPr>
        <w:overflowPunct w:val="0"/>
        <w:snapToGrid w:val="0"/>
        <w:spacing w:line="590" w:lineRule="exact"/>
        <w:ind w:firstLine="64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D．1%-2%（5分）</w:t>
      </w:r>
    </w:p>
    <w:p>
      <w:pPr>
        <w:overflowPunct w:val="0"/>
        <w:snapToGrid w:val="0"/>
        <w:spacing w:line="590" w:lineRule="exact"/>
        <w:ind w:firstLine="64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E．1%以下（0分）</w:t>
      </w:r>
    </w:p>
    <w:p>
      <w:pPr>
        <w:overflowPunct w:val="0"/>
        <w:snapToGrid w:val="0"/>
        <w:spacing w:line="59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（二）成长性指标（满分30分）</w:t>
      </w:r>
    </w:p>
    <w:p>
      <w:pPr>
        <w:overflowPunct w:val="0"/>
        <w:snapToGrid w:val="0"/>
        <w:spacing w:line="590" w:lineRule="exact"/>
        <w:ind w:firstLine="64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3．上年度主营业务收入增长率（满分20分）</w:t>
      </w:r>
    </w:p>
    <w:p>
      <w:pPr>
        <w:overflowPunct w:val="0"/>
        <w:snapToGrid w:val="0"/>
        <w:spacing w:line="590" w:lineRule="exact"/>
        <w:ind w:firstLine="64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A．15%以上（20分）</w:t>
      </w:r>
    </w:p>
    <w:p>
      <w:pPr>
        <w:overflowPunct w:val="0"/>
        <w:snapToGrid w:val="0"/>
        <w:spacing w:line="590" w:lineRule="exact"/>
        <w:ind w:firstLine="64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B．10%-15%（15分）</w:t>
      </w:r>
    </w:p>
    <w:p>
      <w:pPr>
        <w:overflowPunct w:val="0"/>
        <w:snapToGrid w:val="0"/>
        <w:spacing w:line="590" w:lineRule="exact"/>
        <w:ind w:firstLine="64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C．5%-10%（10分）</w:t>
      </w:r>
    </w:p>
    <w:p>
      <w:pPr>
        <w:overflowPunct w:val="0"/>
        <w:snapToGrid w:val="0"/>
        <w:spacing w:line="590" w:lineRule="exact"/>
        <w:ind w:firstLine="64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D．0%-5%（5分）</w:t>
      </w:r>
    </w:p>
    <w:p>
      <w:pPr>
        <w:overflowPunct w:val="0"/>
        <w:snapToGrid w:val="0"/>
        <w:spacing w:line="590" w:lineRule="exact"/>
        <w:ind w:firstLine="64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E．0%以下（0分）</w:t>
      </w:r>
    </w:p>
    <w:p>
      <w:pPr>
        <w:overflowPunct w:val="0"/>
        <w:snapToGrid w:val="0"/>
        <w:spacing w:line="590" w:lineRule="exact"/>
        <w:ind w:firstLine="64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4．上年度资产负债率（满分10分）</w:t>
      </w:r>
    </w:p>
    <w:p>
      <w:pPr>
        <w:overflowPunct w:val="0"/>
        <w:snapToGrid w:val="0"/>
        <w:spacing w:line="590" w:lineRule="exact"/>
        <w:ind w:firstLine="64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A．55%以下（10分）</w:t>
      </w:r>
    </w:p>
    <w:p>
      <w:pPr>
        <w:overflowPunct w:val="0"/>
        <w:snapToGrid w:val="0"/>
        <w:spacing w:line="590" w:lineRule="exact"/>
        <w:ind w:firstLine="64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B．55%-75%（5分）</w:t>
      </w:r>
    </w:p>
    <w:p>
      <w:pPr>
        <w:overflowPunct w:val="0"/>
        <w:snapToGrid w:val="0"/>
        <w:spacing w:line="590" w:lineRule="exact"/>
        <w:ind w:firstLine="64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D．75%以上（0分）</w:t>
      </w:r>
    </w:p>
    <w:p>
      <w:pPr>
        <w:overflowPunct w:val="0"/>
        <w:snapToGrid w:val="0"/>
        <w:spacing w:line="590" w:lineRule="exact"/>
        <w:ind w:firstLine="64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（三）专业化指标（满分30分）</w:t>
      </w:r>
    </w:p>
    <w:p>
      <w:pPr>
        <w:overflowPunct w:val="0"/>
        <w:snapToGrid w:val="0"/>
        <w:spacing w:line="590" w:lineRule="exact"/>
        <w:ind w:firstLine="64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5．主导产品所属领域情况（满分10分）</w:t>
      </w:r>
    </w:p>
    <w:p>
      <w:pPr>
        <w:overflowPunct w:val="0"/>
        <w:snapToGrid w:val="0"/>
        <w:spacing w:line="590" w:lineRule="exact"/>
        <w:ind w:firstLine="64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A．属于《战略性新兴产业分类》（10分）</w:t>
      </w:r>
    </w:p>
    <w:p>
      <w:pPr>
        <w:overflowPunct w:val="0"/>
        <w:snapToGrid w:val="0"/>
        <w:spacing w:line="590" w:lineRule="exact"/>
        <w:ind w:firstLine="64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B．属于其他领域（5分）</w:t>
      </w:r>
    </w:p>
    <w:p>
      <w:pPr>
        <w:overflowPunct w:val="0"/>
        <w:snapToGrid w:val="0"/>
        <w:spacing w:line="590" w:lineRule="exact"/>
        <w:ind w:firstLine="64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6．上年度主营业务收入总额占营业收入总额比重（满分</w:t>
      </w:r>
    </w:p>
    <w:p>
      <w:pPr>
        <w:overflowPunct w:val="0"/>
        <w:snapToGrid w:val="0"/>
        <w:spacing w:line="590" w:lineRule="exact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20分）</w:t>
      </w:r>
    </w:p>
    <w:p>
      <w:pPr>
        <w:overflowPunct w:val="0"/>
        <w:snapToGrid w:val="0"/>
        <w:spacing w:line="590" w:lineRule="exact"/>
        <w:ind w:firstLine="64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A．70%以上（20分）</w:t>
      </w:r>
    </w:p>
    <w:p>
      <w:pPr>
        <w:overflowPunct w:val="0"/>
        <w:snapToGrid w:val="0"/>
        <w:spacing w:line="590" w:lineRule="exact"/>
        <w:ind w:firstLine="64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B．60%-70%（15分）</w:t>
      </w:r>
    </w:p>
    <w:p>
      <w:pPr>
        <w:overflowPunct w:val="0"/>
        <w:snapToGrid w:val="0"/>
        <w:spacing w:line="590" w:lineRule="exact"/>
        <w:ind w:firstLine="64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C．55%-60%（10分）</w:t>
      </w:r>
    </w:p>
    <w:p>
      <w:pPr>
        <w:overflowPunct w:val="0"/>
        <w:snapToGrid w:val="0"/>
        <w:spacing w:line="590" w:lineRule="exact"/>
        <w:ind w:firstLine="64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D．50%-55%（5分）</w:t>
      </w:r>
    </w:p>
    <w:p>
      <w:pPr>
        <w:overflowPunct w:val="0"/>
        <w:snapToGrid w:val="0"/>
        <w:spacing w:line="590" w:lineRule="exact"/>
        <w:ind w:firstLine="64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E．50%以下（0分）</w:t>
      </w:r>
    </w:p>
    <w:p>
      <w:pPr>
        <w:overflowPunct w:val="0"/>
        <w:snapToGrid w:val="0"/>
        <w:spacing w:line="590" w:lineRule="exact"/>
        <w:ind w:firstLine="64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　</w:t>
      </w:r>
    </w:p>
    <w:p>
      <w:pPr>
        <w:overflowPunct w:val="0"/>
        <w:snapToGrid w:val="0"/>
        <w:spacing w:line="590" w:lineRule="exact"/>
        <w:ind w:firstLine="640"/>
        <w:rPr>
          <w:rFonts w:ascii="Times New Roman" w:hAnsi="Times New Roman" w:eastAsia="方正仿宋_GBK"/>
          <w:sz w:val="32"/>
          <w:szCs w:val="32"/>
        </w:rPr>
      </w:pPr>
    </w:p>
    <w:p>
      <w:pPr>
        <w:overflowPunct w:val="0"/>
        <w:snapToGrid w:val="0"/>
        <w:spacing w:line="590" w:lineRule="exact"/>
        <w:ind w:firstLine="640"/>
        <w:rPr>
          <w:rFonts w:ascii="Times New Roman" w:hAnsi="Times New Roman" w:eastAsia="方正仿宋_GBK"/>
          <w:sz w:val="32"/>
          <w:szCs w:val="32"/>
        </w:rPr>
      </w:pPr>
    </w:p>
    <w:p>
      <w:pPr>
        <w:overflowPunct w:val="0"/>
        <w:snapToGrid w:val="0"/>
        <w:spacing w:line="590" w:lineRule="exact"/>
        <w:ind w:firstLine="640"/>
        <w:rPr>
          <w:rFonts w:ascii="Times New Roman" w:hAnsi="Times New Roman" w:eastAsia="方正仿宋_GBK"/>
          <w:sz w:val="32"/>
          <w:szCs w:val="32"/>
        </w:rPr>
      </w:pPr>
    </w:p>
    <w:p>
      <w:pPr>
        <w:overflowPunct w:val="0"/>
        <w:snapToGrid w:val="0"/>
        <w:spacing w:line="590" w:lineRule="exact"/>
        <w:ind w:firstLine="640"/>
        <w:rPr>
          <w:rFonts w:ascii="Times New Roman" w:hAnsi="Times New Roman" w:eastAsia="方正仿宋_GBK"/>
          <w:sz w:val="32"/>
          <w:szCs w:val="32"/>
        </w:rPr>
      </w:pPr>
    </w:p>
    <w:p>
      <w:pPr>
        <w:overflowPunct w:val="0"/>
        <w:snapToGrid w:val="0"/>
        <w:spacing w:line="590" w:lineRule="exact"/>
        <w:ind w:firstLine="640"/>
        <w:rPr>
          <w:rFonts w:ascii="Times New Roman" w:hAnsi="Times New Roman" w:eastAsia="方正仿宋_GBK"/>
          <w:sz w:val="32"/>
          <w:szCs w:val="32"/>
        </w:rPr>
      </w:pPr>
    </w:p>
    <w:p>
      <w:pPr>
        <w:overflowPunct w:val="0"/>
        <w:snapToGrid w:val="0"/>
        <w:spacing w:line="590" w:lineRule="exact"/>
        <w:ind w:firstLine="640"/>
        <w:rPr>
          <w:rFonts w:ascii="Times New Roman" w:hAnsi="Times New Roman" w:eastAsia="方正仿宋_GBK"/>
          <w:sz w:val="32"/>
          <w:szCs w:val="32"/>
        </w:rPr>
      </w:pPr>
    </w:p>
    <w:p>
      <w:pPr>
        <w:overflowPunct w:val="0"/>
        <w:snapToGrid w:val="0"/>
        <w:spacing w:line="590" w:lineRule="exact"/>
        <w:ind w:firstLine="640"/>
        <w:rPr>
          <w:rFonts w:ascii="Times New Roman" w:hAnsi="Times New Roman" w:eastAsia="方正仿宋_GBK"/>
          <w:sz w:val="32"/>
          <w:szCs w:val="32"/>
        </w:rPr>
      </w:pPr>
    </w:p>
    <w:p>
      <w:pPr>
        <w:overflowPunct w:val="0"/>
        <w:snapToGrid w:val="0"/>
        <w:spacing w:line="590" w:lineRule="exact"/>
        <w:ind w:firstLine="640"/>
        <w:rPr>
          <w:rFonts w:ascii="Times New Roman" w:hAnsi="Times New Roman" w:eastAsia="方正仿宋_GBK"/>
          <w:sz w:val="32"/>
          <w:szCs w:val="32"/>
        </w:rPr>
      </w:pPr>
    </w:p>
    <w:p>
      <w:pPr>
        <w:overflowPunct w:val="0"/>
        <w:snapToGrid w:val="0"/>
        <w:spacing w:line="590" w:lineRule="exact"/>
        <w:ind w:firstLine="640"/>
        <w:rPr>
          <w:rFonts w:ascii="Times New Roman" w:hAnsi="Times New Roman" w:eastAsia="方正仿宋_GBK"/>
          <w:sz w:val="32"/>
          <w:szCs w:val="32"/>
        </w:rPr>
      </w:pPr>
    </w:p>
    <w:p>
      <w:pPr>
        <w:overflowPunct w:val="0"/>
        <w:snapToGrid w:val="0"/>
        <w:spacing w:line="590" w:lineRule="exact"/>
        <w:ind w:firstLine="640"/>
        <w:rPr>
          <w:rFonts w:ascii="Times New Roman" w:hAnsi="Times New Roman" w:eastAsia="方正仿宋_GBK"/>
          <w:sz w:val="32"/>
          <w:szCs w:val="32"/>
        </w:rPr>
      </w:pPr>
    </w:p>
    <w:p>
      <w:pPr>
        <w:overflowPunct w:val="0"/>
        <w:snapToGrid w:val="0"/>
        <w:spacing w:line="590" w:lineRule="exact"/>
        <w:ind w:firstLine="640"/>
        <w:rPr>
          <w:rFonts w:ascii="Times New Roman" w:hAnsi="Times New Roman" w:eastAsia="方正仿宋_GBK"/>
          <w:sz w:val="32"/>
          <w:szCs w:val="32"/>
        </w:rPr>
      </w:pPr>
    </w:p>
    <w:p>
      <w:pPr>
        <w:overflowPunct w:val="0"/>
        <w:snapToGrid w:val="0"/>
        <w:spacing w:line="590" w:lineRule="exact"/>
        <w:ind w:firstLine="640"/>
        <w:rPr>
          <w:rFonts w:ascii="Times New Roman" w:hAnsi="Times New Roman" w:eastAsia="方正仿宋_GBK"/>
          <w:sz w:val="32"/>
          <w:szCs w:val="32"/>
        </w:rPr>
      </w:pPr>
      <w:bookmarkStart w:id="0" w:name="_GoBack"/>
      <w:bookmarkEnd w:id="0"/>
    </w:p>
    <w:p>
      <w:pPr>
        <w:overflowPunct w:val="0"/>
        <w:snapToGrid w:val="0"/>
        <w:spacing w:line="590" w:lineRule="exact"/>
        <w:rPr>
          <w:rFonts w:hint="eastAsia" w:ascii="Times New Roman" w:hAnsi="Times New Roman" w:eastAsia="方正仿宋_GBK"/>
          <w:sz w:val="32"/>
          <w:szCs w:val="32"/>
        </w:rPr>
      </w:pPr>
    </w:p>
    <w:p>
      <w:pPr>
        <w:overflowPunct w:val="0"/>
        <w:snapToGrid w:val="0"/>
        <w:spacing w:line="590" w:lineRule="exact"/>
        <w:ind w:firstLine="640"/>
        <w:rPr>
          <w:rFonts w:ascii="Times New Roman" w:hAnsi="Times New Roman" w:eastAsia="方正仿宋_GBK"/>
          <w:sz w:val="32"/>
          <w:szCs w:val="32"/>
        </w:rPr>
      </w:pPr>
    </w:p>
    <w:sectPr>
      <w:footerReference r:id="rId3" w:type="default"/>
      <w:pgSz w:w="11906" w:h="16838"/>
      <w:pgMar w:top="1814" w:right="1531" w:bottom="1985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anumGothic">
    <w:panose1 w:val="020D0604000000000000"/>
    <w:charset w:val="81"/>
    <w:family w:val="auto"/>
    <w:pitch w:val="default"/>
    <w:sig w:usb0="900002A7" w:usb1="29D7FCFB" w:usb2="00000010" w:usb3="00000000" w:csb0="0008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 xml:space="preserve">— </w:t>
    </w:r>
    <w:sdt>
      <w:sdtPr>
        <w:rPr>
          <w:rFonts w:ascii="Times New Roman" w:hAnsi="Times New Roman" w:cs="Times New Roman"/>
          <w:sz w:val="28"/>
          <w:szCs w:val="28"/>
        </w:rPr>
        <w:id w:val="-1989773456"/>
        <w:docPartObj>
          <w:docPartGallery w:val="autotext"/>
        </w:docPartObj>
      </w:sdtPr>
      <w:sdtEndPr>
        <w:rPr>
          <w:rFonts w:ascii="Times New Roman" w:hAnsi="Times New Roman" w:cs="Times New Roman"/>
          <w:sz w:val="28"/>
          <w:szCs w:val="28"/>
        </w:rPr>
      </w:sdtEndPr>
      <w:sdtContent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  <w:lang w:val="zh-CN"/>
          </w:rPr>
          <w:t>7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  <w:r>
          <w:rPr>
            <w:rFonts w:ascii="Times New Roman" w:hAnsi="Times New Roman" w:cs="Times New Roman"/>
            <w:sz w:val="28"/>
            <w:szCs w:val="28"/>
          </w:rPr>
          <w:t xml:space="preserve"> —</w:t>
        </w:r>
      </w:sdtContent>
    </w:sdt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7F4"/>
    <w:rsid w:val="00006360"/>
    <w:rsid w:val="00010ED4"/>
    <w:rsid w:val="000444B6"/>
    <w:rsid w:val="000632A3"/>
    <w:rsid w:val="00076A99"/>
    <w:rsid w:val="0014358D"/>
    <w:rsid w:val="00180831"/>
    <w:rsid w:val="001D51B5"/>
    <w:rsid w:val="00245859"/>
    <w:rsid w:val="002A2BAE"/>
    <w:rsid w:val="002B5028"/>
    <w:rsid w:val="003659D2"/>
    <w:rsid w:val="0037486A"/>
    <w:rsid w:val="00386B0B"/>
    <w:rsid w:val="003B3EBB"/>
    <w:rsid w:val="00444913"/>
    <w:rsid w:val="004878DB"/>
    <w:rsid w:val="004B391D"/>
    <w:rsid w:val="00511186"/>
    <w:rsid w:val="005B57F4"/>
    <w:rsid w:val="005E5A12"/>
    <w:rsid w:val="005F1330"/>
    <w:rsid w:val="00677458"/>
    <w:rsid w:val="006B662F"/>
    <w:rsid w:val="006D342D"/>
    <w:rsid w:val="007254B8"/>
    <w:rsid w:val="007448C6"/>
    <w:rsid w:val="007A6F9E"/>
    <w:rsid w:val="007C195E"/>
    <w:rsid w:val="00810F81"/>
    <w:rsid w:val="008A1BA4"/>
    <w:rsid w:val="008E2227"/>
    <w:rsid w:val="00911687"/>
    <w:rsid w:val="00926078"/>
    <w:rsid w:val="00931D45"/>
    <w:rsid w:val="00977920"/>
    <w:rsid w:val="009B43B7"/>
    <w:rsid w:val="009C2179"/>
    <w:rsid w:val="00AD3F90"/>
    <w:rsid w:val="00AE6345"/>
    <w:rsid w:val="00B11408"/>
    <w:rsid w:val="00B81F06"/>
    <w:rsid w:val="00BF52C7"/>
    <w:rsid w:val="00C114D0"/>
    <w:rsid w:val="00C50F6D"/>
    <w:rsid w:val="00C55170"/>
    <w:rsid w:val="00C66F5E"/>
    <w:rsid w:val="00CA2E72"/>
    <w:rsid w:val="00D4799F"/>
    <w:rsid w:val="00D84419"/>
    <w:rsid w:val="00E01A08"/>
    <w:rsid w:val="00E80699"/>
    <w:rsid w:val="00E834D8"/>
    <w:rsid w:val="00EB2E03"/>
    <w:rsid w:val="00EB4B7D"/>
    <w:rsid w:val="00F31197"/>
    <w:rsid w:val="00F33ACE"/>
    <w:rsid w:val="00F72939"/>
    <w:rsid w:val="00FC01C9"/>
    <w:rsid w:val="00FD789B"/>
    <w:rsid w:val="1FDF3BE7"/>
    <w:rsid w:val="5EFF2E2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0"/>
    <w:unhideWhenUsed/>
    <w:qFormat/>
    <w:uiPriority w:val="99"/>
    <w:rPr>
      <w:rFonts w:ascii="宋体" w:hAnsi="Courier New" w:eastAsia="宋体" w:cs="Courier New"/>
      <w:szCs w:val="21"/>
    </w:r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Strong"/>
    <w:basedOn w:val="8"/>
    <w:qFormat/>
    <w:uiPriority w:val="22"/>
    <w:rPr>
      <w:b/>
      <w:bCs/>
    </w:rPr>
  </w:style>
  <w:style w:type="character" w:customStyle="1" w:styleId="10">
    <w:name w:val="纯文本 Char"/>
    <w:basedOn w:val="8"/>
    <w:link w:val="2"/>
    <w:qFormat/>
    <w:uiPriority w:val="99"/>
    <w:rPr>
      <w:rFonts w:ascii="宋体" w:hAnsi="Courier New" w:eastAsia="宋体" w:cs="Courier New"/>
      <w:szCs w:val="21"/>
    </w:rPr>
  </w:style>
  <w:style w:type="character" w:customStyle="1" w:styleId="11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3">
    <w:name w:val="批注框文本 Char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7</Pages>
  <Words>372</Words>
  <Characters>2123</Characters>
  <Lines>17</Lines>
  <Paragraphs>4</Paragraphs>
  <TotalTime>25</TotalTime>
  <ScaleCrop>false</ScaleCrop>
  <LinksUpToDate>false</LinksUpToDate>
  <CharactersWithSpaces>2491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2022-07-22T05:48:00Z</dcterms:created>
  <dc:creator>lenovo</dc:creator>
  <cp:lastModifiedBy>uos</cp:lastModifiedBy>
  <dcterms:modified xsi:type="dcterms:W3CDTF">2022-07-26T16:36:09Z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