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bookmarkStart w:id="0" w:name="Gwzh"/>
    </w:p>
    <w:tbl>
      <w:tblPr>
        <w:tblStyle w:val="2"/>
        <w:tblpPr w:leftFromText="180" w:rightFromText="180" w:vertAnchor="page" w:horzAnchor="margin" w:tblpXSpec="center" w:tblpY="2533"/>
        <w:tblW w:w="8928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88"/>
        <w:gridCol w:w="144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88" w:type="dxa"/>
            <w:vAlign w:val="center"/>
          </w:tcPr>
          <w:p>
            <w:pPr>
              <w:spacing w:line="1060" w:lineRule="exact"/>
              <w:jc w:val="distribute"/>
              <w:rPr>
                <w:rFonts w:ascii="Times New Roman" w:hAnsi="Times New Roman" w:eastAsia="方正小标宋_GBK" w:cs="Times New Roman"/>
                <w:color w:val="FF0000"/>
                <w:w w:val="70"/>
                <w:sz w:val="86"/>
                <w:szCs w:val="60"/>
              </w:rPr>
            </w:pPr>
            <w:r>
              <w:rPr>
                <w:rFonts w:hint="eastAsia" w:ascii="Times New Roman" w:hAnsi="Times New Roman" w:eastAsia="方正小标宋_GBK" w:cs="Times New Roman"/>
                <w:color w:val="FF0000"/>
                <w:w w:val="70"/>
                <w:sz w:val="86"/>
                <w:szCs w:val="60"/>
              </w:rPr>
              <w:t>江苏省工业和信息化厅</w:t>
            </w:r>
          </w:p>
          <w:p>
            <w:pPr>
              <w:spacing w:line="1060" w:lineRule="exact"/>
              <w:jc w:val="distribute"/>
              <w:rPr>
                <w:rFonts w:hint="eastAsia" w:ascii="Times New Roman" w:hAnsi="Times New Roman" w:eastAsia="方正小标宋_GBK" w:cs="Times New Roman"/>
                <w:color w:val="FF0000"/>
                <w:w w:val="70"/>
                <w:sz w:val="86"/>
                <w:szCs w:val="60"/>
              </w:rPr>
            </w:pPr>
            <w:r>
              <w:rPr>
                <w:rFonts w:hint="eastAsia" w:ascii="Times New Roman" w:hAnsi="Times New Roman" w:eastAsia="方正小标宋_GBK" w:cs="Times New Roman"/>
                <w:color w:val="FF0000"/>
                <w:w w:val="70"/>
                <w:sz w:val="86"/>
                <w:szCs w:val="60"/>
              </w:rPr>
              <w:t>江苏省发展和改革委员会</w:t>
            </w:r>
          </w:p>
          <w:p>
            <w:pPr>
              <w:spacing w:line="1060" w:lineRule="exact"/>
              <w:jc w:val="distribute"/>
              <w:rPr>
                <w:rFonts w:ascii="Times New Roman" w:hAnsi="Times New Roman" w:eastAsia="方正小标宋_GBK" w:cs="Times New Roman"/>
                <w:color w:val="FF0000"/>
                <w:w w:val="70"/>
                <w:sz w:val="86"/>
                <w:szCs w:val="60"/>
              </w:rPr>
            </w:pPr>
            <w:r>
              <w:rPr>
                <w:rFonts w:hint="eastAsia" w:ascii="Times New Roman" w:hAnsi="Times New Roman" w:eastAsia="方正小标宋_GBK" w:cs="Times New Roman"/>
                <w:color w:val="FF0000"/>
                <w:w w:val="70"/>
                <w:sz w:val="86"/>
                <w:szCs w:val="60"/>
              </w:rPr>
              <w:t>江苏省生态环境厅</w:t>
            </w:r>
          </w:p>
        </w:tc>
        <w:tc>
          <w:tcPr>
            <w:tcW w:w="1440" w:type="dxa"/>
            <w:vAlign w:val="center"/>
          </w:tcPr>
          <w:p>
            <w:pPr>
              <w:spacing w:line="1200" w:lineRule="exact"/>
              <w:rPr>
                <w:rFonts w:ascii="Times New Roman" w:hAnsi="Times New Roman" w:eastAsia="方正小标宋_GBK" w:cs="Times New Roman"/>
                <w:color w:val="FF0000"/>
                <w:w w:val="75"/>
                <w:sz w:val="60"/>
                <w:szCs w:val="60"/>
              </w:rPr>
            </w:pPr>
            <w:r>
              <w:rPr>
                <w:rFonts w:hint="eastAsia" w:ascii="Times New Roman" w:hAnsi="Times New Roman" w:eastAsia="方正小标宋_GBK" w:cs="Times New Roman"/>
                <w:color w:val="FF0000"/>
                <w:w w:val="70"/>
                <w:sz w:val="86"/>
                <w:szCs w:val="60"/>
              </w:rPr>
              <w:t>文件</w:t>
            </w:r>
          </w:p>
        </w:tc>
      </w:tr>
    </w:tbl>
    <w:p>
      <w:pPr>
        <w:adjustRightInd w:val="0"/>
        <w:snapToGrid w:val="0"/>
        <w:spacing w:beforeLines="100" w:afterLines="25"/>
        <w:jc w:val="center"/>
        <w:rPr>
          <w:rFonts w:ascii="Times New Roman" w:hAnsi="Times New Roman" w:eastAsia="宋体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苏工信装备〔</w:t>
      </w:r>
      <w:r>
        <w:rPr>
          <w:rFonts w:ascii="Times New Roman" w:hAnsi="Times New Roman" w:eastAsia="方正仿宋_GBK" w:cs="Times New Roman"/>
          <w:sz w:val="32"/>
          <w:szCs w:val="32"/>
        </w:rPr>
        <w:t>20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22〕516号</w:t>
      </w:r>
    </w:p>
    <w:tbl>
      <w:tblPr>
        <w:tblStyle w:val="2"/>
        <w:tblW w:w="9022" w:type="dxa"/>
        <w:jc w:val="center"/>
        <w:tblBorders>
          <w:top w:val="single" w:color="FF0000" w:sz="18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22"/>
      </w:tblGrid>
      <w:tr>
        <w:tblPrEx>
          <w:tblBorders>
            <w:top w:val="single" w:color="FF0000" w:sz="18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22" w:type="dxa"/>
            <w:tcBorders>
              <w:top w:val="single" w:color="FF0000" w:sz="18" w:space="0"/>
            </w:tcBorders>
          </w:tcPr>
          <w:p>
            <w:pPr>
              <w:ind w:firstLine="420"/>
              <w:jc w:val="center"/>
              <w:rPr>
                <w:rFonts w:ascii="Times New Roman" w:hAnsi="Times New Roman" w:eastAsia="宋体" w:cs="Times New Roman"/>
              </w:rPr>
            </w:pPr>
          </w:p>
        </w:tc>
      </w:tr>
      <w:bookmarkEnd w:id="0"/>
    </w:tbl>
    <w:p>
      <w:pPr>
        <w:adjustRightInd w:val="0"/>
        <w:snapToGrid w:val="0"/>
        <w:spacing w:beforeLines="50" w:line="580" w:lineRule="exact"/>
        <w:jc w:val="center"/>
        <w:rPr>
          <w:rFonts w:ascii="方正小标宋_GBK" w:hAnsi="Calibri" w:eastAsia="方正小标宋_GBK" w:cs="Times New Roman"/>
          <w:sz w:val="44"/>
          <w:szCs w:val="44"/>
        </w:rPr>
      </w:pPr>
      <w:r>
        <w:rPr>
          <w:rFonts w:hint="eastAsia" w:ascii="方正小标宋_GBK" w:hAnsi="Calibri" w:eastAsia="方正小标宋_GBK" w:cs="Times New Roman"/>
          <w:sz w:val="44"/>
          <w:szCs w:val="44"/>
        </w:rPr>
        <w:t>关于延长《江苏省铸造产能置换管理</w:t>
      </w:r>
    </w:p>
    <w:p>
      <w:pPr>
        <w:adjustRightInd w:val="0"/>
        <w:snapToGrid w:val="0"/>
        <w:spacing w:line="580" w:lineRule="exact"/>
        <w:jc w:val="center"/>
        <w:rPr>
          <w:rFonts w:ascii="方正小标宋_GBK" w:hAnsi="Calibri" w:eastAsia="方正小标宋_GBK" w:cs="Times New Roman"/>
          <w:sz w:val="44"/>
          <w:szCs w:val="44"/>
        </w:rPr>
      </w:pPr>
      <w:r>
        <w:rPr>
          <w:rFonts w:hint="eastAsia" w:ascii="方正小标宋_GBK" w:hAnsi="Calibri" w:eastAsia="方正小标宋_GBK" w:cs="Times New Roman"/>
          <w:sz w:val="44"/>
          <w:szCs w:val="44"/>
        </w:rPr>
        <w:t>暂行办法》有效期的公告</w:t>
      </w:r>
    </w:p>
    <w:p>
      <w:pPr>
        <w:adjustRightInd w:val="0"/>
        <w:snapToGrid w:val="0"/>
        <w:spacing w:line="580" w:lineRule="exact"/>
        <w:rPr>
          <w:rFonts w:ascii="Calibri" w:hAnsi="Calibri" w:eastAsia="宋体" w:cs="Times New Roman"/>
          <w:szCs w:val="21"/>
        </w:rPr>
      </w:pPr>
      <w:r>
        <w:rPr>
          <w:rFonts w:ascii="Calibri" w:hAnsi="Calibri" w:eastAsia="宋体" w:cs="Times New Roman"/>
          <w:szCs w:val="21"/>
        </w:rPr>
        <w:t xml:space="preserve"> 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bookmarkStart w:id="1" w:name="_GoBack"/>
      <w:r>
        <w:rPr>
          <w:rFonts w:hint="default" w:ascii="Times New Roman" w:hAnsi="Times New Roman" w:eastAsia="方正仿宋_GBK" w:cs="Times New Roman"/>
          <w:sz w:val="32"/>
          <w:szCs w:val="32"/>
        </w:rPr>
        <w:t>根据</w:t>
      </w:r>
      <w:r>
        <w:rPr>
          <w:rFonts w:hint="default" w:ascii="Times New Roman" w:hAnsi="方正仿宋_GBK" w:eastAsia="方正仿宋_GBK" w:cs="Times New Roman"/>
          <w:sz w:val="32"/>
          <w:szCs w:val="32"/>
        </w:rPr>
        <w:t>《江苏省行政规范性文件管理规定》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（省</w:t>
      </w:r>
      <w:r>
        <w:rPr>
          <w:rFonts w:hint="default" w:ascii="Times New Roman" w:hAnsi="方正仿宋_GBK" w:eastAsia="方正仿宋_GBK" w:cs="Times New Roman"/>
          <w:sz w:val="32"/>
          <w:szCs w:val="32"/>
        </w:rPr>
        <w:t>政府令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﹝2022﹞第158号</w:t>
      </w:r>
      <w:r>
        <w:rPr>
          <w:rFonts w:hint="default" w:ascii="Times New Roman" w:hAnsi="方正仿宋_GBK" w:eastAsia="方正仿宋_GBK" w:cs="Times New Roman"/>
          <w:sz w:val="32"/>
          <w:szCs w:val="32"/>
        </w:rPr>
        <w:t>）要求，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经评估，《江苏省铸造产能置换管理暂行办法》（苏工信规﹝2020﹞3号）在原有效期满后继续实施，有效期至2023年10月8日，</w:t>
      </w:r>
      <w:r>
        <w:rPr>
          <w:rFonts w:hint="default" w:ascii="Times New Roman" w:hAnsi="方正仿宋_GBK" w:eastAsia="方正仿宋_GBK" w:cs="Times New Roman"/>
          <w:sz w:val="32"/>
          <w:szCs w:val="32"/>
        </w:rPr>
        <w:t>现予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以</w:t>
      </w:r>
      <w:r>
        <w:rPr>
          <w:rFonts w:hint="default" w:ascii="Times New Roman" w:hAnsi="方正仿宋_GBK" w:eastAsia="方正仿宋_GBK" w:cs="Times New Roman"/>
          <w:sz w:val="32"/>
          <w:szCs w:val="32"/>
        </w:rPr>
        <w:t>公告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。</w:t>
      </w:r>
    </w:p>
    <w:p>
      <w:pPr>
        <w:adjustRightInd w:val="0"/>
        <w:snapToGrid w:val="0"/>
        <w:spacing w:line="580" w:lineRule="exact"/>
        <w:ind w:firstLine="0" w:firstLineChars="0"/>
        <w:jc w:val="center"/>
        <w:rPr>
          <w:rFonts w:hint="eastAsia" w:ascii="Times New Roman" w:hAnsi="Times New Roman" w:eastAsia="方正仿宋_GBK" w:cs="Times New Roman"/>
          <w:spacing w:val="-8"/>
          <w:w w:val="95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0" w:firstLineChars="0"/>
        <w:jc w:val="center"/>
        <w:rPr>
          <w:rFonts w:ascii="Times New Roman" w:hAnsi="Times New Roman" w:eastAsia="方正仿宋_GBK" w:cs="Times New Roman"/>
          <w:spacing w:val="-6"/>
          <w:w w:val="95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pacing w:val="-6"/>
          <w:w w:val="95"/>
          <w:sz w:val="32"/>
          <w:szCs w:val="32"/>
        </w:rPr>
        <w:t>江苏省工业和信息化厅</w:t>
      </w:r>
      <w:r>
        <w:rPr>
          <w:rFonts w:hint="eastAsia" w:ascii="Times New Roman" w:hAnsi="Times New Roman" w:eastAsia="方正仿宋_GBK" w:cs="Times New Roman"/>
          <w:spacing w:val="-6"/>
          <w:w w:val="95"/>
          <w:sz w:val="32"/>
          <w:szCs w:val="32"/>
        </w:rPr>
        <w:t xml:space="preserve"> </w:t>
      </w:r>
      <w:r>
        <w:rPr>
          <w:rFonts w:hint="default" w:ascii="Times New Roman" w:hAnsi="Times New Roman" w:eastAsia="方正仿宋_GBK" w:cs="Times New Roman"/>
          <w:spacing w:val="-6"/>
          <w:w w:val="95"/>
          <w:sz w:val="32"/>
          <w:szCs w:val="32"/>
        </w:rPr>
        <w:t>江苏省发展和改革委员会</w:t>
      </w:r>
      <w:r>
        <w:rPr>
          <w:rFonts w:hint="eastAsia" w:ascii="Times New Roman" w:hAnsi="Times New Roman" w:eastAsia="方正仿宋_GBK" w:cs="Times New Roman"/>
          <w:spacing w:val="-6"/>
          <w:w w:val="95"/>
          <w:sz w:val="32"/>
          <w:szCs w:val="32"/>
        </w:rPr>
        <w:t xml:space="preserve"> </w:t>
      </w:r>
      <w:r>
        <w:rPr>
          <w:rFonts w:hint="default" w:ascii="Times New Roman" w:hAnsi="Times New Roman" w:eastAsia="方正仿宋_GBK" w:cs="Times New Roman"/>
          <w:spacing w:val="-6"/>
          <w:w w:val="95"/>
          <w:sz w:val="32"/>
          <w:szCs w:val="32"/>
        </w:rPr>
        <w:t>江苏省生态环境厅</w:t>
      </w:r>
    </w:p>
    <w:p>
      <w:pPr>
        <w:adjustRightInd w:val="0"/>
        <w:snapToGrid w:val="0"/>
        <w:spacing w:line="580" w:lineRule="exact"/>
        <w:ind w:firstLine="0" w:firstLineChars="0"/>
        <w:jc w:val="right"/>
        <w:rPr>
          <w:rFonts w:hint="eastAsia" w:ascii="Times New Roman" w:hAnsi="方正仿宋_GBK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2022</w:t>
      </w:r>
      <w:r>
        <w:rPr>
          <w:rFonts w:hint="default" w:ascii="Times New Roman" w:hAnsi="方正仿宋_GBK" w:eastAsia="方正仿宋_GBK" w:cs="Times New Roman"/>
          <w:sz w:val="32"/>
          <w:szCs w:val="32"/>
        </w:rPr>
        <w:t>年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9</w:t>
      </w:r>
      <w:r>
        <w:rPr>
          <w:rFonts w:hint="default" w:ascii="Times New Roman" w:hAnsi="方正仿宋_GBK" w:eastAsia="方正仿宋_GBK" w:cs="Times New Roman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26</w:t>
      </w:r>
      <w:r>
        <w:rPr>
          <w:rFonts w:hint="default" w:ascii="Times New Roman" w:hAnsi="方正仿宋_GBK" w:eastAsia="方正仿宋_GBK" w:cs="Times New Roman"/>
          <w:sz w:val="32"/>
          <w:szCs w:val="32"/>
        </w:rPr>
        <w:t>日</w:t>
      </w:r>
      <w:bookmarkEnd w:id="1"/>
    </w:p>
    <w:p>
      <w:pPr>
        <w:adjustRightInd w:val="0"/>
        <w:snapToGrid w:val="0"/>
        <w:spacing w:line="590" w:lineRule="exact"/>
        <w:ind w:firstLine="0" w:firstLineChars="0"/>
        <w:rPr>
          <w:rFonts w:ascii="方正仿宋_GBK" w:hAnsi="Calibri" w:eastAsia="方正仿宋_GBK" w:cs="Times New Roman"/>
          <w:sz w:val="32"/>
          <w:szCs w:val="32"/>
        </w:rPr>
      </w:pPr>
    </w:p>
    <w:tbl>
      <w:tblPr>
        <w:tblStyle w:val="3"/>
        <w:tblW w:w="5000" w:type="pct"/>
        <w:tblInd w:w="0" w:type="dxa"/>
        <w:tblBorders>
          <w:top w:val="single" w:color="000000" w:themeColor="text1" w:sz="4" w:space="0"/>
          <w:left w:val="none" w:color="auto" w:sz="0" w:space="0"/>
          <w:bottom w:val="single" w:color="000000" w:themeColor="text1" w:sz="4" w:space="0"/>
          <w:right w:val="none" w:color="auto" w:sz="0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6"/>
      </w:tblGrid>
      <w:tr>
        <w:tblPrEx>
          <w:tblBorders>
            <w:top w:val="single" w:color="000000" w:themeColor="text1" w:sz="4" w:space="0"/>
            <w:left w:val="none" w:color="auto" w:sz="0" w:space="0"/>
            <w:bottom w:val="single" w:color="000000" w:themeColor="text1" w:sz="4" w:space="0"/>
            <w:right w:val="none" w:color="auto" w:sz="0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00" w:type="pct"/>
          </w:tcPr>
          <w:p>
            <w:pPr>
              <w:adjustRightInd w:val="0"/>
              <w:snapToGrid w:val="0"/>
              <w:spacing w:beforeLines="30" w:afterLines="30" w:line="240" w:lineRule="auto"/>
              <w:ind w:left="960" w:hanging="960" w:hangingChars="300"/>
              <w:rPr>
                <w:rFonts w:ascii="方正仿宋_GBK" w:hAnsi="Calibri" w:eastAsia="方正仿宋_GBK" w:cs="Times New Roman"/>
                <w:sz w:val="32"/>
                <w:szCs w:val="32"/>
              </w:rPr>
            </w:pPr>
            <w:r>
              <w:rPr>
                <w:rFonts w:ascii="方正仿宋_GBK" w:hAnsi="Calibri" w:eastAsia="方正仿宋_GBK" w:cs="Times New Roman"/>
                <w:sz w:val="32"/>
                <w:szCs w:val="32"/>
              </w:rPr>
              <w:t>发送：</w:t>
            </w:r>
            <w:r>
              <w:rPr>
                <w:rFonts w:hint="eastAsia" w:ascii="方正仿宋_GBK" w:hAnsi="Calibri" w:eastAsia="方正仿宋_GBK" w:cs="Times New Roman"/>
                <w:sz w:val="32"/>
                <w:szCs w:val="32"/>
              </w:rPr>
              <w:t>各设区市工业和信息化局、发展和改革委员会、生态</w:t>
            </w:r>
            <w:r>
              <w:rPr>
                <w:rFonts w:ascii="方正仿宋_GBK" w:hAnsi="Calibri" w:eastAsia="方正仿宋_GBK" w:cs="Times New Roman"/>
                <w:sz w:val="32"/>
                <w:szCs w:val="32"/>
              </w:rPr>
              <w:t xml:space="preserve">      </w:t>
            </w:r>
            <w:r>
              <w:rPr>
                <w:rFonts w:hint="eastAsia" w:ascii="方正仿宋_GBK" w:hAnsi="Calibri" w:eastAsia="方正仿宋_GBK" w:cs="Times New Roman"/>
                <w:sz w:val="32"/>
                <w:szCs w:val="32"/>
              </w:rPr>
              <w:t>环境局</w:t>
            </w:r>
            <w:r>
              <w:rPr>
                <w:rFonts w:ascii="方正仿宋_GBK" w:hAnsi="Calibri" w:eastAsia="方正仿宋_GBK" w:cs="Times New Roman"/>
                <w:sz w:val="32"/>
                <w:szCs w:val="32"/>
              </w:rPr>
              <w:t>。</w:t>
            </w:r>
          </w:p>
        </w:tc>
      </w:tr>
      <w:tr>
        <w:tblPrEx>
          <w:tblBorders>
            <w:top w:val="single" w:color="000000" w:themeColor="text1" w:sz="4" w:space="0"/>
            <w:left w:val="none" w:color="auto" w:sz="0" w:space="0"/>
            <w:bottom w:val="single" w:color="000000" w:themeColor="text1" w:sz="4" w:space="0"/>
            <w:right w:val="none" w:color="auto" w:sz="0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00" w:type="pct"/>
          </w:tcPr>
          <w:p>
            <w:pPr>
              <w:adjustRightInd w:val="0"/>
              <w:snapToGrid w:val="0"/>
              <w:spacing w:beforeLines="30" w:afterLines="30" w:line="240" w:lineRule="auto"/>
              <w:jc w:val="center"/>
              <w:rPr>
                <w:rFonts w:ascii="方正仿宋_GBK" w:hAnsi="Calibri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江苏省工信厅办公室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 xml:space="preserve">                 </w:t>
            </w: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2022</w:t>
            </w:r>
            <w:r>
              <w:rPr>
                <w:rFonts w:ascii="Times New Roman" w:hAnsi="方正仿宋_GBK" w:eastAsia="方正仿宋_GBK" w:cs="Times New Roman"/>
                <w:sz w:val="32"/>
                <w:szCs w:val="32"/>
              </w:rPr>
              <w:t>年</w:t>
            </w: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9</w:t>
            </w:r>
            <w:r>
              <w:rPr>
                <w:rFonts w:ascii="Times New Roman" w:hAnsi="方正仿宋_GBK" w:eastAsia="方正仿宋_GBK" w:cs="Times New Roman"/>
                <w:sz w:val="32"/>
                <w:szCs w:val="32"/>
              </w:rPr>
              <w:t>月</w:t>
            </w: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26</w:t>
            </w:r>
            <w:r>
              <w:rPr>
                <w:rFonts w:ascii="Times New Roman" w:hAnsi="方正仿宋_GBK" w:eastAsia="方正仿宋_GBK" w:cs="Times New Roman"/>
                <w:sz w:val="32"/>
                <w:szCs w:val="32"/>
              </w:rPr>
              <w:t>日</w:t>
            </w:r>
            <w:r>
              <w:rPr>
                <w:rFonts w:hint="eastAsia" w:ascii="Times New Roman" w:hAnsi="方正仿宋_GBK" w:eastAsia="方正仿宋_GBK" w:cs="Times New Roman"/>
                <w:sz w:val="32"/>
                <w:szCs w:val="32"/>
              </w:rPr>
              <w:t>印发</w:t>
            </w:r>
          </w:p>
        </w:tc>
      </w:tr>
    </w:tbl>
    <w:p>
      <w:pPr>
        <w:adjustRightInd w:val="0"/>
        <w:snapToGrid w:val="0"/>
        <w:spacing w:line="20" w:lineRule="exact"/>
        <w:rPr>
          <w:rFonts w:ascii="方正仿宋_GBK" w:hAnsi="Calibri" w:eastAsia="方正仿宋_GBK" w:cs="Times New Roman"/>
          <w:sz w:val="32"/>
          <w:szCs w:val="32"/>
        </w:rPr>
      </w:pPr>
    </w:p>
    <w:p>
      <w:pPr>
        <w:adjustRightInd w:val="0"/>
        <w:snapToGrid w:val="0"/>
        <w:spacing w:line="20" w:lineRule="exact"/>
        <w:rPr>
          <w:rFonts w:ascii="方正仿宋_GBK" w:hAnsi="Calibri" w:eastAsia="方正仿宋_GBK" w:cs="Times New Roman"/>
          <w:sz w:val="32"/>
          <w:szCs w:val="32"/>
        </w:rPr>
      </w:pPr>
    </w:p>
    <w:p>
      <w:pPr>
        <w:adjustRightInd w:val="0"/>
        <w:snapToGrid w:val="0"/>
        <w:spacing w:line="20" w:lineRule="exact"/>
        <w:rPr>
          <w:rFonts w:ascii="方正仿宋_GBK" w:hAnsi="Calibri" w:eastAsia="方正仿宋_GBK" w:cs="Times New Roman"/>
          <w:sz w:val="32"/>
          <w:szCs w:val="32"/>
        </w:rPr>
      </w:pPr>
    </w:p>
    <w:p>
      <w:pPr>
        <w:adjustRightInd w:val="0"/>
        <w:snapToGrid w:val="0"/>
        <w:spacing w:line="20" w:lineRule="exact"/>
      </w:pPr>
    </w:p>
    <w:sectPr>
      <w:pgSz w:w="11906" w:h="16838"/>
      <w:pgMar w:top="1440" w:right="1588" w:bottom="1440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6E26ED"/>
    <w:rsid w:val="000E3242"/>
    <w:rsid w:val="000F03B9"/>
    <w:rsid w:val="0013590A"/>
    <w:rsid w:val="001446CE"/>
    <w:rsid w:val="00163E84"/>
    <w:rsid w:val="001754D1"/>
    <w:rsid w:val="001F60FD"/>
    <w:rsid w:val="00273BF6"/>
    <w:rsid w:val="00295693"/>
    <w:rsid w:val="00313F3B"/>
    <w:rsid w:val="00370EDF"/>
    <w:rsid w:val="00374CBA"/>
    <w:rsid w:val="003A6F87"/>
    <w:rsid w:val="003B5761"/>
    <w:rsid w:val="003B6C90"/>
    <w:rsid w:val="003B7AA3"/>
    <w:rsid w:val="003C4331"/>
    <w:rsid w:val="00405559"/>
    <w:rsid w:val="00411EC5"/>
    <w:rsid w:val="00446591"/>
    <w:rsid w:val="00476E8C"/>
    <w:rsid w:val="006874A1"/>
    <w:rsid w:val="00697DDA"/>
    <w:rsid w:val="006E26ED"/>
    <w:rsid w:val="00705016"/>
    <w:rsid w:val="00714771"/>
    <w:rsid w:val="00751C3C"/>
    <w:rsid w:val="00755A33"/>
    <w:rsid w:val="007A1BED"/>
    <w:rsid w:val="007B3FE4"/>
    <w:rsid w:val="007C324B"/>
    <w:rsid w:val="00853710"/>
    <w:rsid w:val="00866469"/>
    <w:rsid w:val="008A070D"/>
    <w:rsid w:val="00B21D0E"/>
    <w:rsid w:val="00B87CE9"/>
    <w:rsid w:val="00BB4054"/>
    <w:rsid w:val="00C17993"/>
    <w:rsid w:val="00C228C6"/>
    <w:rsid w:val="00CA2FE8"/>
    <w:rsid w:val="00DF3232"/>
    <w:rsid w:val="00EE3A9F"/>
    <w:rsid w:val="00F53AA0"/>
    <w:rsid w:val="00FA1396"/>
    <w:rsid w:val="00FB6774"/>
    <w:rsid w:val="07F7F2C5"/>
    <w:rsid w:val="3FAD6C26"/>
    <w:rsid w:val="604E2DA0"/>
    <w:rsid w:val="76F52E12"/>
    <w:rsid w:val="77AF48E5"/>
    <w:rsid w:val="E7FE3A5F"/>
    <w:rsid w:val="EB7FEF7F"/>
    <w:rsid w:val="F7EF46B4"/>
    <w:rsid w:val="FBAEF5A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62</Words>
  <Characters>356</Characters>
  <Lines>2</Lines>
  <Paragraphs>1</Paragraphs>
  <TotalTime>8</TotalTime>
  <ScaleCrop>false</ScaleCrop>
  <LinksUpToDate>false</LinksUpToDate>
  <CharactersWithSpaces>417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2022-09-27T22:29:00Z</dcterms:created>
  <dc:creator>测试2</dc:creator>
  <cp:lastModifiedBy>uos</cp:lastModifiedBy>
  <cp:lastPrinted>2022-09-27T22:26:00Z</cp:lastPrinted>
  <dcterms:modified xsi:type="dcterms:W3CDTF">2022-09-27T17:40:21Z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