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hint="eastAsia"/>
        </w:rPr>
      </w:pPr>
    </w:p>
    <w:p>
      <w:pPr>
        <w:ind w:left="420" w:firstLine="0" w:firstLineChars="0"/>
        <w:rPr>
          <w:rFonts w:hint="eastAsia"/>
        </w:rPr>
      </w:pPr>
    </w:p>
    <w:p>
      <w:pPr>
        <w:spacing w:line="240" w:lineRule="auto"/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苏工信数据〔2022〕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515</w:t>
      </w:r>
      <w:r>
        <w:rPr>
          <w:rFonts w:ascii="Times New Roman" w:hAnsi="Times New Roman" w:eastAsia="方正仿宋_GBK"/>
          <w:sz w:val="32"/>
          <w:szCs w:val="32"/>
        </w:rPr>
        <w:t>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1312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6&#10;fHlz1wAAAAkBAAAPAAAAAAAAAAEAIAAAADgAAABkcnMvZG93bnJldi54bWxQSwECFAAUAAAACACH&#10;TuJAksnmf9YBAAB7AwAADgAAAAAAAAABACAAAAA8AQAAZHJzL2Uyb0RvYy54bWxQSwUGAAAAAAYA&#10;BgBZAQAAhA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0288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07Cwo&#10;1gAAAA0BAAAPAAAAAAAAAAEAIAAAADgAAABkcnMvZG93bnJldi54bWxQSwECFAAUAAAACACHTuJA&#10;382sBtQBAAB7AwAADgAAAAAAAAABACAAAAA7AQAAZHJzL2Uyb0RvYy54bWxQSwUGAAAAAAYABgBZ&#10;AQAAgQ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560" w:lineRule="exact"/>
        <w:ind w:firstLine="880"/>
        <w:jc w:val="center"/>
        <w:rPr>
          <w:rFonts w:hint="eastAsia" w:ascii="方正小标宋_GBK" w:hAnsi="微软雅黑" w:eastAsia="方正小标宋_GBK" w:cs="宋体"/>
          <w:bCs/>
          <w:color w:val="000000"/>
          <w:kern w:val="36"/>
          <w:sz w:val="44"/>
          <w:szCs w:val="44"/>
        </w:rPr>
      </w:pPr>
      <w:bookmarkStart w:id="0" w:name="Content"/>
      <w:bookmarkEnd w:id="0"/>
      <w:r>
        <w:rPr>
          <w:rFonts w:hint="eastAsia" w:ascii="方正小标宋_GBK" w:eastAsia="方正小标宋_GBK"/>
          <w:sz w:val="44"/>
          <w:szCs w:val="44"/>
          <w:lang w:bidi="ar"/>
        </w:rPr>
        <w:t xml:space="preserve"> </w:t>
      </w:r>
    </w:p>
    <w:p>
      <w:pPr>
        <w:widowControl/>
        <w:shd w:val="clear" w:color="auto" w:fill="FFFFFF"/>
        <w:spacing w:line="590" w:lineRule="exact"/>
        <w:jc w:val="center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关于公布2022年工业领域数据安全防护方案</w:t>
      </w:r>
    </w:p>
    <w:p>
      <w:pPr>
        <w:widowControl/>
        <w:shd w:val="clear" w:color="auto" w:fill="FFFFFF"/>
        <w:spacing w:line="590" w:lineRule="exact"/>
        <w:jc w:val="center"/>
        <w:rPr>
          <w:rFonts w:ascii="Times New Roman" w:hAnsi="Times New Roman" w:eastAsia="方正小标宋_GBK" w:cs="Times New Roman"/>
          <w:kern w:val="0"/>
          <w:sz w:val="44"/>
          <w:szCs w:val="44"/>
        </w:rPr>
      </w:pPr>
      <w:r>
        <w:rPr>
          <w:rFonts w:ascii="Times New Roman" w:hAnsi="Times New Roman" w:eastAsia="方正小标宋_GBK" w:cs="Times New Roman"/>
          <w:kern w:val="0"/>
          <w:sz w:val="44"/>
          <w:szCs w:val="44"/>
        </w:rPr>
        <w:t>供应商及优秀产品、解决方案的通知</w:t>
      </w:r>
    </w:p>
    <w:p>
      <w:pPr>
        <w:widowControl/>
        <w:shd w:val="clear" w:color="auto" w:fill="FFFFFF"/>
        <w:rPr>
          <w:rFonts w:ascii="Times New Roman" w:hAnsi="Times New Roman" w:eastAsia="方正仿宋_GBK" w:cs="Times New Roman"/>
          <w:kern w:val="0"/>
          <w:sz w:val="30"/>
          <w:szCs w:val="30"/>
        </w:rPr>
      </w:pPr>
    </w:p>
    <w:p>
      <w:pPr>
        <w:widowControl/>
        <w:shd w:val="clear" w:color="auto" w:fill="FFFFFF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各设区市工信局（大数据产业主管部门），昆山市、泰兴市、沭阳县工信局，各有关单位：</w:t>
      </w:r>
    </w:p>
    <w:p>
      <w:pPr>
        <w:widowControl/>
        <w:shd w:val="clear" w:color="auto" w:fill="FFFFFF"/>
        <w:ind w:firstLine="600" w:firstLineChars="200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为做好国家工业领域数据安全管理试点工作，进一步提升重点行业数据安全防护水平，我厅组织开展了 2022 年工业领域数据安全防护方案供应商、优秀产品及解决方案评选工作。经企业自主申报、专家评审等程序，评选出了中通服咨询设计研究院有限公司等20家供应商，深圳昂楷科技有限公司的工业数据安全管理平台等56个优秀产品，奇安信网神信息技术（北京）股份有限公司的数据安全泄露防护方案等26个解决方案，现将名单予以公布。</w:t>
      </w:r>
    </w:p>
    <w:p>
      <w:pPr>
        <w:widowControl/>
        <w:shd w:val="clear" w:color="auto" w:fill="FFFFFF"/>
        <w:ind w:firstLine="600" w:firstLineChars="200"/>
        <w:rPr>
          <w:rFonts w:hint="eastAsia"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请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入选企业积极参与工业领域数据安全管理试点工作，与工业领域数据安全管理试点企业主动对接，结合试点企业数据安全管理自评估情况，针对薄弱环节，共同制定工业领域数据安全防护方案，切实提高企业数据安全防护水平。</w:t>
      </w:r>
    </w:p>
    <w:p>
      <w:pPr>
        <w:widowControl/>
        <w:shd w:val="clear" w:color="auto" w:fill="FFFFFF"/>
        <w:ind w:firstLine="600" w:firstLineChars="200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各设区市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工信局（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大数据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产业主管部门）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加强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供需对接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组织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跟踪，督促本地区试点企业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于9月30日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前完成工业领域数据安全防护方案制定，并提交到邮箱：</w:t>
      </w:r>
      <w:r>
        <w:rPr>
          <w:rFonts w:hint="eastAsia" w:ascii="Times New Roman" w:hAnsi="Times New Roman" w:eastAsia="方正仿宋_GBK" w:cs="Times New Roman"/>
          <w:color w:val="auto"/>
          <w:kern w:val="0"/>
          <w:sz w:val="30"/>
          <w:szCs w:val="30"/>
          <w:u w:val="none"/>
        </w:rPr>
        <w:fldChar w:fldCharType="begin"/>
      </w:r>
      <w:r>
        <w:rPr>
          <w:rFonts w:hint="eastAsia" w:ascii="Times New Roman" w:hAnsi="Times New Roman" w:eastAsia="方正仿宋_GBK" w:cs="Times New Roman"/>
          <w:color w:val="auto"/>
          <w:kern w:val="0"/>
          <w:sz w:val="30"/>
          <w:szCs w:val="30"/>
          <w:u w:val="none"/>
        </w:rPr>
        <w:instrText xml:space="preserve"> HYPERLINK "mailto:my@jnlab.com。" </w:instrText>
      </w:r>
      <w:r>
        <w:rPr>
          <w:rFonts w:hint="eastAsia" w:ascii="Times New Roman" w:hAnsi="Times New Roman" w:eastAsia="方正仿宋_GBK" w:cs="Times New Roman"/>
          <w:color w:val="auto"/>
          <w:kern w:val="0"/>
          <w:sz w:val="30"/>
          <w:szCs w:val="30"/>
          <w:u w:val="none"/>
        </w:rPr>
        <w:fldChar w:fldCharType="separate"/>
      </w:r>
      <w:r>
        <w:rPr>
          <w:rStyle w:val="5"/>
          <w:rFonts w:hint="eastAsia" w:ascii="Times New Roman" w:hAnsi="Times New Roman" w:eastAsia="方正仿宋_GBK" w:cs="Times New Roman"/>
          <w:kern w:val="0"/>
          <w:sz w:val="30"/>
          <w:szCs w:val="30"/>
        </w:rPr>
        <w:t>my@jnlab.c</w:t>
      </w:r>
      <w:r>
        <w:rPr>
          <w:rStyle w:val="5"/>
          <w:rFonts w:ascii="Times New Roman" w:hAnsi="Times New Roman" w:eastAsia="方正仿宋_GBK" w:cs="Times New Roman"/>
          <w:kern w:val="0"/>
          <w:sz w:val="30"/>
          <w:szCs w:val="30"/>
        </w:rPr>
        <w:t>om</w:t>
      </w:r>
      <w:r>
        <w:rPr>
          <w:rStyle w:val="5"/>
          <w:rFonts w:hint="eastAsia" w:ascii="Times New Roman" w:hAnsi="Times New Roman" w:eastAsia="方正仿宋_GBK" w:cs="Times New Roman"/>
          <w:kern w:val="0"/>
          <w:sz w:val="30"/>
          <w:szCs w:val="30"/>
        </w:rPr>
        <w:t>。</w:t>
      </w:r>
      <w:r>
        <w:rPr>
          <w:rStyle w:val="5"/>
          <w:rFonts w:hint="eastAsia" w:ascii="Times New Roman" w:hAnsi="Times New Roman" w:eastAsia="方正仿宋_GBK" w:cs="Times New Roman"/>
          <w:kern w:val="0"/>
          <w:sz w:val="30"/>
          <w:szCs w:val="30"/>
        </w:rPr>
        <w:br w:type="textWrapping"/>
      </w:r>
      <w:r>
        <w:rPr>
          <w:rFonts w:hint="eastAsia" w:ascii="Times New Roman" w:hAnsi="Times New Roman" w:eastAsia="方正仿宋_GBK" w:cs="Times New Roman"/>
          <w:color w:val="auto"/>
          <w:kern w:val="0"/>
          <w:sz w:val="30"/>
          <w:szCs w:val="30"/>
          <w:u w:val="none"/>
        </w:rPr>
        <w:fldChar w:fldCharType="end"/>
      </w:r>
      <w:r>
        <w:rPr>
          <w:rFonts w:hint="eastAsia" w:ascii="Times New Roman" w:hAnsi="Times New Roman" w:eastAsia="方正仿宋_GBK" w:cs="Times New Roman"/>
          <w:color w:val="auto"/>
          <w:kern w:val="0"/>
          <w:sz w:val="30"/>
          <w:szCs w:val="30"/>
          <w:u w:val="none"/>
          <w:lang w:val="en-US" w:eastAsia="zh-CN"/>
        </w:rPr>
        <w:t xml:space="preserve">   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联系人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：张腾标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eastAsia="zh-CN"/>
        </w:rPr>
        <w:t>、</w:t>
      </w:r>
      <w:bookmarkStart w:id="1" w:name="_GoBack"/>
      <w:bookmarkEnd w:id="1"/>
      <w:r>
        <w:rPr>
          <w:rFonts w:hint="eastAsia" w:ascii="Times New Roman" w:hAnsi="Times New Roman" w:eastAsia="方正仿宋_GBK" w:cs="Times New Roman"/>
          <w:kern w:val="0"/>
          <w:sz w:val="30"/>
          <w:szCs w:val="30"/>
        </w:rPr>
        <w:t>梅  亦 0510-85100442</w:t>
      </w:r>
    </w:p>
    <w:p>
      <w:pPr>
        <w:widowControl/>
        <w:shd w:val="clear" w:color="auto" w:fill="FFFFFF"/>
        <w:ind w:firstLine="600" w:firstLineChars="200"/>
        <w:rPr>
          <w:rFonts w:ascii="Times New Roman" w:hAnsi="Times New Roman" w:eastAsia="方正仿宋_GBK" w:cs="Times New Roman"/>
          <w:kern w:val="0"/>
          <w:sz w:val="30"/>
          <w:szCs w:val="30"/>
        </w:rPr>
      </w:pPr>
    </w:p>
    <w:p>
      <w:pPr>
        <w:widowControl/>
        <w:shd w:val="clear" w:color="auto" w:fill="FFFFFF"/>
        <w:ind w:firstLine="600" w:firstLineChars="200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附件：2022年工业领域数据安全防护方案供应商、优秀产品</w:t>
      </w:r>
    </w:p>
    <w:p>
      <w:pPr>
        <w:widowControl/>
        <w:shd w:val="clear" w:color="auto" w:fill="FFFFFF"/>
        <w:ind w:firstLine="1350" w:firstLineChars="450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及解决方案名单</w:t>
      </w:r>
    </w:p>
    <w:p>
      <w:pPr>
        <w:widowControl/>
        <w:shd w:val="clear" w:color="auto" w:fill="FFFFFF"/>
        <w:jc w:val="right"/>
        <w:rPr>
          <w:rFonts w:ascii="Times New Roman" w:hAnsi="Times New Roman" w:eastAsia="方正仿宋_GBK" w:cs="Times New Roman"/>
          <w:kern w:val="0"/>
          <w:sz w:val="30"/>
          <w:szCs w:val="30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江苏省工业和信息化厅</w:t>
      </w:r>
    </w:p>
    <w:p>
      <w:pPr>
        <w:widowControl/>
        <w:shd w:val="clear" w:color="auto" w:fill="FFFFFF"/>
        <w:ind w:right="300"/>
        <w:jc w:val="right"/>
        <w:rPr>
          <w:rFonts w:ascii="Times New Roman" w:hAnsi="Times New Roman" w:eastAsia="宋体" w:cs="Times New Roman"/>
          <w:kern w:val="0"/>
          <w:sz w:val="24"/>
          <w:szCs w:val="24"/>
        </w:rPr>
      </w:pPr>
      <w:r>
        <w:rPr>
          <w:rFonts w:ascii="Times New Roman" w:hAnsi="Times New Roman" w:eastAsia="方正仿宋_GBK" w:cs="Times New Roman"/>
          <w:kern w:val="0"/>
          <w:sz w:val="30"/>
          <w:szCs w:val="30"/>
        </w:rPr>
        <w:t>2022年9月2</w:t>
      </w:r>
      <w:r>
        <w:rPr>
          <w:rFonts w:hint="eastAsia" w:ascii="Times New Roman" w:hAnsi="Times New Roman" w:eastAsia="方正仿宋_GBK" w:cs="Times New Roman"/>
          <w:kern w:val="0"/>
          <w:sz w:val="30"/>
          <w:szCs w:val="30"/>
          <w:lang w:val="en-US" w:eastAsia="zh-CN"/>
        </w:rPr>
        <w:t>7</w:t>
      </w:r>
      <w:r>
        <w:rPr>
          <w:rFonts w:ascii="Times New Roman" w:hAnsi="Times New Roman" w:eastAsia="方正仿宋_GBK" w:cs="Times New Roman"/>
          <w:kern w:val="0"/>
          <w:sz w:val="30"/>
          <w:szCs w:val="30"/>
        </w:rPr>
        <w:t>日</w:t>
      </w:r>
    </w:p>
    <w:p>
      <w:pPr>
        <w:widowControl/>
        <w:jc w:val="left"/>
      </w:pPr>
      <w:r>
        <w:br w:type="page"/>
      </w:r>
    </w:p>
    <w:p>
      <w:pPr>
        <w:rPr>
          <w:rFonts w:ascii="方正黑体_GBK" w:hAnsi="方正黑体_GBK" w:eastAsia="方正黑体_GBK"/>
          <w:sz w:val="32"/>
          <w:szCs w:val="32"/>
        </w:rPr>
      </w:pPr>
      <w:r>
        <w:rPr>
          <w:rFonts w:hint="eastAsia" w:ascii="方正黑体_GBK" w:hAnsi="方正黑体_GBK" w:eastAsia="方正黑体_GBK"/>
          <w:sz w:val="32"/>
          <w:szCs w:val="32"/>
        </w:rPr>
        <w:t>附件</w:t>
      </w:r>
    </w:p>
    <w:p>
      <w:pPr>
        <w:widowControl/>
        <w:shd w:val="clear" w:color="auto" w:fill="FFFFFF"/>
        <w:spacing w:line="590" w:lineRule="exact"/>
        <w:jc w:val="center"/>
        <w:rPr>
          <w:rFonts w:ascii="方正小标宋_GBK" w:hAnsi="Times New Roman" w:eastAsia="方正小标宋_GBK" w:cs="Times New Roman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kern w:val="0"/>
          <w:sz w:val="44"/>
          <w:szCs w:val="44"/>
        </w:rPr>
        <w:t>2022年工业领域数据安全防护方案</w:t>
      </w:r>
    </w:p>
    <w:p>
      <w:pPr>
        <w:widowControl/>
        <w:shd w:val="clear" w:color="auto" w:fill="FFFFFF"/>
        <w:spacing w:line="590" w:lineRule="exact"/>
        <w:jc w:val="center"/>
        <w:rPr>
          <w:rFonts w:ascii="方正小标宋_GBK" w:hAnsi="Times New Roman" w:eastAsia="方正小标宋_GBK" w:cs="Times New Roman"/>
          <w:kern w:val="0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kern w:val="0"/>
          <w:sz w:val="44"/>
          <w:szCs w:val="44"/>
        </w:rPr>
        <w:t>供应商、优秀产品及解决方案名单</w:t>
      </w:r>
    </w:p>
    <w:p>
      <w:pPr>
        <w:widowControl/>
        <w:shd w:val="clear" w:color="auto" w:fill="FFFFFF"/>
        <w:spacing w:line="590" w:lineRule="exact"/>
        <w:jc w:val="center"/>
        <w:rPr>
          <w:rFonts w:ascii="方正楷体_GBK" w:hAnsi="Times New Roman" w:eastAsia="方正楷体_GBK" w:cs="Times New Roman"/>
          <w:kern w:val="0"/>
          <w:sz w:val="32"/>
          <w:szCs w:val="32"/>
        </w:rPr>
      </w:pPr>
    </w:p>
    <w:p>
      <w:pPr>
        <w:widowControl/>
        <w:shd w:val="clear" w:color="auto" w:fill="FFFFFF"/>
        <w:spacing w:line="590" w:lineRule="exact"/>
        <w:jc w:val="center"/>
        <w:rPr>
          <w:rFonts w:ascii="方正楷体_GBK" w:hAnsi="Times New Roman" w:eastAsia="方正楷体_GBK" w:cs="Times New Roman"/>
          <w:kern w:val="0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数据安全防护方案供应商</w:t>
      </w:r>
    </w:p>
    <w:tbl>
      <w:tblPr>
        <w:tblStyle w:val="3"/>
        <w:tblW w:w="864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779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color w:val="000000"/>
                <w:kern w:val="0"/>
                <w:sz w:val="22"/>
              </w:rPr>
            </w:pPr>
            <w:r>
              <w:rPr>
                <w:rFonts w:hint="eastAsia" w:ascii="方正黑体_GBK" w:hAnsi="方正黑体_GBK" w:eastAsia="方正黑体_GBK" w:cs="宋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779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color w:val="000000"/>
                <w:kern w:val="0"/>
                <w:sz w:val="22"/>
              </w:rPr>
            </w:pPr>
            <w:r>
              <w:rPr>
                <w:rFonts w:hint="eastAsia" w:ascii="方正黑体_GBK" w:hAnsi="方正黑体_GBK" w:eastAsia="方正黑体_GBK" w:cs="宋体"/>
                <w:color w:val="000000"/>
                <w:kern w:val="0"/>
                <w:sz w:val="22"/>
              </w:rPr>
              <w:t>企业</w:t>
            </w:r>
            <w:r>
              <w:rPr>
                <w:rFonts w:ascii="方正黑体_GBK" w:hAnsi="方正黑体_GBK" w:eastAsia="方正黑体_GBK" w:cs="宋体"/>
                <w:color w:val="000000"/>
                <w:kern w:val="0"/>
                <w:sz w:val="22"/>
              </w:rPr>
              <w:t>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77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等线" w:eastAsia="方正仿宋_GBK" w:cs="宋体"/>
                <w:color w:val="000000"/>
                <w:kern w:val="0"/>
                <w:sz w:val="22"/>
              </w:rPr>
              <w:t>中通服咨询设计研究院有限公司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77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奇安信网神信息技术（北京）股份有限公司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77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江苏省电子信息产品质量监督检验研究院（江苏省信息安全测评中心）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南京中新赛克科技有限责任公司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山石网科通信技术股份有限公司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北京安华金和科技有限公司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闪捷信息科技有限公司</w:t>
            </w:r>
            <w:r>
              <w:rPr>
                <w:rFonts w:hint="eastAsia" w:ascii="方正仿宋_GBK" w:hAnsi="Times New Roman" w:eastAsia="方正仿宋_GBK" w:cs="Times New Roman"/>
                <w:color w:val="000000"/>
                <w:kern w:val="0"/>
                <w:sz w:val="24"/>
                <w:szCs w:val="24"/>
              </w:rPr>
              <w:t>/</w:t>
            </w: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南京闪捷信息科技有限公司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南京壹进制信息科技有限公司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杭州美创科技有限公司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11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北京安盟信息技术股份有限公司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江苏敏捷科技股份有限公司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深圳昂楷科技有限公司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江苏意源科技有限公司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江苏易安联网络技术有限公司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北京数安行科技有限公司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南京聚铭网络科技有限公司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江苏启明星辰信息安全技术有限公司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19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江苏富深协通科技股份有限公司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 w:val="22"/>
              </w:rPr>
              <w:t>20</w:t>
            </w:r>
          </w:p>
        </w:tc>
        <w:tc>
          <w:tcPr>
            <w:tcW w:w="77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仿宋_GBK" w:hAnsi="等线" w:eastAsia="方正仿宋_GBK" w:cs="宋体"/>
                <w:color w:val="000000"/>
                <w:kern w:val="0"/>
                <w:sz w:val="2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24"/>
                <w:szCs w:val="24"/>
              </w:rPr>
              <w:t>江苏亨通工控安全研究院有限公司</w:t>
            </w:r>
          </w:p>
        </w:tc>
      </w:tr>
    </w:tbl>
    <w:p>
      <w:pPr>
        <w:widowControl/>
        <w:shd w:val="clear" w:color="auto" w:fill="FFFFFF"/>
        <w:spacing w:line="590" w:lineRule="exact"/>
        <w:jc w:val="center"/>
        <w:rPr>
          <w:rFonts w:ascii="方正楷体_GBK" w:hAnsi="Times New Roman" w:eastAsia="方正楷体_GBK" w:cs="Times New Roman"/>
          <w:kern w:val="0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数据安全优秀产品</w:t>
      </w:r>
    </w:p>
    <w:p>
      <w:pPr>
        <w:widowControl/>
        <w:jc w:val="left"/>
      </w:pPr>
    </w:p>
    <w:tbl>
      <w:tblPr>
        <w:tblStyle w:val="3"/>
        <w:tblW w:w="8969" w:type="dxa"/>
        <w:tblInd w:w="-28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4110"/>
        <w:gridCol w:w="414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color w:val="000000"/>
                <w:kern w:val="0"/>
                <w:sz w:val="22"/>
              </w:rPr>
            </w:pPr>
            <w:r>
              <w:rPr>
                <w:rFonts w:hint="eastAsia" w:ascii="方正黑体_GBK" w:hAnsi="方正黑体_GBK" w:eastAsia="方正黑体_GBK" w:cs="宋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color w:val="000000"/>
                <w:kern w:val="0"/>
                <w:sz w:val="22"/>
              </w:rPr>
            </w:pPr>
            <w:r>
              <w:rPr>
                <w:rFonts w:hint="eastAsia" w:ascii="方正黑体_GBK" w:hAnsi="方正黑体_GBK" w:eastAsia="方正黑体_GBK" w:cs="宋体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41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color w:val="000000"/>
                <w:kern w:val="0"/>
                <w:sz w:val="22"/>
              </w:rPr>
            </w:pPr>
            <w:r>
              <w:rPr>
                <w:rFonts w:hint="eastAsia" w:ascii="方正黑体_GBK" w:hAnsi="方正黑体_GBK" w:eastAsia="方正黑体_GBK" w:cs="宋体"/>
                <w:color w:val="000000"/>
                <w:kern w:val="0"/>
                <w:sz w:val="22"/>
              </w:rPr>
              <w:t>产品名称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深圳昂楷科技有限公司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工业数据安全管理平台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南京壹进制信息科技有限公司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黑方容灾备份与恢复系统 Una/V6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江苏敏捷科技股份有限公司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敏捷数据安全卫士系统软件DGS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安恒明御数据库审计与风险控制系统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奇安信网神信息技术（北京）股份有限公司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数据防泄漏系统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奇安信网神信息技术（北京）股份有限公司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奇安信网神运维安全管理系统V6.0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明御APT攻击预警平台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奇安信网神信息技术（北京）股份有限公司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奇安信网神数据库审计与防护系统V6.0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闪捷信息科技有限公司/南京闪捷信息科技有限公司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数据安全管控平台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北京安盟信息技术股份有限公司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安盟华御工业安全隔离装置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江苏意源科技有限公司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统一密码服务支撑平台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江苏易安联网络技术有限公司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易安联EnBox零信任数据防泄漏系统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南京壹进制信息科技有限公司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壹进制灾备云系统 UnaCloud/V3.0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安恒AiSort数据安全分级与风险评估系统；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山石网科通信技术股份有限公司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数据库审计与防护系统HS-DBA2000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北京数安行科技有限公司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数安行零信任数据安全防护系统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安恒明御安全网关系统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杭州美创科技有限公司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美创诺亚防勒索系统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明御终端安全及防病毒系统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山石网科通信技术股份有限公司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数据泄露防护系统HS-DLP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南京聚铭网络科技有限公司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聚铭安全态势感知与管控平台 JUMING-BDSEC V5.2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安恒AiTDE透明数据库加密系统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山石网科通信技术股份有限公司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静态数据脱敏系统HS-DBA2000-DMS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安恒AiGuard 数据安全管理平台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安恒安全岛数据共享访问控制系统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北京数安行科技有限公司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数安行数据分类分级系统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安恒AiMask数据脱敏系统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安恒AiGate数据安全网关系统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江苏华御信息技术有限公司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密盾新一代数据防泄漏系统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北京数安行科技有限公司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数安行数据安全风险监测响应系统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慧盾信息安全科技（苏州）股份有限公司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大数据核心安全网关-SmartSPG6300-BCSG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南京聚铭网络科技有限公司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聚铭数据库安全审计系统 JUMING-DAS V5.0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南京聚铭网络科技有限公司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聚铭网络流量智能分析审计系统 JUMING-INFA V5.1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安恒DSG-API零信任API代理系统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明鉴工业控制系统安全检查工具箱软件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可信计算技术（无锡）有限公司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智能终端可信适配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江苏亨通工控安全研究院有限公司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亨通工控防火墙系统HT-ICS-F100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安恒AiDLP数据防泄漏系统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安恒AiThink用户与实体行为分析系统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安恒工业防火墙系统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无锡市同威科技有限公司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存储安全卫士TWSG-3000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明鉴数据库漏洞扫描系统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无锡神探电子科技有限公司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移动终端侦测设备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安恒AiTTE透明传输加密系统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芯昇科技有限公司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安全芯片CS18S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山石网科通信技术股份有限公司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数据资产综合治理系统HS-DBA2000-DSGP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4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江苏天融信网络安全技术有限公司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天融信数据脱敏系统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4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江苏绿盟安全科技有限公司</w:t>
            </w:r>
          </w:p>
        </w:tc>
        <w:tc>
          <w:tcPr>
            <w:tcW w:w="4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绿盟数据库审计系统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DAS NX5-HF/V5.6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4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江苏天融信网络安全技术有限公司</w:t>
            </w:r>
          </w:p>
        </w:tc>
        <w:tc>
          <w:tcPr>
            <w:tcW w:w="4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天融信数据库审计系统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TA-DB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FT-A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）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V3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江苏天融信网络安全技术有限公司</w:t>
            </w:r>
          </w:p>
        </w:tc>
        <w:tc>
          <w:tcPr>
            <w:tcW w:w="4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天融信数据库审计系统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TA-DB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ZX-A</w:t>
            </w: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）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V3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4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奇安信安全技术（南京）有限公司</w:t>
            </w:r>
          </w:p>
        </w:tc>
        <w:tc>
          <w:tcPr>
            <w:tcW w:w="4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奇安信网神数据库审计与防护系统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DBA3300-G-2000Z/V6.0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4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奇安信安全技术（南京）有限公司</w:t>
            </w:r>
          </w:p>
        </w:tc>
        <w:tc>
          <w:tcPr>
            <w:tcW w:w="4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奇安信网神数据库审计与防护系统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DBA3300-G-1000Z/V6.0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4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江苏安又恒信息科技有限公司</w:t>
            </w:r>
          </w:p>
        </w:tc>
        <w:tc>
          <w:tcPr>
            <w:tcW w:w="4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明御数据库审计与风险控制系统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DAS-DBAuditor/V4.0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4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江苏云河谷网络科技有限公司</w:t>
            </w:r>
          </w:p>
        </w:tc>
        <w:tc>
          <w:tcPr>
            <w:tcW w:w="4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汉邦信息安全综合审计监控系统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HBaudit/V4.0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4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江苏网御星云信息技术有限公司</w:t>
            </w:r>
          </w:p>
        </w:tc>
        <w:tc>
          <w:tcPr>
            <w:tcW w:w="414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网御网络审计系统</w:t>
            </w: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V3.0/LA-DT-ZX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41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江苏启明星辰信息安全技术有限公司</w:t>
            </w:r>
          </w:p>
        </w:tc>
        <w:tc>
          <w:tcPr>
            <w:tcW w:w="41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天玥网络安全审计系统V6.0/CA-FT</w:t>
            </w:r>
          </w:p>
        </w:tc>
      </w:tr>
    </w:tbl>
    <w:p>
      <w:pPr>
        <w:widowControl/>
        <w:shd w:val="clear" w:color="auto" w:fill="FFFFFF"/>
        <w:spacing w:line="590" w:lineRule="exact"/>
        <w:jc w:val="center"/>
        <w:rPr>
          <w:rFonts w:ascii="方正楷体_GBK" w:hAnsi="Times New Roman" w:eastAsia="方正楷体_GBK" w:cs="Times New Roman"/>
          <w:kern w:val="0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kern w:val="0"/>
          <w:sz w:val="32"/>
          <w:szCs w:val="32"/>
        </w:rPr>
        <w:t>数据</w:t>
      </w:r>
      <w:r>
        <w:rPr>
          <w:rFonts w:ascii="方正楷体_GBK" w:hAnsi="Times New Roman" w:eastAsia="方正楷体_GBK" w:cs="Times New Roman"/>
          <w:kern w:val="0"/>
          <w:sz w:val="32"/>
          <w:szCs w:val="32"/>
        </w:rPr>
        <w:t>安全解决方案</w:t>
      </w:r>
    </w:p>
    <w:tbl>
      <w:tblPr>
        <w:tblStyle w:val="3"/>
        <w:tblW w:w="9073" w:type="dxa"/>
        <w:tblInd w:w="-28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4110"/>
        <w:gridCol w:w="425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color w:val="000000"/>
                <w:kern w:val="0"/>
                <w:sz w:val="22"/>
              </w:rPr>
            </w:pPr>
            <w:r>
              <w:rPr>
                <w:rFonts w:hint="eastAsia" w:ascii="方正黑体_GBK" w:hAnsi="方正黑体_GBK" w:eastAsia="方正黑体_GBK" w:cs="宋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color w:val="000000"/>
                <w:kern w:val="0"/>
                <w:sz w:val="22"/>
              </w:rPr>
            </w:pPr>
            <w:r>
              <w:rPr>
                <w:rFonts w:hint="eastAsia" w:ascii="方正黑体_GBK" w:hAnsi="方正黑体_GBK" w:eastAsia="方正黑体_GBK" w:cs="宋体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方正黑体_GBK" w:hAnsi="方正黑体_GBK" w:eastAsia="方正黑体_GBK" w:cs="宋体"/>
                <w:color w:val="000000"/>
                <w:kern w:val="0"/>
                <w:sz w:val="22"/>
              </w:rPr>
            </w:pPr>
            <w:r>
              <w:rPr>
                <w:rFonts w:hint="eastAsia" w:ascii="方正黑体_GBK" w:hAnsi="方正黑体_GBK" w:eastAsia="方正黑体_GBK" w:cs="宋体"/>
                <w:color w:val="000000"/>
                <w:kern w:val="0"/>
                <w:sz w:val="22"/>
              </w:rPr>
              <w:t>解决方案名称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奇安信网神信息技术（北京）股份有限公司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数据安全泄露防护方案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江苏安恒网络安全有限公司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AiGuard工业数据安全解决方案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江苏省电子信息产品质量监督检验研究院（江苏省信息安全测评中心）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工业数据安全评估解决方案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山石网科通信技术股份有限公司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山石网科数据资产综合治理解决方案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南京壹进制信息科技有限公司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数据安全保护和监管一体化解决方案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南京中新赛克科技有限责任公司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中新赛克数据安全防护解决方案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北京安华金和科技有限公司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基于IPDR框架的数据安全运营体系解决方案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南京中新赛克科技有限责任公司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数据资产安全管理解决方案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江苏敏捷科技股份有限公司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工业数据防泄漏安全解决方案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杭州美创科技有限公司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美创制造业数据安全解决方案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南京闪捷信息科技有限公司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基于人工智能和机器学习的工业数据安全解决方案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深圳昂楷科技有限公司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工业数据安全管理平台解决方案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北京安盟信息技术股份有限公司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智能制造新型基础设施数据安全防护解决方案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无锡航天江南数据系统科技有限公司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基于国密算法的生态环境数据安全保护方案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南京聚铭网络科技有限公司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IT/OT融合下的工控安全防护解决方案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慧盾信息安全科技（苏州）股份有限公司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自主可控大数据安全防护方案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江苏易安联网络技术有限公司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零信任安全工作空间数据安全防护方案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江苏亨通工控安全研究院有限公司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工业数据安全防护解决方案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南通东华软件有限公司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多云云备份解决方案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北京数安行科技有限公司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数安行软件与信息技术服务领域零信任数据安全防护解决方案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北京数安行科技有限公司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数安行工业互联网数据安全风险监测响应解决方案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南京金宁汇科技有限公司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基于区块链的数据共享交换平台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江苏骏安信息测评认证有限公司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骏安检测数据安全防护解决方案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江苏华御信息技术有限公司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工业企业数据安全防泄漏解决方案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苏州三六零安全科技有限公司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工业危险废物治理行业数据安全解决方案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41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江苏启明星辰信息安全技术有限公司</w:t>
            </w:r>
          </w:p>
        </w:tc>
        <w:tc>
          <w:tcPr>
            <w:tcW w:w="425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 w:themeFill="background1"/>
            <w:vAlign w:val="center"/>
          </w:tcPr>
          <w:p>
            <w:pPr>
              <w:widowControl/>
              <w:spacing w:line="34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</w:rPr>
              <w:t>工业企业敏感数据发现识别及分级分类解决方案申报</w:t>
            </w:r>
          </w:p>
        </w:tc>
      </w:tr>
    </w:tbl>
    <w:p/>
    <w:sectPr>
      <w:pgSz w:w="11906" w:h="16838"/>
      <w:pgMar w:top="2001" w:right="1474" w:bottom="20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C8D"/>
    <w:rsid w:val="0054442F"/>
    <w:rsid w:val="005E1F48"/>
    <w:rsid w:val="00660D28"/>
    <w:rsid w:val="00676012"/>
    <w:rsid w:val="006929ED"/>
    <w:rsid w:val="00776C8D"/>
    <w:rsid w:val="00AA32AC"/>
    <w:rsid w:val="00AD0936"/>
    <w:rsid w:val="00B635B0"/>
    <w:rsid w:val="00C57D16"/>
    <w:rsid w:val="00D81496"/>
    <w:rsid w:val="00DA1A27"/>
    <w:rsid w:val="00E70E17"/>
    <w:rsid w:val="1D936337"/>
    <w:rsid w:val="5F3D0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before="45"/>
      <w:ind w:left="115"/>
    </w:pPr>
    <w:rPr>
      <w:rFonts w:ascii="宋体" w:hAnsi="宋体" w:cs="Times New Roman"/>
      <w:sz w:val="30"/>
      <w:szCs w:val="30"/>
      <w:lang w:eastAsia="en-US"/>
    </w:rPr>
  </w:style>
  <w:style w:type="character" w:styleId="5">
    <w:name w:val="Hyperlink"/>
    <w:basedOn w:val="4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6">
    <w:name w:val="text-parser_strong__14xxy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608</Words>
  <Characters>3472</Characters>
  <Lines>28</Lines>
  <Paragraphs>8</Paragraphs>
  <TotalTime>0</TotalTime>
  <ScaleCrop>false</ScaleCrop>
  <LinksUpToDate>false</LinksUpToDate>
  <CharactersWithSpaces>4072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2022-09-15T18:11:00Z</dcterms:created>
  <dc:creator>PC</dc:creator>
  <cp:lastModifiedBy>uos</cp:lastModifiedBy>
  <dcterms:modified xsi:type="dcterms:W3CDTF">2022-09-28T10:43:54Z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