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420" w:firstLine="0" w:firstLineChars="0"/>
        <w:rPr>
          <w:rFonts w:hint="eastAsia" w:ascii="Arial" w:hAnsi="Arial" w:eastAsia="宋体" w:cs="Times New Roman"/>
          <w:szCs w:val="24"/>
        </w:rPr>
      </w:pPr>
    </w:p>
    <w:p>
      <w:pPr>
        <w:spacing w:line="360" w:lineRule="auto"/>
        <w:ind w:left="420" w:firstLine="0" w:firstLineChars="0"/>
        <w:rPr>
          <w:rFonts w:hint="eastAsia" w:ascii="Arial" w:hAnsi="Arial" w:eastAsia="宋体" w:cs="Times New Roman"/>
          <w:szCs w:val="24"/>
        </w:rPr>
      </w:pPr>
    </w:p>
    <w:p>
      <w:pPr>
        <w:spacing w:line="360" w:lineRule="auto"/>
        <w:ind w:firstLine="0" w:firstLineChars="0"/>
        <w:rPr>
          <w:rFonts w:ascii="Arial" w:hAnsi="Arial" w:eastAsia="宋体" w:cs="Times New Roman"/>
          <w:b/>
          <w:color w:val="FF0000"/>
          <w:w w:val="80"/>
          <w:sz w:val="90"/>
          <w:szCs w:val="90"/>
        </w:rPr>
      </w:pPr>
      <w:r>
        <w:rPr>
          <w:rFonts w:hint="eastAsia" w:ascii="Arial" w:hAnsi="Arial" w:eastAsia="宋体" w:cs="Times New Roman"/>
          <w:b/>
          <w:color w:val="FF0000"/>
          <w:w w:val="80"/>
          <w:sz w:val="90"/>
          <w:szCs w:val="90"/>
        </w:rPr>
        <w:t>江苏</w:t>
      </w:r>
      <w:r>
        <w:rPr>
          <w:rFonts w:ascii="Arial" w:hAnsi="Arial" w:eastAsia="宋体" w:cs="Times New Roman"/>
          <w:b/>
          <w:color w:val="FF0000"/>
          <w:w w:val="80"/>
          <w:sz w:val="90"/>
          <w:szCs w:val="90"/>
        </w:rPr>
        <w:t>省工业和信息化厅文件</w:t>
      </w:r>
    </w:p>
    <w:p>
      <w:pPr>
        <w:spacing w:line="600" w:lineRule="exact"/>
        <w:ind w:firstLine="0" w:firstLineChars="0"/>
        <w:jc w:val="center"/>
        <w:rPr>
          <w:rFonts w:ascii="Times New Roman" w:hAnsi="Times New Roman" w:eastAsia="方正仿宋_GBK" w:cs="Times New Roman"/>
          <w:sz w:val="32"/>
          <w:szCs w:val="32"/>
        </w:rPr>
      </w:pPr>
    </w:p>
    <w:p>
      <w:pPr>
        <w:spacing w:line="600" w:lineRule="exact"/>
        <w:ind w:firstLine="0" w:firstLineChars="0"/>
        <w:jc w:val="center"/>
        <w:rPr>
          <w:rFonts w:ascii="Times New Roman" w:hAnsi="Times New Roman" w:eastAsia="方正仿宋_GBK" w:cs="Times New Roman"/>
          <w:sz w:val="32"/>
          <w:szCs w:val="32"/>
        </w:rPr>
      </w:pPr>
      <w:r>
        <w:rPr>
          <w:rFonts w:ascii="Times New Roman" w:hAnsi="Times New Roman" w:eastAsia="方正仿宋_GBK" w:cs="Times New Roman"/>
          <w:sz w:val="32"/>
          <w:szCs w:val="32"/>
        </w:rPr>
        <w:t>苏工信数据〔2022〕3</w:t>
      </w:r>
      <w:r>
        <w:rPr>
          <w:rFonts w:hint="eastAsia" w:ascii="Times New Roman" w:hAnsi="Times New Roman" w:eastAsia="方正仿宋_GBK" w:cs="Times New Roman"/>
          <w:sz w:val="32"/>
          <w:szCs w:val="32"/>
          <w:lang w:val="en-US" w:eastAsia="zh-CN"/>
        </w:rPr>
        <w:t>96</w:t>
      </w:r>
      <w:r>
        <w:rPr>
          <w:rFonts w:ascii="Times New Roman" w:hAnsi="Times New Roman" w:eastAsia="方正仿宋_GBK" w:cs="Times New Roman"/>
          <w:sz w:val="32"/>
          <w:szCs w:val="32"/>
        </w:rPr>
        <w:t>号</w:t>
      </w:r>
    </w:p>
    <w:p>
      <w:pPr>
        <w:spacing w:line="600" w:lineRule="exact"/>
        <w:ind w:firstLine="0" w:firstLineChars="0"/>
        <w:jc w:val="center"/>
        <w:rPr>
          <w:rFonts w:ascii="Times New Roman" w:hAnsi="Times New Roman" w:eastAsia="方正仿宋_GBK" w:cs="Times New Roman"/>
          <w:sz w:val="32"/>
          <w:szCs w:val="32"/>
        </w:rPr>
      </w:pPr>
      <w:r>
        <w:rPr>
          <w:rFonts w:ascii="Arial" w:hAnsi="Arial" w:eastAsia="宋体" w:cs="Times New Roman"/>
          <w:szCs w:val="24"/>
        </w:rPr>
        <mc:AlternateContent>
          <mc:Choice Requires="wps">
            <w:drawing>
              <wp:anchor distT="0" distB="0" distL="114300" distR="114300" simplePos="0" relativeHeight="251661312" behindDoc="0" locked="0" layoutInCell="1" allowOverlap="1">
                <wp:simplePos x="0" y="0"/>
                <wp:positionH relativeFrom="column">
                  <wp:posOffset>-336550</wp:posOffset>
                </wp:positionH>
                <wp:positionV relativeFrom="paragraph">
                  <wp:posOffset>259080</wp:posOffset>
                </wp:positionV>
                <wp:extent cx="6172200" cy="0"/>
                <wp:effectExtent l="0" t="9525" r="0" b="9525"/>
                <wp:wrapNone/>
                <wp:docPr id="2" name="直接连接符 2"/>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FF0000"/>
                          </a:solidFill>
                          <a:round/>
                        </a:ln>
                        <a:effectLst/>
                      </wps:spPr>
                      <wps:bodyPr/>
                    </wps:wsp>
                  </a:graphicData>
                </a:graphic>
              </wp:anchor>
            </w:drawing>
          </mc:Choice>
          <mc:Fallback>
            <w:pict>
              <v:line id="_x0000_s1026" o:spid="_x0000_s1026" o:spt="20" style="position:absolute;left:0pt;flip:y;margin-left:-26.5pt;margin-top:20.4pt;height:0pt;width:486pt;z-index:251661312;mso-width-relative:page;mso-height-relative:page;" filled="f" stroked="t" coordsize="21600,21600" o:gfxdata="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WAAAAZHJzL1BLAQIUABQAAAAIAIdO4kC6&#10;fHlz1wAAAAkBAAAPAAAAAAAAAAEAIAAAADgAAABkcnMvZG93bnJldi54bWxQSwECFAAUAAAACACH&#10;TuJAksnmf9YBAAB7AwAADgAAAAAAAAABACAAAAA8AQAAZHJzL2Uyb0RvYy54bWxQSwUGAAAAAAYA&#10;BgBZAQAAhAUAAAAA&#10;">
                <v:fill on="f" focussize="0,0"/>
                <v:stroke weight="1.5pt" color="#FF0000" joinstyle="round"/>
                <v:imagedata o:title=""/>
                <o:lock v:ext="edit" aspectratio="f"/>
              </v:line>
            </w:pict>
          </mc:Fallback>
        </mc:AlternateContent>
      </w:r>
      <w:r>
        <w:rPr>
          <w:rFonts w:ascii="Arial" w:hAnsi="Arial" w:eastAsia="宋体" w:cs="Times New Roman"/>
          <w:szCs w:val="24"/>
        </w:rPr>
        <mc:AlternateContent>
          <mc:Choice Requires="wps">
            <w:drawing>
              <wp:anchor distT="0" distB="0" distL="114300" distR="114300" simplePos="0" relativeHeight="251660288" behindDoc="0" locked="0" layoutInCell="1" allowOverlap="1">
                <wp:simplePos x="0" y="0"/>
                <wp:positionH relativeFrom="column">
                  <wp:posOffset>621665</wp:posOffset>
                </wp:positionH>
                <wp:positionV relativeFrom="paragraph">
                  <wp:posOffset>8549005</wp:posOffset>
                </wp:positionV>
                <wp:extent cx="6172200" cy="0"/>
                <wp:effectExtent l="0" t="9525" r="0" b="9525"/>
                <wp:wrapNone/>
                <wp:docPr id="1" name="直接连接符 1"/>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000000"/>
                          </a:solidFill>
                          <a:round/>
                        </a:ln>
                        <a:effectLst/>
                      </wps:spPr>
                      <wps:bodyPr/>
                    </wps:wsp>
                  </a:graphicData>
                </a:graphic>
              </wp:anchor>
            </w:drawing>
          </mc:Choice>
          <mc:Fallback>
            <w:pict>
              <v:line id="_x0000_s1026" o:spid="_x0000_s1026" o:spt="20" style="position:absolute;left:0pt;flip:y;margin-left:48.95pt;margin-top:673.15pt;height:0pt;width:486pt;z-index:251660288;mso-width-relative:page;mso-height-relative:page;" filled="f" stroked="t" coordsize="21600,21600" o:gfxdata="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C07Cwo&#10;1gAAAA0BAAAPAAAAAAAAAAEAIAAAADgAAABkcnMvZG93bnJldi54bWxQSwECFAAUAAAACACHTuJA&#10;382sBtQBAAB7AwAADgAAAAAAAAABACAAAAA7AQAAZHJzL2Uyb0RvYy54bWxQSwUGAAAAAAYABgBZ&#10;AQAAgQUAAAAA&#10;">
                <v:fill on="f" focussize="0,0"/>
                <v:stroke weight="1.5pt" color="#000000" joinstyle="round"/>
                <v:imagedata o:title=""/>
                <o:lock v:ext="edit" aspectratio="f"/>
              </v:line>
            </w:pict>
          </mc:Fallback>
        </mc:AlternateContent>
      </w:r>
    </w:p>
    <w:p>
      <w:pPr>
        <w:spacing w:line="560" w:lineRule="exact"/>
        <w:ind w:firstLine="880" w:firstLineChars="200"/>
        <w:jc w:val="center"/>
        <w:rPr>
          <w:rFonts w:ascii="方正小标宋_GBK" w:hAnsi="Arial" w:eastAsia="方正小标宋_GBK" w:cs="Times New Roman"/>
          <w:sz w:val="44"/>
          <w:szCs w:val="44"/>
        </w:rPr>
      </w:pPr>
      <w:bookmarkStart w:id="0" w:name="Content"/>
      <w:bookmarkEnd w:id="0"/>
      <w:r>
        <w:rPr>
          <w:rFonts w:hint="eastAsia" w:ascii="方正小标宋_GBK" w:hAnsi="Arial" w:eastAsia="方正小标宋_GBK" w:cs="Times New Roman"/>
          <w:sz w:val="44"/>
          <w:szCs w:val="44"/>
          <w:lang w:bidi="ar"/>
        </w:rPr>
        <w:t xml:space="preserve"> </w:t>
      </w:r>
    </w:p>
    <w:p>
      <w:pPr>
        <w:pStyle w:val="6"/>
        <w:shd w:val="clear" w:color="auto" w:fill="FFFFFF"/>
        <w:spacing w:before="0" w:beforeAutospacing="0" w:after="0" w:afterAutospacing="0" w:line="590" w:lineRule="exact"/>
        <w:rPr>
          <w:rFonts w:ascii="Times New Roman" w:hAnsi="Times New Roman" w:cs="Times New Roman"/>
        </w:rPr>
      </w:pPr>
    </w:p>
    <w:p>
      <w:pPr>
        <w:pStyle w:val="6"/>
        <w:shd w:val="clear" w:color="auto" w:fill="FFFFFF"/>
        <w:spacing w:before="0" w:beforeAutospacing="0" w:after="0" w:afterAutospacing="0" w:line="59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关于公布江苏省第三批《数据管理能力</w:t>
      </w:r>
    </w:p>
    <w:p>
      <w:pPr>
        <w:pStyle w:val="6"/>
        <w:shd w:val="clear" w:color="auto" w:fill="FFFFFF"/>
        <w:spacing w:before="0" w:beforeAutospacing="0" w:after="0" w:afterAutospacing="0" w:line="59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成熟度评估模型》贯标评估单位的通知</w:t>
      </w:r>
    </w:p>
    <w:p>
      <w:pPr>
        <w:pStyle w:val="6"/>
        <w:shd w:val="clear" w:color="auto" w:fill="FFFFFF"/>
        <w:spacing w:before="0" w:beforeAutospacing="0" w:after="0" w:afterAutospacing="0" w:line="590" w:lineRule="exact"/>
        <w:ind w:firstLine="2240" w:firstLineChars="700"/>
        <w:rPr>
          <w:rFonts w:hint="eastAsia" w:ascii="Times New Roman" w:hAnsi="Times New Roman" w:eastAsia="方正仿宋_GBK" w:cs="Times New Roman"/>
          <w:sz w:val="32"/>
          <w:szCs w:val="32"/>
        </w:rPr>
      </w:pPr>
    </w:p>
    <w:p>
      <w:pPr>
        <w:pStyle w:val="6"/>
        <w:shd w:val="clear" w:color="auto" w:fill="FFFFFF"/>
        <w:spacing w:before="0" w:beforeAutospacing="0" w:after="0" w:afterAutospacing="0" w:line="590" w:lineRule="exact"/>
        <w:rPr>
          <w:rFonts w:ascii="Times New Roman" w:hAnsi="Times New Roman" w:eastAsia="方正仿宋_GBK" w:cs="Times New Roman"/>
          <w:sz w:val="32"/>
          <w:szCs w:val="32"/>
        </w:rPr>
      </w:pPr>
      <w:r>
        <w:rPr>
          <w:rFonts w:ascii="Times New Roman" w:hAnsi="Times New Roman" w:eastAsia="方正仿宋_GBK" w:cs="Times New Roman"/>
          <w:sz w:val="32"/>
          <w:szCs w:val="32"/>
        </w:rPr>
        <w:t>各设区市工信局（大数据产业发展主管部门），昆山市、泰兴市、沭阳县工信局，各有关单位：</w:t>
      </w:r>
    </w:p>
    <w:p>
      <w:pPr>
        <w:pStyle w:val="6"/>
        <w:shd w:val="clear" w:color="auto" w:fill="FFFFFF"/>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为贯彻落实《工业和信息化部办公厅关于印发企业数据管理国家标准贯标工作方案的通知》（工信厅信发函【2022】81号）、《江苏省工业大数据发展实施意见》（苏工信数据【2020】661号），积极开展数据管理国家标准贯标工作试点，推动企业提升数据管理能力，提高数据要素供给质量，我厅在全省开展了第三批《数据管理能力成熟度评估模型》（简称DCMM）贯标评估单位遴选工作。经单位申报、地方推荐、形式审查、第三方评估机构评审、网上公示等，遴选出江苏省人民医院（南京医科大学第一附属医院）等8</w:t>
      </w:r>
      <w:r>
        <w:rPr>
          <w:rFonts w:hint="eastAsia" w:ascii="Times New Roman" w:hAnsi="Times New Roman" w:eastAsia="方正仿宋_GBK" w:cs="Times New Roman"/>
          <w:sz w:val="32"/>
          <w:szCs w:val="32"/>
        </w:rPr>
        <w:t>1</w:t>
      </w:r>
      <w:r>
        <w:rPr>
          <w:rFonts w:ascii="Times New Roman" w:hAnsi="Times New Roman" w:eastAsia="方正仿宋_GBK" w:cs="Times New Roman"/>
          <w:sz w:val="32"/>
          <w:szCs w:val="32"/>
        </w:rPr>
        <w:t>家单位为第三批DCMM贯标评估单位（其中</w:t>
      </w:r>
      <w:r>
        <w:rPr>
          <w:rFonts w:hint="eastAsia" w:ascii="Times New Roman" w:hAnsi="Times New Roman" w:eastAsia="方正仿宋_GBK" w:cs="Times New Roman"/>
          <w:sz w:val="32"/>
          <w:szCs w:val="32"/>
        </w:rPr>
        <w:t>6</w:t>
      </w:r>
      <w:r>
        <w:rPr>
          <w:rFonts w:ascii="Times New Roman" w:hAnsi="Times New Roman" w:eastAsia="方正仿宋_GBK" w:cs="Times New Roman"/>
          <w:sz w:val="32"/>
          <w:szCs w:val="32"/>
        </w:rPr>
        <w:t>家为贯标评估备选单位），</w:t>
      </w:r>
      <w:r>
        <w:rPr>
          <w:rFonts w:ascii="Times New Roman" w:hAnsi="Times New Roman" w:eastAsia="方正仿宋_GBK" w:cs="Times New Roman"/>
          <w:sz w:val="32"/>
          <w:szCs w:val="32"/>
          <w:shd w:val="clear" w:color="auto" w:fill="FFFFFF"/>
        </w:rPr>
        <w:t>现将名单予以公布</w:t>
      </w:r>
      <w:r>
        <w:rPr>
          <w:rFonts w:ascii="Times New Roman" w:hAnsi="Times New Roman" w:eastAsia="方正仿宋_GBK" w:cs="Times New Roman"/>
          <w:sz w:val="32"/>
          <w:szCs w:val="32"/>
        </w:rPr>
        <w:t>。</w:t>
      </w:r>
    </w:p>
    <w:p>
      <w:pPr>
        <w:pStyle w:val="6"/>
        <w:shd w:val="clear" w:color="auto" w:fill="FFFFFF"/>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下一步，省工信厅将委托第三方评估机构、服务机构开展贯标评估和服务工作。为提高DCMM贯标评估工作成效，特提出如下要求：</w:t>
      </w:r>
    </w:p>
    <w:p>
      <w:pPr>
        <w:pStyle w:val="6"/>
        <w:shd w:val="clear" w:color="auto" w:fill="FFFFFF"/>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1.</w:t>
      </w:r>
      <w:r>
        <w:rPr>
          <w:rFonts w:ascii="Times New Roman" w:hAnsi="Times New Roman" w:eastAsia="方正仿宋_GBK" w:cs="Times New Roman"/>
          <w:color w:val="000000"/>
          <w:sz w:val="36"/>
          <w:szCs w:val="36"/>
        </w:rPr>
        <w:t xml:space="preserve"> </w:t>
      </w:r>
      <w:r>
        <w:rPr>
          <w:rFonts w:ascii="Times New Roman" w:hAnsi="Times New Roman" w:eastAsia="方正仿宋_GBK" w:cs="Times New Roman"/>
          <w:color w:val="000000"/>
          <w:sz w:val="32"/>
          <w:szCs w:val="32"/>
        </w:rPr>
        <w:t>我省已把通过DCMM贯标评估的数量列入全省数字经济发展综合评价指标体系，省工信厅也将在大数据试点示范项目评选等重点工作中进一步加大对DCMM贯标评估结果的</w:t>
      </w:r>
      <w:r>
        <w:rPr>
          <w:rFonts w:hint="eastAsia" w:ascii="Times New Roman" w:hAnsi="Times New Roman" w:eastAsia="方正仿宋_GBK" w:cs="Times New Roman"/>
          <w:color w:val="000000"/>
          <w:sz w:val="32"/>
          <w:szCs w:val="32"/>
        </w:rPr>
        <w:t>采用</w:t>
      </w:r>
      <w:r>
        <w:rPr>
          <w:rFonts w:ascii="Times New Roman" w:hAnsi="Times New Roman" w:eastAsia="方正仿宋_GBK" w:cs="Times New Roman"/>
          <w:color w:val="000000"/>
          <w:sz w:val="32"/>
          <w:szCs w:val="32"/>
        </w:rPr>
        <w:t>力度。</w:t>
      </w:r>
      <w:r>
        <w:rPr>
          <w:rFonts w:ascii="Times New Roman" w:hAnsi="Times New Roman" w:eastAsia="方正仿宋_GBK" w:cs="Times New Roman"/>
          <w:sz w:val="32"/>
          <w:szCs w:val="32"/>
        </w:rPr>
        <w:t>各</w:t>
      </w:r>
      <w:r>
        <w:rPr>
          <w:rFonts w:hint="eastAsia" w:ascii="Times New Roman" w:hAnsi="Times New Roman" w:eastAsia="方正仿宋_GBK" w:cs="Times New Roman"/>
          <w:sz w:val="32"/>
          <w:szCs w:val="32"/>
        </w:rPr>
        <w:t>地、各</w:t>
      </w:r>
      <w:r>
        <w:rPr>
          <w:rFonts w:ascii="Times New Roman" w:hAnsi="Times New Roman" w:eastAsia="方正仿宋_GBK" w:cs="Times New Roman"/>
          <w:sz w:val="32"/>
          <w:szCs w:val="32"/>
        </w:rPr>
        <w:t>有关部门要高度重视，积极跟踪贯标评估工作进度，把控贯标评估质量，协调解决贯标评估工作中出现的问题，督促贯标评估单位根据专家的意见建议进行整改提升。</w:t>
      </w:r>
    </w:p>
    <w:p>
      <w:pPr>
        <w:pStyle w:val="6"/>
        <w:shd w:val="clear" w:color="auto" w:fill="FFFFFF"/>
        <w:spacing w:before="0" w:beforeAutospacing="0" w:after="0" w:afterAutospacing="0" w:line="590" w:lineRule="exact"/>
        <w:ind w:firstLine="48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2.评估机构和服务机构对遴选出的贯标评估单位开展DCMM贯标评估和服务，帮助其梳理数据管理存在的问题，提出整改提升方向。</w:t>
      </w:r>
    </w:p>
    <w:p>
      <w:pPr>
        <w:pStyle w:val="6"/>
        <w:shd w:val="clear" w:color="auto" w:fill="FFFFFF"/>
        <w:spacing w:before="0" w:beforeAutospacing="0" w:after="0" w:afterAutospacing="0" w:line="590" w:lineRule="exact"/>
        <w:ind w:firstLine="48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3.不配合评估、自愿放弃评估的单位，3年内不得再次申报省DCMM评估单位，由贯标评估备选单位依次递补。 </w:t>
      </w:r>
    </w:p>
    <w:p>
      <w:pPr>
        <w:pStyle w:val="6"/>
        <w:shd w:val="clear" w:color="auto" w:fill="FFFFFF"/>
        <w:spacing w:before="0" w:beforeAutospacing="0" w:after="0" w:afterAutospacing="0" w:line="590" w:lineRule="exact"/>
        <w:ind w:firstLine="480"/>
        <w:jc w:val="both"/>
        <w:rPr>
          <w:rFonts w:ascii="Times New Roman" w:hAnsi="Times New Roman" w:eastAsia="方正仿宋_GBK" w:cs="Times New Roman"/>
          <w:sz w:val="32"/>
          <w:szCs w:val="32"/>
        </w:rPr>
      </w:pPr>
    </w:p>
    <w:p>
      <w:pPr>
        <w:pStyle w:val="6"/>
        <w:shd w:val="clear" w:color="auto" w:fill="FFFFFF"/>
        <w:spacing w:before="0" w:beforeAutospacing="0" w:after="0" w:afterAutospacing="0" w:line="590" w:lineRule="exact"/>
        <w:ind w:firstLine="48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附件：第三批DCMM贯标评估单位名单</w:t>
      </w:r>
    </w:p>
    <w:p>
      <w:pPr>
        <w:pStyle w:val="6"/>
        <w:shd w:val="clear" w:color="auto" w:fill="FFFFFF"/>
        <w:spacing w:before="0" w:beforeAutospacing="0" w:after="0" w:afterAutospacing="0" w:line="590" w:lineRule="exact"/>
        <w:jc w:val="both"/>
        <w:rPr>
          <w:rFonts w:ascii="Times New Roman" w:hAnsi="Times New Roman" w:eastAsia="方正仿宋_GBK" w:cs="Times New Roman"/>
          <w:sz w:val="32"/>
          <w:szCs w:val="32"/>
        </w:rPr>
      </w:pPr>
    </w:p>
    <w:p>
      <w:pPr>
        <w:pStyle w:val="6"/>
        <w:shd w:val="clear" w:color="auto" w:fill="FFFFFF"/>
        <w:spacing w:before="0" w:beforeAutospacing="0" w:after="0" w:afterAutospacing="0" w:line="590" w:lineRule="exact"/>
        <w:ind w:firstLine="48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                         江苏省工业和信息化厅</w:t>
      </w:r>
    </w:p>
    <w:p>
      <w:pPr>
        <w:pStyle w:val="6"/>
        <w:shd w:val="clear" w:color="auto" w:fill="FFFFFF"/>
        <w:spacing w:before="0" w:beforeAutospacing="0" w:after="0" w:afterAutospacing="0" w:line="590" w:lineRule="exact"/>
        <w:ind w:firstLine="480"/>
        <w:jc w:val="center"/>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                     2022年8月</w:t>
      </w:r>
      <w:r>
        <w:rPr>
          <w:rFonts w:hint="eastAsia" w:ascii="Times New Roman" w:hAnsi="Times New Roman" w:eastAsia="方正仿宋_GBK" w:cs="Times New Roman"/>
          <w:sz w:val="32"/>
          <w:szCs w:val="32"/>
          <w:lang w:val="en-US" w:eastAsia="zh-CN"/>
        </w:rPr>
        <w:t>9</w:t>
      </w:r>
      <w:bookmarkStart w:id="1" w:name="_GoBack"/>
      <w:bookmarkEnd w:id="1"/>
      <w:r>
        <w:rPr>
          <w:rFonts w:ascii="Times New Roman" w:hAnsi="Times New Roman" w:eastAsia="方正仿宋_GBK" w:cs="Times New Roman"/>
          <w:sz w:val="32"/>
          <w:szCs w:val="32"/>
        </w:rPr>
        <w:t>日</w:t>
      </w:r>
    </w:p>
    <w:p>
      <w:pPr>
        <w:rPr>
          <w:rFonts w:ascii="Times New Roman" w:hAnsi="Times New Roman" w:eastAsia="方正仿宋_GBK" w:cs="Times New Roman"/>
          <w:sz w:val="32"/>
          <w:szCs w:val="32"/>
        </w:rPr>
      </w:pPr>
      <w:r>
        <w:rPr>
          <w:rFonts w:ascii="Times New Roman" w:hAnsi="Times New Roman" w:eastAsia="方正仿宋_GBK" w:cs="Times New Roman"/>
          <w:sz w:val="32"/>
          <w:szCs w:val="32"/>
        </w:rPr>
        <w:br w:type="page"/>
      </w:r>
    </w:p>
    <w:p>
      <w:pPr>
        <w:pStyle w:val="2"/>
        <w:rPr>
          <w:rFonts w:ascii="方正黑体_GBK" w:hAnsi="方正黑体_GBK" w:eastAsia="方正黑体_GBK" w:cs="方正黑体_GBK"/>
        </w:rPr>
      </w:pPr>
      <w:r>
        <w:rPr>
          <w:rFonts w:hint="eastAsia" w:ascii="方正黑体_GBK" w:hAnsi="方正黑体_GBK" w:eastAsia="方正黑体_GBK" w:cs="方正黑体_GBK"/>
          <w:sz w:val="32"/>
          <w:szCs w:val="32"/>
        </w:rPr>
        <w:t>附件</w:t>
      </w:r>
    </w:p>
    <w:tbl>
      <w:tblPr>
        <w:tblStyle w:val="7"/>
        <w:tblW w:w="8700" w:type="dxa"/>
        <w:tblInd w:w="93" w:type="dxa"/>
        <w:tblLayout w:type="autofit"/>
        <w:tblCellMar>
          <w:top w:w="0" w:type="dxa"/>
          <w:left w:w="108" w:type="dxa"/>
          <w:bottom w:w="0" w:type="dxa"/>
          <w:right w:w="108" w:type="dxa"/>
        </w:tblCellMar>
      </w:tblPr>
      <w:tblGrid>
        <w:gridCol w:w="1166"/>
        <w:gridCol w:w="6243"/>
        <w:gridCol w:w="1291"/>
      </w:tblGrid>
      <w:tr>
        <w:tblPrEx>
          <w:tblCellMar>
            <w:top w:w="0" w:type="dxa"/>
            <w:left w:w="108" w:type="dxa"/>
            <w:bottom w:w="0" w:type="dxa"/>
            <w:right w:w="108" w:type="dxa"/>
          </w:tblCellMar>
        </w:tblPrEx>
        <w:trPr>
          <w:trHeight w:val="934" w:hRule="atLeast"/>
        </w:trPr>
        <w:tc>
          <w:tcPr>
            <w:tcW w:w="8700" w:type="dxa"/>
            <w:gridSpan w:val="3"/>
            <w:tcBorders>
              <w:top w:val="nil"/>
              <w:left w:val="nil"/>
              <w:bottom w:val="nil"/>
              <w:right w:val="nil"/>
            </w:tcBorders>
            <w:shd w:val="clear" w:color="auto" w:fill="auto"/>
            <w:noWrap/>
            <w:vAlign w:val="center"/>
          </w:tcPr>
          <w:p>
            <w:pPr>
              <w:widowControl/>
              <w:jc w:val="center"/>
              <w:textAlignment w:val="center"/>
              <w:rPr>
                <w:rFonts w:ascii="方正小标宋_GBK" w:hAnsi="方正小标宋_GBK" w:eastAsia="方正小标宋_GBK" w:cs="方正小标宋_GBK"/>
                <w:color w:val="000000"/>
                <w:sz w:val="44"/>
                <w:szCs w:val="44"/>
              </w:rPr>
            </w:pPr>
            <w:r>
              <w:rPr>
                <w:rFonts w:hint="eastAsia" w:ascii="方正小标宋_GBK" w:hAnsi="方正小标宋_GBK" w:eastAsia="方正小标宋_GBK" w:cs="方正小标宋_GBK"/>
                <w:color w:val="000000"/>
                <w:kern w:val="0"/>
                <w:sz w:val="44"/>
                <w:szCs w:val="44"/>
                <w:lang w:bidi="ar"/>
              </w:rPr>
              <w:t>第三批DCMM贯标评估单位名单</w:t>
            </w:r>
          </w:p>
        </w:tc>
      </w:tr>
      <w:tr>
        <w:tblPrEx>
          <w:tblCellMar>
            <w:top w:w="0" w:type="dxa"/>
            <w:left w:w="108" w:type="dxa"/>
            <w:bottom w:w="0" w:type="dxa"/>
            <w:right w:w="108" w:type="dxa"/>
          </w:tblCellMar>
        </w:tblPrEx>
        <w:trPr>
          <w:trHeight w:val="623" w:hRule="atLeast"/>
        </w:trPr>
        <w:tc>
          <w:tcPr>
            <w:tcW w:w="0" w:type="auto"/>
            <w:gridSpan w:val="3"/>
            <w:tcBorders>
              <w:top w:val="nil"/>
              <w:left w:val="nil"/>
              <w:bottom w:val="nil"/>
              <w:right w:val="nil"/>
            </w:tcBorders>
            <w:shd w:val="clear" w:color="auto" w:fill="auto"/>
            <w:noWrap/>
            <w:vAlign w:val="center"/>
          </w:tcPr>
          <w:p>
            <w:pPr>
              <w:widowControl/>
              <w:jc w:val="left"/>
              <w:textAlignment w:val="center"/>
              <w:rPr>
                <w:rFonts w:ascii="方正黑体_GBK" w:hAnsi="方正黑体_GBK" w:eastAsia="方正黑体_GBK" w:cs="方正黑体_GBK"/>
                <w:color w:val="000000"/>
                <w:sz w:val="28"/>
                <w:szCs w:val="28"/>
              </w:rPr>
            </w:pPr>
            <w:r>
              <w:rPr>
                <w:rFonts w:hint="eastAsia" w:ascii="方正黑体_GBK" w:hAnsi="方正黑体_GBK" w:eastAsia="方正黑体_GBK" w:cs="方正黑体_GBK"/>
                <w:color w:val="000000"/>
                <w:kern w:val="0"/>
                <w:sz w:val="28"/>
                <w:szCs w:val="28"/>
                <w:lang w:bidi="ar"/>
              </w:rPr>
              <w:t>一、贯标评估单位（75家）</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楷体_GBK" w:hAnsi="方正楷体_GBK" w:eastAsia="方正楷体_GBK" w:cs="方正楷体_GBK"/>
                <w:color w:val="000000"/>
                <w:sz w:val="28"/>
                <w:szCs w:val="28"/>
              </w:rPr>
            </w:pPr>
            <w:r>
              <w:rPr>
                <w:rFonts w:hint="eastAsia" w:ascii="方正楷体_GBK" w:hAnsi="方正楷体_GBK" w:eastAsia="方正楷体_GBK" w:cs="方正楷体_GBK"/>
                <w:color w:val="000000"/>
                <w:kern w:val="0"/>
                <w:sz w:val="28"/>
                <w:szCs w:val="28"/>
                <w:lang w:bidi="ar"/>
              </w:rPr>
              <w:t>序号</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楷体_GBK" w:hAnsi="方正楷体_GBK" w:eastAsia="方正楷体_GBK" w:cs="方正楷体_GBK"/>
                <w:color w:val="000000"/>
                <w:sz w:val="28"/>
                <w:szCs w:val="28"/>
              </w:rPr>
            </w:pPr>
            <w:r>
              <w:rPr>
                <w:rFonts w:hint="eastAsia" w:ascii="方正楷体_GBK" w:hAnsi="方正楷体_GBK" w:eastAsia="方正楷体_GBK" w:cs="方正楷体_GBK"/>
                <w:color w:val="000000"/>
                <w:kern w:val="0"/>
                <w:sz w:val="28"/>
                <w:szCs w:val="28"/>
                <w:lang w:bidi="ar"/>
              </w:rPr>
              <w:t>单位名称</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楷体_GBK" w:hAnsi="方正楷体_GBK" w:eastAsia="方正楷体_GBK" w:cs="方正楷体_GBK"/>
                <w:color w:val="000000"/>
                <w:sz w:val="28"/>
                <w:szCs w:val="28"/>
              </w:rPr>
            </w:pPr>
            <w:r>
              <w:rPr>
                <w:rFonts w:hint="eastAsia" w:ascii="方正楷体_GBK" w:hAnsi="方正楷体_GBK" w:eastAsia="方正楷体_GBK" w:cs="方正楷体_GBK"/>
                <w:color w:val="000000"/>
                <w:kern w:val="0"/>
                <w:sz w:val="28"/>
                <w:szCs w:val="28"/>
                <w:lang w:bidi="ar"/>
              </w:rPr>
              <w:t>地区</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1</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方正仿宋_GBK" w:hAnsi="方正仿宋_GBK" w:eastAsia="方正仿宋_GBK" w:cs="方正仿宋_GBK"/>
                <w:color w:val="000000"/>
                <w:sz w:val="28"/>
                <w:szCs w:val="28"/>
              </w:rPr>
            </w:pPr>
            <w:r>
              <w:rPr>
                <w:rFonts w:hint="eastAsia" w:ascii="方正仿宋_GBK" w:hAnsi="方正仿宋_GBK" w:eastAsia="方正仿宋_GBK" w:cs="方正仿宋_GBK"/>
                <w:color w:val="000000"/>
                <w:kern w:val="0"/>
                <w:sz w:val="28"/>
                <w:szCs w:val="28"/>
                <w:lang w:bidi="ar"/>
              </w:rPr>
              <w:t>江苏省人民医院（南京医科大学第一附属医院）</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仿宋_GBK" w:hAnsi="方正仿宋_GBK" w:eastAsia="方正仿宋_GBK" w:cs="方正仿宋_GBK"/>
                <w:color w:val="000000"/>
                <w:sz w:val="28"/>
                <w:szCs w:val="28"/>
              </w:rPr>
            </w:pPr>
            <w:r>
              <w:rPr>
                <w:rFonts w:hint="eastAsia" w:ascii="方正仿宋_GBK" w:hAnsi="方正仿宋_GBK" w:eastAsia="方正仿宋_GBK" w:cs="方正仿宋_GBK"/>
                <w:color w:val="000000"/>
                <w:kern w:val="0"/>
                <w:sz w:val="28"/>
                <w:szCs w:val="28"/>
                <w:lang w:bidi="ar"/>
              </w:rPr>
              <w:t>南京</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2</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方正仿宋_GBK" w:hAnsi="方正仿宋_GBK" w:eastAsia="方正仿宋_GBK" w:cs="方正仿宋_GBK"/>
                <w:color w:val="000000"/>
                <w:sz w:val="28"/>
                <w:szCs w:val="28"/>
              </w:rPr>
            </w:pPr>
            <w:r>
              <w:rPr>
                <w:rFonts w:hint="eastAsia" w:ascii="方正仿宋_GBK" w:hAnsi="方正仿宋_GBK" w:eastAsia="方正仿宋_GBK" w:cs="方正仿宋_GBK"/>
                <w:color w:val="000000"/>
                <w:kern w:val="0"/>
                <w:sz w:val="28"/>
                <w:szCs w:val="28"/>
                <w:lang w:bidi="ar"/>
              </w:rPr>
              <w:t>菲尼克斯亚太电气（南京）有限公司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仿宋_GBK" w:hAnsi="方正仿宋_GBK" w:eastAsia="方正仿宋_GBK" w:cs="方正仿宋_GBK"/>
                <w:color w:val="000000"/>
                <w:sz w:val="28"/>
                <w:szCs w:val="28"/>
              </w:rPr>
            </w:pPr>
            <w:r>
              <w:rPr>
                <w:rFonts w:hint="eastAsia" w:ascii="方正仿宋_GBK" w:hAnsi="方正仿宋_GBK" w:eastAsia="方正仿宋_GBK" w:cs="方正仿宋_GBK"/>
                <w:color w:val="000000"/>
                <w:kern w:val="0"/>
                <w:sz w:val="28"/>
                <w:szCs w:val="28"/>
                <w:lang w:bidi="ar"/>
              </w:rPr>
              <w:t>南京</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3</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方正仿宋_GBK" w:hAnsi="方正仿宋_GBK" w:eastAsia="方正仿宋_GBK" w:cs="方正仿宋_GBK"/>
                <w:color w:val="000000"/>
                <w:sz w:val="28"/>
                <w:szCs w:val="28"/>
              </w:rPr>
            </w:pPr>
            <w:r>
              <w:rPr>
                <w:rFonts w:hint="eastAsia" w:ascii="方正仿宋_GBK" w:hAnsi="方正仿宋_GBK" w:eastAsia="方正仿宋_GBK" w:cs="方正仿宋_GBK"/>
                <w:color w:val="000000"/>
                <w:kern w:val="0"/>
                <w:sz w:val="28"/>
                <w:szCs w:val="28"/>
                <w:lang w:bidi="ar"/>
              </w:rPr>
              <w:t>中电鸿信信息科技有限公司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南京</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4</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信联科技（南京）有限公司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南京</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5</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汇智科技（南京）有限公司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南京</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6</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中邮建技术有限公司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南京</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7</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苏银金融租赁股份有限公司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南京</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8</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南京东华智能转向系统有限公司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南京</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9</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江苏邦宁科技有限公司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南京</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10</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江苏曼荼罗软件股份有限公司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无锡</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11</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浪潮卓数大数据产业发展有限公司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无锡</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12</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住电粉末冶金（无锡）有限公司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无锡</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13</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江苏新格尔人居科技有限公司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无锡</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14</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4"/>
                <w:rFonts w:hint="default"/>
                <w:lang w:bidi="ar"/>
              </w:rPr>
              <w:t>江苏红豆工业互联网有限公司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无锡</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15</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江苏晟能科技有限公司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无锡</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16</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蓝深远望科技股份有限公司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无锡</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17</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海澜智云科技有限公司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无锡</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18</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徐州徐工挖掘机械有限公司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徐州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19</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江苏华辰变压器股份有限公司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徐州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20</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江苏振邦智慧城市信息系统有限公司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常州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21</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常州产业投资集团有限公司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常州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22</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常州市新博科技有限公司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常州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23</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江苏中盈高科智能信息股份有限公司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常州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24</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常州健康医疗大数据运营有限公司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常州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25</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中车戚墅堰机车有限公司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常州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26</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方正仿宋_GBK" w:hAnsi="方正仿宋_GBK" w:eastAsia="方正仿宋_GBK" w:cs="方正仿宋_GBK"/>
                <w:color w:val="000000"/>
                <w:sz w:val="28"/>
                <w:szCs w:val="28"/>
              </w:rPr>
            </w:pPr>
            <w:r>
              <w:rPr>
                <w:rFonts w:hint="eastAsia" w:ascii="方正仿宋_GBK" w:hAnsi="方正仿宋_GBK" w:eastAsia="方正仿宋_GBK" w:cs="方正仿宋_GBK"/>
                <w:color w:val="000000"/>
                <w:kern w:val="0"/>
                <w:sz w:val="28"/>
                <w:szCs w:val="28"/>
                <w:lang w:bidi="ar"/>
              </w:rPr>
              <w:t>常州大数据有限公司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常州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27</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江苏未至科技股份有限公司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苏州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28</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苏州赛美科基因科技有限公司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苏州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29</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太极半导体（苏州）有限公司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苏州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30</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江苏凯伦建材股份有限公司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苏州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31</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衍之道（江苏）水务科技有限公司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苏州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32</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企查查科技有限公司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苏州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33</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苏州凌旭信息科技有限公司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苏州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34</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江苏亨通数字智能科技有限公司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苏州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35</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江苏网进科技股份有限公司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苏州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36</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江苏盖睿健康科技有限公司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苏州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37</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中亿丰数字科技有限公司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苏州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38</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苏州云联智慧信息技术应用有限公司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苏州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39</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研华科技（中国）有限公司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苏州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40</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苏州维信电子有限公司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苏州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41</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苏州琅润达检测科技有限公司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苏州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42</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沃太能源股份有限公司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南通</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43</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4"/>
                <w:rFonts w:hint="default"/>
                <w:lang w:bidi="ar"/>
              </w:rPr>
              <w:t>江苏海隆华思计算机系统有限公司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南通</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44</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江苏文凤化纤集团有限公司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南通</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45</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南通双弘纺织有限公司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南通</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46</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南通东华软件有限公司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南通</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47</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江苏洋井石化集团有限公司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连云港</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48</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江苏交控智慧城市技术有限公司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连云港</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49</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江苏核电有限公司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连云港</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50</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日出东方控股股份有限公司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连云港</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51</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西派集团有限公司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淮安</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52</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江苏富乐华半导体科技股份有限公司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盐城</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53</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盐城朗坤数字乡村科技有限公司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盐城</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54</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江苏大丰农村商业银行股份有限公司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盐城</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55</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普天智慧城市投资江苏有限公司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盐城</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56</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阜宁阿特斯阳光电力科技有限公司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盐城</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57</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上海题桥江苏纺织科技有限公司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盐城</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58</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江苏易图地理信息科技有限公司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扬州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59</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扬州万方科技股份有限公司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扬州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60</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扬州宏创科技发展股份有限公司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扬州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61</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江苏鼎集智能科技股份有限公司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扬州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62</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江苏亚威机床股份有限公司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扬州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63</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中海油气（泰州）石化有限公司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泰州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64</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江苏格尔顿传动有限公司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泰州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65</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江苏泰隆减速机股份有限公司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泰州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66</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江苏科兴电器有限公司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泰州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67</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扬子江药业集团江苏龙凤堂中药有限公司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泰州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68</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江苏隆基乐叶光伏科技有限公司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泰州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69</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江苏太平洋精锻科技股份有限公司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泰州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70</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赢胜节能集团股份有限公司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泰州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71</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江苏华工激光科技有限公司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宿迁</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72</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江苏京世大数据管理有限公司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宿迁</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73</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江苏联旺信息科技有限公司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宿迁</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74</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江苏洋河酒厂股份有限公司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宿迁</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75</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江苏箭鹿毛纺股份有限公司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宿迁</w:t>
            </w:r>
          </w:p>
        </w:tc>
      </w:tr>
      <w:tr>
        <w:tblPrEx>
          <w:tblCellMar>
            <w:top w:w="0" w:type="dxa"/>
            <w:left w:w="108" w:type="dxa"/>
            <w:bottom w:w="0" w:type="dxa"/>
            <w:right w:w="108" w:type="dxa"/>
          </w:tblCellMar>
        </w:tblPrEx>
        <w:trPr>
          <w:trHeight w:val="633" w:hRule="atLeast"/>
        </w:trPr>
        <w:tc>
          <w:tcPr>
            <w:tcW w:w="0" w:type="auto"/>
            <w:gridSpan w:val="3"/>
            <w:tcBorders>
              <w:top w:val="nil"/>
              <w:left w:val="nil"/>
              <w:bottom w:val="nil"/>
              <w:right w:val="nil"/>
            </w:tcBorders>
            <w:shd w:val="clear" w:color="auto" w:fill="auto"/>
            <w:noWrap/>
            <w:vAlign w:val="center"/>
          </w:tcPr>
          <w:p>
            <w:pPr>
              <w:widowControl/>
              <w:jc w:val="left"/>
              <w:textAlignment w:val="center"/>
              <w:rPr>
                <w:rFonts w:ascii="方正黑体_GBK" w:hAnsi="方正黑体_GBK" w:eastAsia="方正黑体_GBK" w:cs="方正黑体_GBK"/>
                <w:color w:val="000000"/>
                <w:sz w:val="28"/>
                <w:szCs w:val="28"/>
              </w:rPr>
            </w:pPr>
            <w:r>
              <w:rPr>
                <w:rFonts w:hint="eastAsia" w:ascii="方正黑体_GBK" w:hAnsi="方正黑体_GBK" w:eastAsia="方正黑体_GBK" w:cs="方正黑体_GBK"/>
                <w:color w:val="000000"/>
                <w:kern w:val="0"/>
                <w:sz w:val="28"/>
                <w:szCs w:val="28"/>
                <w:lang w:bidi="ar"/>
              </w:rPr>
              <w:t>二、贯标评估备选单位（6家）</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楷体_GBK" w:hAnsi="方正楷体_GBK" w:eastAsia="方正楷体_GBK" w:cs="方正楷体_GBK"/>
                <w:color w:val="000000"/>
                <w:sz w:val="28"/>
                <w:szCs w:val="28"/>
              </w:rPr>
            </w:pPr>
            <w:r>
              <w:rPr>
                <w:rFonts w:hint="eastAsia" w:ascii="方正楷体_GBK" w:hAnsi="方正楷体_GBK" w:eastAsia="方正楷体_GBK" w:cs="方正楷体_GBK"/>
                <w:color w:val="000000"/>
                <w:kern w:val="0"/>
                <w:sz w:val="28"/>
                <w:szCs w:val="28"/>
                <w:lang w:bidi="ar"/>
              </w:rPr>
              <w:t>序号</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楷体_GBK" w:hAnsi="方正楷体_GBK" w:eastAsia="方正楷体_GBK" w:cs="方正楷体_GBK"/>
                <w:color w:val="000000"/>
                <w:sz w:val="28"/>
                <w:szCs w:val="28"/>
              </w:rPr>
            </w:pPr>
            <w:r>
              <w:rPr>
                <w:rFonts w:hint="eastAsia" w:ascii="方正楷体_GBK" w:hAnsi="方正楷体_GBK" w:eastAsia="方正楷体_GBK" w:cs="方正楷体_GBK"/>
                <w:color w:val="000000"/>
                <w:kern w:val="0"/>
                <w:sz w:val="28"/>
                <w:szCs w:val="28"/>
                <w:lang w:bidi="ar"/>
              </w:rPr>
              <w:t>单位名称</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楷体_GBK" w:hAnsi="方正楷体_GBK" w:eastAsia="方正楷体_GBK" w:cs="方正楷体_GBK"/>
                <w:color w:val="000000"/>
                <w:sz w:val="28"/>
                <w:szCs w:val="28"/>
              </w:rPr>
            </w:pPr>
            <w:r>
              <w:rPr>
                <w:rFonts w:hint="eastAsia" w:ascii="方正楷体_GBK" w:hAnsi="方正楷体_GBK" w:eastAsia="方正楷体_GBK" w:cs="方正楷体_GBK"/>
                <w:color w:val="000000"/>
                <w:kern w:val="0"/>
                <w:sz w:val="28"/>
                <w:szCs w:val="28"/>
                <w:lang w:bidi="ar"/>
              </w:rPr>
              <w:t>地区</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1</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连云港电子口岸信息发展有限公司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连云港</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2</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江苏润阳光伏科技有限公司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盐城</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3</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南京金宁汇科技有限公司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南京</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4</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江苏中教科信息技术有限公司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苏州</w:t>
            </w:r>
          </w:p>
        </w:tc>
      </w:tr>
      <w:tr>
        <w:tblPrEx>
          <w:tblCellMar>
            <w:top w:w="0" w:type="dxa"/>
            <w:left w:w="108" w:type="dxa"/>
            <w:bottom w:w="0" w:type="dxa"/>
            <w:right w:w="108" w:type="dxa"/>
          </w:tblCellMar>
        </w:tblPrEx>
        <w:trPr>
          <w:trHeight w:val="63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5</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苏州城方信息技术有限公司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苏州</w:t>
            </w:r>
          </w:p>
        </w:tc>
      </w:tr>
      <w:tr>
        <w:tblPrEx>
          <w:tblCellMar>
            <w:top w:w="0" w:type="dxa"/>
            <w:left w:w="108" w:type="dxa"/>
            <w:bottom w:w="0" w:type="dxa"/>
            <w:right w:w="108" w:type="dxa"/>
          </w:tblCellMar>
        </w:tblPrEx>
        <w:trPr>
          <w:trHeight w:val="643" w:hRule="atLeast"/>
        </w:trPr>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Fonts w:ascii="Times New Roman" w:hAnsi="Times New Roman" w:eastAsia="宋体" w:cs="Times New Roman"/>
                <w:color w:val="000000"/>
                <w:kern w:val="0"/>
                <w:sz w:val="28"/>
                <w:szCs w:val="28"/>
                <w:lang w:bidi="ar"/>
              </w:rPr>
              <w:t>6</w:t>
            </w:r>
          </w:p>
        </w:tc>
        <w:tc>
          <w:tcPr>
            <w:tcW w:w="62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宋体" w:cs="Times New Roman"/>
                <w:color w:val="000000"/>
                <w:sz w:val="28"/>
                <w:szCs w:val="28"/>
              </w:rPr>
            </w:pPr>
            <w:r>
              <w:rPr>
                <w:rStyle w:val="13"/>
                <w:rFonts w:hint="default"/>
                <w:lang w:bidi="ar"/>
              </w:rPr>
              <w:t>苏州傲君信息技术有限公司</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8"/>
                <w:szCs w:val="28"/>
              </w:rPr>
            </w:pPr>
            <w:r>
              <w:rPr>
                <w:rStyle w:val="13"/>
                <w:rFonts w:hint="default"/>
                <w:lang w:bidi="ar"/>
              </w:rPr>
              <w:t>苏州</w:t>
            </w:r>
          </w:p>
        </w:tc>
      </w:tr>
    </w:tbl>
    <w:p>
      <w:pPr>
        <w:spacing w:line="590" w:lineRule="exact"/>
        <w:rPr>
          <w:rFonts w:ascii="Times New Roman" w:hAnsi="Times New Roman" w:eastAsia="方正仿宋_GBK" w:cs="Times New Roman"/>
          <w:sz w:val="32"/>
          <w:szCs w:val="32"/>
        </w:rPr>
      </w:pPr>
    </w:p>
    <w:sectPr>
      <w:pgSz w:w="11906" w:h="16838"/>
      <w:pgMar w:top="2007" w:right="1474" w:bottom="1984"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等线">
    <w:altName w:val="微软雅黑"/>
    <w:panose1 w:val="02010600030101010101"/>
    <w:charset w:val="86"/>
    <w:family w:val="auto"/>
    <w:pitch w:val="default"/>
    <w:sig w:usb0="00000000" w:usb1="00000000" w:usb2="00000016" w:usb3="00000000" w:csb0="0004000F" w:csb1="00000000"/>
  </w:font>
  <w:font w:name="方正仿宋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等线">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drawingGridVerticalSpacing w:val="156"/>
  <w:noPunctuationKerning w:val="true"/>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IzYjQ0NWI0MmNiMDgyMGFmY2FiMzhmZDFhNzViODQifQ=="/>
  </w:docVars>
  <w:rsids>
    <w:rsidRoot w:val="00856AC0"/>
    <w:rsid w:val="00061677"/>
    <w:rsid w:val="001677FF"/>
    <w:rsid w:val="001C75E8"/>
    <w:rsid w:val="00322937"/>
    <w:rsid w:val="00467859"/>
    <w:rsid w:val="004B0319"/>
    <w:rsid w:val="004D7A7E"/>
    <w:rsid w:val="006075F8"/>
    <w:rsid w:val="00612621"/>
    <w:rsid w:val="00612F56"/>
    <w:rsid w:val="00626610"/>
    <w:rsid w:val="006E114C"/>
    <w:rsid w:val="00710E4A"/>
    <w:rsid w:val="00796DA5"/>
    <w:rsid w:val="00856AC0"/>
    <w:rsid w:val="008C5895"/>
    <w:rsid w:val="00992288"/>
    <w:rsid w:val="009B1F52"/>
    <w:rsid w:val="009C533B"/>
    <w:rsid w:val="009D5246"/>
    <w:rsid w:val="00B07A39"/>
    <w:rsid w:val="00B205FC"/>
    <w:rsid w:val="00B322E6"/>
    <w:rsid w:val="00BC11EF"/>
    <w:rsid w:val="00CF120F"/>
    <w:rsid w:val="00D02838"/>
    <w:rsid w:val="00D20982"/>
    <w:rsid w:val="00DC7555"/>
    <w:rsid w:val="00E8131A"/>
    <w:rsid w:val="00EA4372"/>
    <w:rsid w:val="00EB0846"/>
    <w:rsid w:val="00F1594D"/>
    <w:rsid w:val="00F24FFA"/>
    <w:rsid w:val="00FB57C3"/>
    <w:rsid w:val="00FD4D14"/>
    <w:rsid w:val="0E0307E8"/>
    <w:rsid w:val="107A7E67"/>
    <w:rsid w:val="19FF4948"/>
    <w:rsid w:val="1C703346"/>
    <w:rsid w:val="21AC758F"/>
    <w:rsid w:val="24766A4B"/>
    <w:rsid w:val="2F754B98"/>
    <w:rsid w:val="3598667C"/>
    <w:rsid w:val="3FF079FA"/>
    <w:rsid w:val="44BB29C9"/>
    <w:rsid w:val="48494774"/>
    <w:rsid w:val="4F7D311E"/>
    <w:rsid w:val="6ADC3460"/>
    <w:rsid w:val="722A5EA4"/>
    <w:rsid w:val="7B3CF3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semiHidden/>
    <w:unhideWhenUsed/>
    <w:qFormat/>
    <w:uiPriority w:val="99"/>
    <w:rPr>
      <w:sz w:val="24"/>
    </w:rPr>
  </w:style>
  <w:style w:type="paragraph" w:styleId="3">
    <w:name w:val="Balloon Text"/>
    <w:basedOn w:val="1"/>
    <w:link w:val="10"/>
    <w:semiHidden/>
    <w:unhideWhenUsed/>
    <w:qFormat/>
    <w:uiPriority w:val="99"/>
    <w:rPr>
      <w:sz w:val="18"/>
      <w:szCs w:val="18"/>
    </w:rPr>
  </w:style>
  <w:style w:type="paragraph" w:styleId="4">
    <w:name w:val="footer"/>
    <w:basedOn w:val="1"/>
    <w:link w:val="12"/>
    <w:unhideWhenUsed/>
    <w:qFormat/>
    <w:uiPriority w:val="99"/>
    <w:pPr>
      <w:tabs>
        <w:tab w:val="center" w:pos="4153"/>
        <w:tab w:val="right" w:pos="8306"/>
      </w:tabs>
      <w:snapToGrid w:val="0"/>
      <w:jc w:val="left"/>
    </w:pPr>
    <w:rPr>
      <w:sz w:val="18"/>
      <w:szCs w:val="18"/>
    </w:rPr>
  </w:style>
  <w:style w:type="paragraph" w:styleId="5">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9">
    <w:name w:val="Hyperlink"/>
    <w:basedOn w:val="8"/>
    <w:semiHidden/>
    <w:unhideWhenUsed/>
    <w:qFormat/>
    <w:uiPriority w:val="99"/>
    <w:rPr>
      <w:color w:val="0000FF"/>
      <w:u w:val="single"/>
    </w:rPr>
  </w:style>
  <w:style w:type="character" w:customStyle="1" w:styleId="10">
    <w:name w:val="批注框文本 Char"/>
    <w:basedOn w:val="8"/>
    <w:link w:val="3"/>
    <w:semiHidden/>
    <w:qFormat/>
    <w:uiPriority w:val="99"/>
    <w:rPr>
      <w:sz w:val="18"/>
      <w:szCs w:val="18"/>
    </w:rPr>
  </w:style>
  <w:style w:type="character" w:customStyle="1" w:styleId="11">
    <w:name w:val="页眉 Char"/>
    <w:basedOn w:val="8"/>
    <w:link w:val="5"/>
    <w:qFormat/>
    <w:uiPriority w:val="99"/>
    <w:rPr>
      <w:sz w:val="18"/>
      <w:szCs w:val="18"/>
    </w:rPr>
  </w:style>
  <w:style w:type="character" w:customStyle="1" w:styleId="12">
    <w:name w:val="页脚 Char"/>
    <w:basedOn w:val="8"/>
    <w:link w:val="4"/>
    <w:qFormat/>
    <w:uiPriority w:val="99"/>
    <w:rPr>
      <w:sz w:val="18"/>
      <w:szCs w:val="18"/>
    </w:rPr>
  </w:style>
  <w:style w:type="character" w:customStyle="1" w:styleId="13">
    <w:name w:val="font71"/>
    <w:basedOn w:val="8"/>
    <w:qFormat/>
    <w:uiPriority w:val="0"/>
    <w:rPr>
      <w:rFonts w:hint="eastAsia" w:ascii="方正仿宋_GBK" w:hAnsi="方正仿宋_GBK" w:eastAsia="方正仿宋_GBK" w:cs="方正仿宋_GBK"/>
      <w:color w:val="000000"/>
      <w:sz w:val="28"/>
      <w:szCs w:val="28"/>
      <w:u w:val="none"/>
    </w:rPr>
  </w:style>
  <w:style w:type="character" w:customStyle="1" w:styleId="14">
    <w:name w:val="font91"/>
    <w:basedOn w:val="8"/>
    <w:qFormat/>
    <w:uiPriority w:val="0"/>
    <w:rPr>
      <w:rFonts w:hint="eastAsia" w:ascii="方正仿宋_GBK" w:hAnsi="方正仿宋_GBK" w:eastAsia="方正仿宋_GBK" w:cs="方正仿宋_GBK"/>
      <w:color w:val="000000"/>
      <w:sz w:val="28"/>
      <w:szCs w:val="28"/>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380</Words>
  <Characters>2169</Characters>
  <Lines>18</Lines>
  <Paragraphs>5</Paragraphs>
  <TotalTime>2</TotalTime>
  <ScaleCrop>false</ScaleCrop>
  <LinksUpToDate>false</LinksUpToDate>
  <CharactersWithSpaces>2544</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2022-07-29T10:57:00Z</dcterms:created>
  <dc:creator>admin</dc:creator>
  <cp:lastModifiedBy>uos</cp:lastModifiedBy>
  <cp:lastPrinted>2020-12-04T10:14:00Z</cp:lastPrinted>
  <dcterms:modified xsi:type="dcterms:W3CDTF">2022-08-11T08:56:39Z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3A96939750C949C9A5DD90E60B6ED418</vt:lpwstr>
  </property>
</Properties>
</file>