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 w:val="32"/>
          <w:szCs w:val="32"/>
        </w:rPr>
      </w:pPr>
      <w:bookmarkStart w:id="2" w:name="_GoBack"/>
      <w:bookmarkEnd w:id="2"/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省级企业技术中心初评方法</w:t>
      </w:r>
    </w:p>
    <w:p>
      <w:pPr>
        <w:jc w:val="left"/>
        <w:rPr>
          <w:rFonts w:ascii="Times New Roman" w:hAnsi="Times New Roman" w:cs="Times New Roman"/>
          <w:b/>
          <w:sz w:val="30"/>
          <w:szCs w:val="30"/>
        </w:rPr>
      </w:pPr>
    </w:p>
    <w:p>
      <w:pPr>
        <w:widowControl/>
        <w:spacing w:line="540" w:lineRule="exact"/>
        <w:ind w:firstLine="600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省级企业技术中心的初评按以下程序进行：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一、基础数据处理</w:t>
      </w:r>
    </w:p>
    <w:p>
      <w:pPr>
        <w:widowControl/>
        <w:spacing w:line="540" w:lineRule="exact"/>
        <w:ind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在进行正式评价之前，根据《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江苏省省级企业技术中心认定评价工作流程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2025 年修订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）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》（苏工信创新〔202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val="en-US" w:eastAsia="zh-CN"/>
        </w:rPr>
        <w:t>5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〕2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val="en-US" w:eastAsia="zh-CN"/>
        </w:rPr>
        <w:t>72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号，以下简称《工作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流程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》）明确的各项指标解释，结合申请报告中的相关附件及证明材料，对企业技术中心提交的“江苏省省级企业技术中心评价数据表”中各项数据值进行逐项核实，对证明材料缺失或无效的数据，按量予以核减，以最终的核定数据作为计算每项指标得分的依据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二、指标数值计算</w:t>
      </w:r>
    </w:p>
    <w:p>
      <w:pPr>
        <w:spacing w:line="540" w:lineRule="exact"/>
        <w:ind w:right="4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在获得各项指标的核定数据后，可获得《江苏省省级企业技术中心评价指标体系》（见《工作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流程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》附件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4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第一部分）中各项指标的数值。其中，</w:t>
      </w:r>
      <w:r>
        <w:rPr>
          <w:rFonts w:ascii="Times New Roman" w:hAnsi="Times New Roman" w:eastAsia="方正仿宋_GBK" w:cs="Times New Roman"/>
          <w:color w:val="auto"/>
          <w:kern w:val="0"/>
          <w:sz w:val="30"/>
          <w:szCs w:val="30"/>
        </w:rPr>
        <w:t>有</w:t>
      </w:r>
      <w:r>
        <w:rPr>
          <w:rFonts w:ascii="Times New Roman" w:hAnsi="Times New Roman" w:eastAsia="Times New Roman" w:cs="Times New Roman"/>
          <w:color w:val="auto"/>
          <w:kern w:val="0"/>
          <w:sz w:val="30"/>
          <w:szCs w:val="30"/>
        </w:rPr>
        <w:t>7</w:t>
      </w:r>
      <w:r>
        <w:rPr>
          <w:rFonts w:ascii="Times New Roman" w:hAnsi="Times New Roman" w:eastAsia="方正仿宋_GBK" w:cs="Times New Roman"/>
          <w:color w:val="auto"/>
          <w:kern w:val="0"/>
          <w:sz w:val="30"/>
          <w:szCs w:val="30"/>
        </w:rPr>
        <w:t>项指标的数值须通过计算获得。对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于引入行业系数进行调节的“研发经费支出占主营业务收入的比重”、“新产品销售收入占主营业务收入的比重”、“新产品销售利润占利润总额的比重”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3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项指标，在计算获得原始指标数值后，再乘以本企业所在行业的行业系数</w:t>
      </w:r>
      <w:r>
        <w:rPr>
          <w:rFonts w:ascii="Times New Roman" w:hAnsi="Times New Roman" w:eastAsia="方正仿宋_GBK" w:cs="Times New Roman"/>
          <w:bCs/>
          <w:kern w:val="0"/>
          <w:sz w:val="30"/>
          <w:szCs w:val="30"/>
        </w:rPr>
        <w:t>（</w:t>
      </w:r>
      <w:r>
        <w:rPr>
          <w:rFonts w:hint="eastAsia" w:ascii="Times New Roman" w:hAnsi="Times New Roman" w:eastAsia="方正仿宋_GBK" w:cs="Times New Roman"/>
          <w:bCs/>
          <w:kern w:val="0"/>
          <w:sz w:val="30"/>
          <w:szCs w:val="30"/>
        </w:rPr>
        <w:t>附后</w:t>
      </w:r>
      <w:r>
        <w:rPr>
          <w:rFonts w:ascii="Times New Roman" w:hAnsi="Times New Roman" w:eastAsia="方正仿宋_GBK" w:cs="Times New Roman"/>
          <w:bCs/>
          <w:kern w:val="0"/>
          <w:sz w:val="30"/>
          <w:szCs w:val="30"/>
        </w:rPr>
        <w:t>）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作为计算相关指标得分的最终依据。</w:t>
      </w:r>
    </w:p>
    <w:p>
      <w:pPr>
        <w:spacing w:line="540" w:lineRule="exact"/>
        <w:ind w:left="600" w:right="4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以下是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7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项指标具体的计算方法：</w:t>
      </w:r>
    </w:p>
    <w:p>
      <w:pPr>
        <w:spacing w:line="540" w:lineRule="exact"/>
        <w:ind w:firstLine="600" w:firstLineChars="2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（一）“研发人员人均研发经费支出指标”数值，由“研究与试验发展经费支出”核定数据除以“研究与试验发展人员数”核定</w:t>
      </w:r>
      <w:bookmarkStart w:id="0" w:name="page2"/>
      <w:bookmarkEnd w:id="0"/>
      <w:r>
        <w:rPr>
          <w:rFonts w:ascii="Times New Roman" w:hAnsi="Times New Roman" w:eastAsia="方正仿宋_GBK" w:cs="Times New Roman"/>
          <w:kern w:val="0"/>
          <w:sz w:val="30"/>
          <w:szCs w:val="30"/>
        </w:rPr>
        <w:t>数据得到；</w:t>
      </w:r>
    </w:p>
    <w:p>
      <w:pPr>
        <w:spacing w:line="540" w:lineRule="exact"/>
        <w:ind w:right="160" w:firstLine="600" w:firstLineChars="2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（二）“研发经费支出占主营业务收入的比重”数值，由“研究与试验发展经费支出”核定数据除以“主营业务收入”核定数据，再乘以本企业所在行业的行业系数得到；</w:t>
      </w:r>
    </w:p>
    <w:p>
      <w:pPr>
        <w:spacing w:line="540" w:lineRule="exact"/>
        <w:ind w:right="160" w:firstLine="600" w:firstLineChars="2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（三）“研发人员占职工总数的比重”数值，由“研究与试验发展人员数”核定数据除以“企业职工总数”核定数据得到；</w:t>
      </w:r>
    </w:p>
    <w:p>
      <w:pPr>
        <w:spacing w:line="540" w:lineRule="exact"/>
        <w:ind w:firstLine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（四）“研发周期三年以上的项目数占全部研发项目数的比重”数值，由“研发周期三年以上的项目数”核定数据除以“企业全部研发项目数”核定数据得到；</w:t>
      </w:r>
    </w:p>
    <w:p>
      <w:pPr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（五）“新产品销售收入占主营业务收入的比重”数值，由“新产品销售收入”核定数据除以“主营业务收入”核定数据，再乘以本企业所在行业的行业系数得到；</w:t>
      </w:r>
    </w:p>
    <w:p>
      <w:pPr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（六）“新产品销售利润占利润总额的比重”数值，由“新产品销售利润”核定数据除以“利润总额”核定数据，再乘以本企业所在行业的行业系数得到；</w:t>
      </w:r>
    </w:p>
    <w:p>
      <w:pPr>
        <w:widowControl/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（七）“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销售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利润率”数值，由“利润总额”核定数据除以“主营业务收入”核定数据得到。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三、得分计算方法</w:t>
      </w:r>
    </w:p>
    <w:p>
      <w:pPr>
        <w:widowControl/>
        <w:spacing w:line="540" w:lineRule="exact"/>
        <w:ind w:firstLine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获得《江苏省省级企业技术中心评价指标体系》中各项指标的数值后，根据基本要求、满分要求以及相应的计算规则，计算出各项指标的得分，其总和就是该企业的评价得分。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楷体_GBK" w:cs="Times New Roman"/>
          <w:kern w:val="0"/>
          <w:sz w:val="30"/>
          <w:szCs w:val="30"/>
        </w:rPr>
        <w:t>（一）关于各项指标的基本要求和满分要求</w:t>
      </w:r>
    </w:p>
    <w:p>
      <w:pPr>
        <w:widowControl/>
        <w:spacing w:line="540" w:lineRule="exact"/>
        <w:ind w:right="160" w:firstLine="6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  <w:sectPr>
          <w:footerReference r:id="rId5" w:type="first"/>
          <w:footerReference r:id="rId3" w:type="default"/>
          <w:footerReference r:id="rId4" w:type="even"/>
          <w:pgSz w:w="11900" w:h="16838"/>
          <w:pgMar w:top="1814" w:right="1474" w:bottom="1984" w:left="1474" w:header="0" w:footer="454" w:gutter="0"/>
          <w:pgNumType w:start="5"/>
          <w:cols w:equalWidth="0" w:num="1">
            <w:col w:w="8823"/>
          </w:cols>
          <w:docGrid w:linePitch="286" w:charSpace="0"/>
        </w:sect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当前基本要求、满分要求的数值见下表。</w:t>
      </w:r>
    </w:p>
    <w:p>
      <w:pPr>
        <w:widowControl/>
        <w:spacing w:line="540" w:lineRule="exact"/>
        <w:jc w:val="left"/>
        <w:rPr>
          <w:rFonts w:ascii="Times New Roman" w:hAnsi="Times New Roman" w:eastAsia="宋体" w:cs="Times New Roman"/>
          <w:kern w:val="0"/>
          <w:sz w:val="30"/>
          <w:szCs w:val="30"/>
        </w:rPr>
        <w:sectPr>
          <w:type w:val="continuous"/>
          <w:pgSz w:w="11900" w:h="16838"/>
          <w:pgMar w:top="1440" w:right="9440" w:bottom="1129" w:left="1620" w:header="0" w:footer="0" w:gutter="0"/>
          <w:cols w:equalWidth="0" w:num="1">
            <w:col w:w="840"/>
          </w:cols>
        </w:sectPr>
      </w:pPr>
    </w:p>
    <w:p>
      <w:pPr>
        <w:widowControl/>
        <w:ind w:left="2160"/>
        <w:jc w:val="left"/>
        <w:rPr>
          <w:rFonts w:ascii="Times New Roman" w:hAnsi="Times New Roman" w:eastAsia="宋体" w:cs="Times New Roman"/>
          <w:kern w:val="0"/>
          <w:sz w:val="20"/>
          <w:szCs w:val="20"/>
        </w:rPr>
      </w:pPr>
      <w:bookmarkStart w:id="1" w:name="page3"/>
      <w:bookmarkEnd w:id="1"/>
      <w:r>
        <w:rPr>
          <w:rFonts w:ascii="Times New Roman" w:hAnsi="Times New Roman" w:eastAsia="方正楷体_GBK" w:cs="Times New Roman"/>
          <w:kern w:val="0"/>
          <w:sz w:val="28"/>
          <w:szCs w:val="28"/>
        </w:rPr>
        <w:t>附表 各项指标基本要求和满分要求</w:t>
      </w:r>
    </w:p>
    <w:p>
      <w:pPr>
        <w:widowControl/>
        <w:spacing w:line="179" w:lineRule="exact"/>
        <w:jc w:val="left"/>
        <w:rPr>
          <w:rFonts w:ascii="Times New Roman" w:hAnsi="Times New Roman" w:eastAsia="宋体" w:cs="Times New Roman"/>
          <w:kern w:val="0"/>
          <w:sz w:val="20"/>
          <w:szCs w:val="20"/>
        </w:rPr>
      </w:pPr>
    </w:p>
    <w:tbl>
      <w:tblPr>
        <w:tblStyle w:val="5"/>
        <w:tblW w:w="8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566"/>
        <w:gridCol w:w="565"/>
        <w:gridCol w:w="4189"/>
        <w:gridCol w:w="840"/>
        <w:gridCol w:w="504"/>
        <w:gridCol w:w="850"/>
        <w:gridCol w:w="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一级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二级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三级指标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单位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基本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要求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满分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投入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经费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21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1.研发人员人均研发经费支出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2.研发经费支出占主营业务收入的比重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创新人才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3.研发人员占企业职工总数的比重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4.技术中心拥有的高级专家和博士人数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人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5.来技术中心从事研发工作的外聘专家人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人月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条件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技术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积累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6.企业拥有的全部有效专利数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7.企业拥有的全部有效发明专利数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8.企业全部研发项目数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9.研发周期三年以上的项目数占全部研发项目数的比重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平台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10.企业技术开发仪器设备原值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≥1000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11.省级以上研发平台数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个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分档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12.通过国家（国际组织）、省认证的实验室和检测机构数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个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绩效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技术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产出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13.当年被受理的专利申请数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14.当年被受理的发明专利申请数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15.最近三年主持和参加制定的国际、国家、行业和团体标准数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创新效益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27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16.新产品销售收入占主营业务收入的比重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17.新产品销售利润占利润总额的比重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18.销售利润率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27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加分项</w:t>
            </w:r>
          </w:p>
        </w:tc>
        <w:tc>
          <w:tcPr>
            <w:tcW w:w="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19.获国家和省科技奖励项目数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≤2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分档</w:t>
            </w:r>
          </w:p>
        </w:tc>
      </w:tr>
    </w:tbl>
    <w:p>
      <w:pPr>
        <w:widowControl/>
        <w:jc w:val="left"/>
        <w:rPr>
          <w:rFonts w:ascii="Times New Roman" w:hAnsi="Times New Roman" w:eastAsia="宋体" w:cs="Times New Roman"/>
          <w:kern w:val="0"/>
          <w:sz w:val="22"/>
        </w:rPr>
        <w:sectPr>
          <w:pgSz w:w="11900" w:h="16838"/>
          <w:pgMar w:top="1440" w:right="1700" w:bottom="1440" w:left="1620" w:header="0" w:footer="454" w:gutter="0"/>
          <w:cols w:equalWidth="0" w:num="1">
            <w:col w:w="8580"/>
          </w:cols>
          <w:docGrid w:linePitch="286" w:charSpace="0"/>
        </w:sectPr>
      </w:pPr>
    </w:p>
    <w:p>
      <w:pPr>
        <w:overflowPunct w:val="0"/>
        <w:snapToGrid w:val="0"/>
        <w:ind w:firstLine="482"/>
        <w:jc w:val="left"/>
        <w:rPr>
          <w:rFonts w:ascii="Times New Roman" w:hAnsi="Times New Roman" w:eastAsia="方正仿宋_GBK" w:cs="Times New Roman"/>
          <w:b/>
          <w:sz w:val="24"/>
          <w:szCs w:val="44"/>
        </w:rPr>
      </w:pPr>
      <w:r>
        <w:rPr>
          <w:rFonts w:ascii="Times New Roman" w:hAnsi="Times New Roman" w:eastAsia="方正仿宋_GBK" w:cs="Times New Roman"/>
          <w:b/>
          <w:sz w:val="24"/>
          <w:szCs w:val="44"/>
        </w:rPr>
        <w:t>指标说明：</w:t>
      </w:r>
    </w:p>
    <w:p>
      <w:pPr>
        <w:overflowPunct w:val="0"/>
        <w:snapToGrid w:val="0"/>
        <w:ind w:firstLine="482"/>
        <w:jc w:val="left"/>
        <w:rPr>
          <w:rFonts w:ascii="Times New Roman" w:hAnsi="Times New Roman" w:eastAsia="方正楷体_GBK" w:cs="Times New Roman"/>
          <w:b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11.省级以上研发平台数：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企业获国家级研发平台数，每个加2分；获江苏省级研发平台数，每个加1分。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17.新产品销售利润占利润总额的比重：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当新产品销售利润≤0时，该项得分为0分；当新产品销售利润＞0且利润总额≤0时，该项得分为6分；其他情况按照指标得分计算规则评分。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18.销售利润率：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当利润总额≤0时，该项得分为0分；其他情况按照指标得分计算规则评分。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19.获国家和省科技奖励项目数：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企业作为主要完成单位或企业员工作为主要完成人获国家科技奖励，加2分；获江苏省科技奖励，每项加1分。</w:t>
      </w:r>
    </w:p>
    <w:p>
      <w:pPr>
        <w:widowControl/>
        <w:rPr>
          <w:rFonts w:ascii="Times New Roman" w:hAnsi="Times New Roman" w:eastAsia="宋体" w:cs="Times New Roman"/>
        </w:rPr>
      </w:pPr>
    </w:p>
    <w:p>
      <w:pPr>
        <w:widowControl/>
        <w:spacing w:line="239" w:lineRule="auto"/>
        <w:ind w:left="600"/>
        <w:jc w:val="left"/>
        <w:rPr>
          <w:rFonts w:ascii="Times New Roman" w:hAnsi="Times New Roman" w:eastAsia="方正楷体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（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二</w:t>
      </w: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）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指标得分计算规则</w:t>
      </w:r>
    </w:p>
    <w:p>
      <w:pPr>
        <w:widowControl/>
        <w:ind w:firstLine="640" w:firstLineChars="200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snapToGrid w:val="0"/>
        <w:jc w:val="center"/>
        <w:rPr>
          <w:rFonts w:ascii="Times New Roman" w:hAnsi="Times New Roman" w:eastAsia="宋体" w:cs="Times New Roman"/>
          <w:b/>
          <w:szCs w:val="21"/>
        </w:rPr>
      </w:pPr>
      <w:r>
        <w:rPr>
          <w:rFonts w:ascii="Times New Roman" w:hAnsi="Times New Roman" w:eastAsia="宋体" w:cs="Times New Roman"/>
          <w:b/>
          <w:szCs w:val="21"/>
        </w:rPr>
        <w:drawing>
          <wp:inline distT="0" distB="0" distL="0" distR="0">
            <wp:extent cx="4648200" cy="2649855"/>
            <wp:effectExtent l="0" t="0" r="0" b="0"/>
            <wp:docPr id="1" name="图片 1" descr="C:\Users\ZhangHui\AppData\Local\Temp\156916262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ZhangHui\AppData\Local\Temp\1569162627(1)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60951" cy="265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napToGrid w:val="0"/>
        <w:jc w:val="center"/>
        <w:rPr>
          <w:rFonts w:ascii="Times New Roman" w:hAnsi="Times New Roman" w:eastAsia="方正黑体_GBK" w:cs="Times New Roman"/>
          <w:b/>
          <w:sz w:val="28"/>
          <w:szCs w:val="28"/>
        </w:rPr>
      </w:pPr>
      <w:r>
        <w:rPr>
          <w:rFonts w:ascii="Times New Roman" w:hAnsi="Times New Roman" w:eastAsia="方正黑体_GBK" w:cs="Times New Roman"/>
          <w:kern w:val="0"/>
          <w:sz w:val="28"/>
          <w:szCs w:val="28"/>
        </w:rPr>
        <w:t>分段线性插值算法示意图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1．指标数值大于或等于满分要求时，指标得分为满分，即指标得分等于上表中的权重；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2．指标数值等于基本要求时，指标得分为权重的60%；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3．指标数值为0时，指标得分为0；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4．指标数值处于0和基本要求之间时，指标得分按线性插值的方法计算，具体计算公式为：</w:t>
      </w:r>
    </w:p>
    <w:p>
      <w:pPr>
        <w:widowControl/>
        <w:snapToGrid w:val="0"/>
        <w:jc w:val="center"/>
        <w:rPr>
          <w:rFonts w:ascii="Times New Roman" w:hAnsi="Times New Roman" w:eastAsia="方正黑体_GBK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指标得分=</m:t>
          </m:r>
          <m:f>
            <m:fP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指标数值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num>
            <m:den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den>
          </m:f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×权重的60%</m:t>
          </m:r>
        </m:oMath>
      </m:oMathPara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5．指标数值处于基本要求和满分要求之间时，指标得分按线性插值的方法计算，具体计算公式为：</w:t>
      </w:r>
    </w:p>
    <w:p>
      <w:pPr>
        <w:widowControl/>
        <w:snapToGrid w:val="0"/>
        <w:jc w:val="center"/>
        <w:rPr>
          <w:rFonts w:ascii="Times New Roman" w:hAnsi="Times New Roman" w:eastAsia="方正仿宋_GBK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指标得分=</m:t>
          </m:r>
          <m:f>
            <m:fP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指标数值</m:t>
              </m:r>
              <m:r>
                <m:rPr>
                  <m:sty m:val="p"/>
                </m:rPr>
                <w:rPr>
                  <w:rFonts w:ascii="Cambria Math" w:hAnsi="Cambria Math" w:eastAsia="微软雅黑" w:cs="Times New Roman"/>
                  <w:kern w:val="0"/>
                  <w:sz w:val="28"/>
                  <w:szCs w:val="28"/>
                </w:rPr>
                <m:t>−</m:t>
              </m:r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num>
            <m:den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满分要求</m:t>
              </m:r>
              <m:r>
                <m:rPr>
                  <m:sty m:val="p"/>
                </m:rPr>
                <w:rPr>
                  <w:rFonts w:ascii="Cambria Math" w:hAnsi="Cambria Math" w:eastAsia="微软雅黑" w:cs="Times New Roman"/>
                  <w:kern w:val="0"/>
                  <w:sz w:val="28"/>
                  <w:szCs w:val="28"/>
                </w:rPr>
                <m:t>−</m:t>
              </m:r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den>
          </m:f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×权重的40%+权重的60%</m:t>
          </m:r>
        </m:oMath>
      </m:oMathPara>
    </w:p>
    <w:p>
      <w:pPr>
        <w:widowControl/>
        <w:snapToGrid w:val="0"/>
        <w:spacing w:line="360" w:lineRule="auto"/>
        <w:ind w:left="944" w:leftChars="271" w:hanging="375" w:hangingChars="134"/>
        <w:rPr>
          <w:rFonts w:ascii="Times New Roman" w:hAnsi="Times New Roman" w:eastAsia="宋体" w:cs="Times New Roman"/>
          <w:kern w:val="0"/>
          <w:sz w:val="28"/>
          <w:szCs w:val="28"/>
        </w:rPr>
      </w:pPr>
    </w:p>
    <w:p>
      <w:pPr>
        <w:widowControl/>
        <w:spacing w:line="239" w:lineRule="auto"/>
        <w:ind w:left="600"/>
        <w:jc w:val="left"/>
        <w:rPr>
          <w:rFonts w:ascii="Times New Roman" w:hAnsi="Times New Roman" w:eastAsia="方正楷体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（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三</w:t>
      </w: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）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《评价指标体系》行业系数</w:t>
      </w:r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bCs/>
          <w:kern w:val="0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bCs/>
          <w:kern w:val="0"/>
          <w:sz w:val="28"/>
          <w:szCs w:val="28"/>
        </w:rPr>
        <w:t>当前行业系数见下表：</w:t>
      </w:r>
    </w:p>
    <w:tbl>
      <w:tblPr>
        <w:tblStyle w:val="5"/>
        <w:tblW w:w="88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3690"/>
        <w:gridCol w:w="1515"/>
        <w:gridCol w:w="1500"/>
        <w:gridCol w:w="13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  <w:tblHeader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行业</w:t>
            </w:r>
          </w:p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代码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行业名称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研发经费支出占主营业务收入的比重</w:t>
            </w: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新产品销售收入占主营业务收入的比重</w:t>
            </w:r>
          </w:p>
        </w:tc>
        <w:tc>
          <w:tcPr>
            <w:tcW w:w="138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新产品销售利润占利润总额的比重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农副食品加工业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14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食品制造业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纺织业、</w:t>
            </w: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服饰业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木材加工和木、竹、藤、棕、草制品业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22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造纸和纸制品业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24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文教、工美、体育和娱乐用品制造业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26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化学原料和化学制品制造业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医药制造业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28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化学纤维制造业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29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橡胶和塑料制品业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非金属矿物制品业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31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黑色金属冶炼和压延加工业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32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有色金属冶炼和压延加工业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1.4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33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金属制品业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通用设备制造业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35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专用设备制造业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36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汽车制造业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铁路、船舶、航空航天和其他运输设备制造业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38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电气机械和器材制造业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39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计算机、通信和其他电子设备制造业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40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仪器仪表制造业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  <w:t>65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Cs w:val="21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eastAsia="zh-CN" w:bidi="ar"/>
              </w:rPr>
              <w:t>软件和信息技术服务业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  <w:t>0.6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77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生态保护和环境治理业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100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其他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</w:tbl>
    <w:p>
      <w:pPr>
        <w:widowControl/>
        <w:snapToGrid w:val="0"/>
        <w:rPr>
          <w:rFonts w:ascii="Times New Roman" w:hAnsi="Times New Roman" w:eastAsia="宋体" w:cs="Times New Roman"/>
          <w:b/>
          <w:kern w:val="0"/>
          <w:sz w:val="11"/>
          <w:szCs w:val="11"/>
        </w:rPr>
      </w:pPr>
    </w:p>
    <w:p>
      <w:pPr>
        <w:widowControl/>
        <w:snapToGrid w:val="0"/>
        <w:ind w:firstLine="481" w:firstLineChars="200"/>
        <w:rPr>
          <w:rFonts w:ascii="Times New Roman" w:hAnsi="Times New Roman" w:eastAsia="宋体" w:cs="Times New Roman"/>
          <w:b/>
          <w:kern w:val="0"/>
          <w:sz w:val="24"/>
          <w:szCs w:val="24"/>
        </w:rPr>
      </w:pPr>
      <w:r>
        <w:rPr>
          <w:rFonts w:ascii="Times New Roman" w:hAnsi="Times New Roman" w:eastAsia="宋体" w:cs="Times New Roman"/>
          <w:b/>
          <w:kern w:val="0"/>
          <w:sz w:val="24"/>
          <w:szCs w:val="24"/>
        </w:rPr>
        <w:t>说明：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1．由于不同行业在研发投入与产出方面存在较大差异，技术中心评价时，对不同行业企业“研发经费支出占主营业务收入的比重”、“新产品销售收入占主营业务收入的比重”、“新产品销售利润占利润总额的比重”三个指标引入行业系数加以调节。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color w:val="FF0000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2．企业填报数据表时无需考虑行业系数，按实际数据填报。评价时，根据企业填报的实际数据计算得出上述指标的比重，再乘以行业系数，得出指标的评价值。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3．</w:t>
      </w:r>
      <w:r>
        <w:rPr>
          <w:rFonts w:ascii="Times New Roman" w:hAnsi="Times New Roman" w:eastAsia="方正仿宋_GBK" w:cs="Times New Roman"/>
          <w:bCs/>
          <w:kern w:val="0"/>
          <w:sz w:val="24"/>
          <w:szCs w:val="24"/>
        </w:rPr>
        <w:t>行业系数表中的“其他”行业包括“交通运输、仓储和邮政业”、“煤炭开采和洗选业”、“石油和天然气开采业”、“废弃资源综合利用业”、“建筑装饰、装修和其他建筑业”等行业。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ambria Math">
    <w:altName w:val="DejaVu Math TeX Gyre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</w:sdtPr>
    <w:sdtEndPr>
      <w:rPr>
        <w:rFonts w:ascii="Times New Roman" w:hAnsi="Times New Roman" w:eastAsia="方正仿宋_GBK" w:cs="Times New Roman"/>
        <w:sz w:val="24"/>
        <w:szCs w:val="24"/>
      </w:rPr>
    </w:sdtEndPr>
    <w:sdtContent>
      <w:p>
        <w:pPr>
          <w:pStyle w:val="3"/>
          <w:ind w:right="360"/>
          <w:jc w:val="right"/>
          <w:rPr>
            <w:rFonts w:ascii="Times New Roman" w:hAnsi="Times New Roman" w:eastAsia="方正仿宋_GBK" w:cs="Times New Roman"/>
            <w:sz w:val="24"/>
            <w:szCs w:val="24"/>
          </w:rPr>
        </w:pPr>
        <w:r>
          <w:rPr>
            <w:rFonts w:ascii="Times New Roman" w:hAnsi="Times New Roman" w:eastAsia="方正仿宋_GBK" w:cs="Times New Roman"/>
            <w:sz w:val="24"/>
            <w:szCs w:val="24"/>
          </w:rPr>
          <w:t xml:space="preserve">— </w: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begin"/>
        </w:r>
        <w:r>
          <w:rPr>
            <w:rFonts w:ascii="Times New Roman" w:hAnsi="Times New Roman" w:eastAsia="方正仿宋_GBK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eastAsia="方正仿宋_GBK" w:cs="Times New Roman"/>
            <w:sz w:val="24"/>
            <w:szCs w:val="24"/>
            <w:lang w:val="zh-CN"/>
          </w:rPr>
          <w:t>9</w: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end"/>
        </w:r>
        <w:r>
          <w:rPr>
            <w:rFonts w:ascii="Times New Roman" w:hAnsi="Times New Roman" w:eastAsia="方正仿宋_GBK" w:cs="Times New Roman"/>
            <w:sz w:val="24"/>
            <w:szCs w:val="24"/>
          </w:rPr>
          <w:t xml:space="preserve"> —</w:t>
        </w:r>
      </w:p>
    </w:sdtContent>
  </w:sdt>
  <w:p>
    <w:pPr>
      <w:pStyle w:val="3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84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—</w:t>
    </w:r>
    <w:sdt>
      <w:sdtPr>
        <w:rPr>
          <w:rFonts w:ascii="Times New Roman" w:hAnsi="Times New Roman" w:cs="Times New Roman"/>
          <w:sz w:val="24"/>
          <w:szCs w:val="24"/>
        </w:rPr>
        <w:id w:val="-1"/>
      </w:sdtPr>
      <w:sdtEndPr>
        <w:rPr>
          <w:rFonts w:ascii="Times New Roman" w:hAnsi="Times New Roman" w:cs="Times New Roman"/>
          <w:sz w:val="24"/>
          <w:szCs w:val="24"/>
        </w:rPr>
      </w:sdtEndPr>
      <w:sdtContent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</w:rPr>
          <w:t>8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</w:sdtContent>
    </w:sdt>
    <w:r>
      <w:rPr>
        <w:rFonts w:ascii="Times New Roman" w:hAnsi="Times New Roman" w:cs="Times New Roman"/>
        <w:sz w:val="24"/>
        <w:szCs w:val="24"/>
      </w:rPr>
      <w:t xml:space="preserve"> —</w:t>
    </w:r>
  </w:p>
  <w:p>
    <w:pPr>
      <w:pStyle w:val="3"/>
      <w:rPr>
        <w:rFonts w:ascii="Times New Roman" w:hAnsi="Times New Roman" w:cs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410"/>
        <w:tab w:val="left" w:pos="6236"/>
      </w:tabs>
    </w:pPr>
    <w:r>
      <w:tab/>
    </w:r>
    <w:r>
      <w:tab/>
    </w:r>
    <w:sdt>
      <w:sdtPr>
        <w:id w:val="492923372"/>
      </w:sdtPr>
      <w:sdtContent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4 -</w:t>
        </w:r>
        <w:r>
          <w:fldChar w:fldCharType="end"/>
        </w:r>
      </w:sdtContent>
    </w:sdt>
    <w:r>
      <w:tab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JkYjQ5MjhmZTM4MTc1Yzc3Zjk5ZWE0ODQ5NjM5MjQifQ=="/>
  </w:docVars>
  <w:rsids>
    <w:rsidRoot w:val="00E32194"/>
    <w:rsid w:val="000227AF"/>
    <w:rsid w:val="000E6162"/>
    <w:rsid w:val="0012573A"/>
    <w:rsid w:val="00226B68"/>
    <w:rsid w:val="00247D5E"/>
    <w:rsid w:val="00272D48"/>
    <w:rsid w:val="002D563F"/>
    <w:rsid w:val="00505442"/>
    <w:rsid w:val="00534C17"/>
    <w:rsid w:val="00557F64"/>
    <w:rsid w:val="0056191E"/>
    <w:rsid w:val="005926FA"/>
    <w:rsid w:val="00670AB6"/>
    <w:rsid w:val="006C59EA"/>
    <w:rsid w:val="006E7810"/>
    <w:rsid w:val="006F4179"/>
    <w:rsid w:val="00773F9C"/>
    <w:rsid w:val="00835E38"/>
    <w:rsid w:val="008C2416"/>
    <w:rsid w:val="008F1FA4"/>
    <w:rsid w:val="0098429B"/>
    <w:rsid w:val="009C5A6C"/>
    <w:rsid w:val="009F773F"/>
    <w:rsid w:val="00A04D40"/>
    <w:rsid w:val="00A266DF"/>
    <w:rsid w:val="00A51B02"/>
    <w:rsid w:val="00AE4F14"/>
    <w:rsid w:val="00B02153"/>
    <w:rsid w:val="00B14A04"/>
    <w:rsid w:val="00C302A1"/>
    <w:rsid w:val="00C43B69"/>
    <w:rsid w:val="00D67407"/>
    <w:rsid w:val="00E263B4"/>
    <w:rsid w:val="00E279A7"/>
    <w:rsid w:val="00E32194"/>
    <w:rsid w:val="00EF038B"/>
    <w:rsid w:val="00F542CA"/>
    <w:rsid w:val="00FE0230"/>
    <w:rsid w:val="05343857"/>
    <w:rsid w:val="054E5F90"/>
    <w:rsid w:val="07110764"/>
    <w:rsid w:val="07B94814"/>
    <w:rsid w:val="0DE46D10"/>
    <w:rsid w:val="14153E12"/>
    <w:rsid w:val="153EAA92"/>
    <w:rsid w:val="178E2321"/>
    <w:rsid w:val="187E0F97"/>
    <w:rsid w:val="26F81E01"/>
    <w:rsid w:val="28FE6DB8"/>
    <w:rsid w:val="296A5420"/>
    <w:rsid w:val="3D1D3D24"/>
    <w:rsid w:val="46210D8A"/>
    <w:rsid w:val="4D422183"/>
    <w:rsid w:val="5CCD42DA"/>
    <w:rsid w:val="63DE27AE"/>
    <w:rsid w:val="71BD02AB"/>
    <w:rsid w:val="75AD3381"/>
    <w:rsid w:val="99DEB7B8"/>
    <w:rsid w:val="DEFFEFD5"/>
    <w:rsid w:val="EFF3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1925</Words>
  <Characters>2029</Characters>
  <Lines>22</Lines>
  <Paragraphs>6</Paragraphs>
  <TotalTime>5</TotalTime>
  <ScaleCrop>false</ScaleCrop>
  <LinksUpToDate>false</LinksUpToDate>
  <CharactersWithSpaces>2031</CharactersWithSpaces>
  <Application>WPS Office_11.8.2.11806_F1E327BC-269C-435d-A152-05C5408002CA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2022-03-21T14:19:00Z</dcterms:created>
  <dc:creator>PC</dc:creator>
  <cp:lastModifiedBy>user</cp:lastModifiedBy>
  <cp:lastPrinted>2022-03-22T03:48:00Z</cp:lastPrinted>
  <dcterms:modified xsi:type="dcterms:W3CDTF">2026-06-29T17:18:51Z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2052-11.8.2.11806</vt:lpwstr>
  </property>
  <property fmtid="{D5CDD505-2E9C-101B-9397-08002B2CF9AE}" pid="3" name="ICV">
    <vt:lpwstr>B8057A002255686A7B38426A365B383E</vt:lpwstr>
  </property>
  <property fmtid="{D5CDD505-2E9C-101B-9397-08002B2CF9AE}" pid="4" name="KSOTemplateDocerSaveRecord">
    <vt:lpwstr>eyJoZGlkIjoiODc1OGM0ZTYyOTg4NDEwY2NkNzM4MDEzYWEyZDJhOTYiLCJ1c2VySWQiOiI0Mzg2NTI0MTIifQ==</vt:lpwstr>
  </property>
</Properties>
</file>