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CEEBD3">
      <w:pPr>
        <w:spacing w:line="560" w:lineRule="exact"/>
        <w:jc w:val="both"/>
        <w:rPr>
          <w:rFonts w:hint="eastAsia" w:ascii="Times New Roman" w:hAnsi="Times New Roman" w:eastAsia="方正小标宋_GBK"/>
          <w:sz w:val="44"/>
          <w:szCs w:val="44"/>
        </w:rPr>
      </w:pPr>
    </w:p>
    <w:p w14:paraId="0C8A4E93">
      <w:pPr>
        <w:spacing w:line="590" w:lineRule="exact"/>
        <w:jc w:val="center"/>
        <w:rPr>
          <w:rFonts w:ascii="Times New Roman" w:hAnsi="Times New Roman" w:eastAsia="方正小标宋_GBK"/>
          <w:bCs/>
          <w:kern w:val="0"/>
          <w:sz w:val="44"/>
          <w:szCs w:val="44"/>
        </w:rPr>
      </w:pPr>
      <w:r>
        <w:rPr>
          <w:rFonts w:ascii="Times New Roman" w:hAnsi="Times New Roman" w:eastAsia="方正小标宋_GBK"/>
          <w:bCs/>
          <w:kern w:val="0"/>
          <w:sz w:val="44"/>
          <w:szCs w:val="44"/>
        </w:rPr>
        <w:t>江苏省监控化学品管理行政处罚</w:t>
      </w:r>
    </w:p>
    <w:p w14:paraId="2C862BA4">
      <w:pPr>
        <w:spacing w:line="590" w:lineRule="exact"/>
        <w:jc w:val="center"/>
        <w:rPr>
          <w:rFonts w:ascii="Times New Roman" w:hAnsi="Times New Roman" w:eastAsia="方正小标宋_GBK"/>
          <w:bCs/>
          <w:kern w:val="0"/>
          <w:sz w:val="44"/>
          <w:szCs w:val="44"/>
        </w:rPr>
      </w:pPr>
      <w:r>
        <w:rPr>
          <w:rFonts w:ascii="Times New Roman" w:hAnsi="Times New Roman" w:eastAsia="方正小标宋_GBK"/>
          <w:bCs/>
          <w:kern w:val="0"/>
          <w:sz w:val="44"/>
          <w:szCs w:val="44"/>
        </w:rPr>
        <w:t>裁量权适用规则</w:t>
      </w:r>
      <w:bookmarkStart w:id="0" w:name="_GoBack"/>
      <w:bookmarkEnd w:id="0"/>
    </w:p>
    <w:p w14:paraId="5396AC8E">
      <w:pPr>
        <w:spacing w:line="590" w:lineRule="exact"/>
        <w:jc w:val="center"/>
        <w:rPr>
          <w:rStyle w:val="7"/>
          <w:rFonts w:ascii="Times New Roman" w:hAnsi="Times New Roman"/>
        </w:rPr>
      </w:pPr>
    </w:p>
    <w:p w14:paraId="4FFDFD29">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第一条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为规范我省监控化学品管理行政处罚裁量权的行使，保障公民、法人或者其他组织的合法权益，根据《中华人民共和国行政处罚法》《中华人民共和国监控化学品管理条例》《&lt;中华人民共和国监控化学品管理条例&gt;实施细则》等规定，结合工作实际，制定本规则。</w:t>
      </w:r>
    </w:p>
    <w:p w14:paraId="70086B36">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第二条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设区的市以上工业和信息化主管部门（以下简称监控化学品管理部门）依照监控化学品管理相关法律、法规和规章实施监控化学品管理行政处罚行使裁量权时，适用本规则。法律、法规、规章对行政处罚裁量权的适用规则另有规定的，从其规定。</w:t>
      </w:r>
    </w:p>
    <w:p w14:paraId="612EABA7">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第三条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本规则所称监控化学品管理行政处罚裁量权，是指监控化学品管理部门在法律、法规、规章规定的行政处罚权限范围内，对当事人在本省行政区域内实施的违反监控化学品管理相关规定的行为，综合考虑违法行为的事实、性质、情节、危害程度等因素，决定是否给予行政处罚以及处罚种类和幅度的权限。</w:t>
      </w:r>
    </w:p>
    <w:p w14:paraId="6FF33288">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第四条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行使监控化学品管理行政处罚裁量权，应当遵循以下原则：</w:t>
      </w:r>
    </w:p>
    <w:p w14:paraId="15112491">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（一）处罚法定原则，处罚主体具有法定权限，遵循法定程序，在法律、法规、规章规定的行政处罚的种类和幅度内行使；</w:t>
      </w:r>
    </w:p>
    <w:p w14:paraId="0FAA0C5D">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（二）过罚相当原则，案件以事实为依据，与违法行为的事实、性质、情节以及社会危害程度等相当，所适用的处罚种类和幅度基本相同；</w:t>
      </w:r>
    </w:p>
    <w:p w14:paraId="45688C6A">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（三）公正公平原则，不得以案件事实以外的因素差别对待，对违法事实、性质、情节、社会危害程度等因素相同或者相似的违法行为，所适用的处罚种类和幅度应当基本相同；</w:t>
      </w:r>
    </w:p>
    <w:p w14:paraId="49ACEADE">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（四）处罚与教育相结合原则，纠正违法行为，教育公民、法人或者其他组织自觉守法。</w:t>
      </w:r>
    </w:p>
    <w:p w14:paraId="627AAFC7">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第五条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行使监控化学品管理行政处罚裁量权，应当综合考虑下列因素：</w:t>
      </w:r>
    </w:p>
    <w:p w14:paraId="0F450163">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（一）违法行为人的主观过错；</w:t>
      </w:r>
    </w:p>
    <w:p w14:paraId="5ABEFBBD">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 xml:space="preserve">（二）违法行为涉及的范围； </w:t>
      </w:r>
    </w:p>
    <w:p w14:paraId="3263B556">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（三）违法所得；</w:t>
      </w:r>
    </w:p>
    <w:p w14:paraId="5D1937A5">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（四）违法次数；</w:t>
      </w:r>
    </w:p>
    <w:p w14:paraId="45C3C6D7">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（五）违法行为手段；</w:t>
      </w:r>
    </w:p>
    <w:p w14:paraId="7C2C0FDB">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（六）违法行为的危害后果、社会影响程度；</w:t>
      </w:r>
    </w:p>
    <w:p w14:paraId="03B6202B">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kern w:val="0"/>
          <w:sz w:val="32"/>
          <w:szCs w:val="32"/>
        </w:rPr>
        <w:t>（七）其他依法应当予以考虑的因素。</w:t>
      </w:r>
    </w:p>
    <w:p w14:paraId="124BFBF9">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第六条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行使行政处罚裁量权，应当对可能影响裁量结果的案情作充分调查，听取和核实当事人有关陈述和申辩意见。当事人提出的事实、理由和证据成立的应当采纳，不得因当事人陈述、申辩而加重处罚。</w:t>
      </w:r>
    </w:p>
    <w:p w14:paraId="1323C749">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第七条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行政处罚案件的集体讨论情况记录、案件调查报告、行政处罚听证告知书、行政处罚决定书应当载明行使裁量权的理由和依据。</w:t>
      </w:r>
    </w:p>
    <w:p w14:paraId="06C7A240">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第八条</w:t>
      </w:r>
      <w:r>
        <w:rPr>
          <w:rFonts w:ascii="Times New Roman" w:hAnsi="Times New Roman" w:eastAsia="方正仿宋_GBK"/>
          <w:bCs/>
          <w:kern w:val="0"/>
          <w:sz w:val="32"/>
          <w:szCs w:val="32"/>
        </w:rPr>
        <w:t xml:space="preserve">  决定减轻、从轻、从重行政处罚的，应当在作出行政处罚决定时，载明行使裁量权的事实、理由和依据</w:t>
      </w:r>
      <w:r>
        <w:rPr>
          <w:rFonts w:ascii="Times New Roman" w:hAnsi="Times New Roman" w:eastAsia="方正仿宋_GBK"/>
          <w:kern w:val="0"/>
          <w:sz w:val="32"/>
          <w:szCs w:val="32"/>
        </w:rPr>
        <w:t>。</w:t>
      </w:r>
    </w:p>
    <w:p w14:paraId="011FEB27">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第九条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监控化学品管理部门应当建立健全行政执法责任制、行政执法公示制度、行政执法全过程记录制度、重大行政执法决定法制审核制度等工作制度，严格规范行政处罚裁量权的行使和监督。</w:t>
      </w:r>
    </w:p>
    <w:p w14:paraId="2343486D">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第十条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附件《江苏省监控化学品管理行政处罚裁量权基准表》与本规则配套使用，实施时间和有效期与本规则一致；除特别说明外，处罚违法情节及处罚裁量标准中的“以下”包含本数，“以上”不包含本数。</w:t>
      </w:r>
    </w:p>
    <w:p w14:paraId="7BC93748">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 xml:space="preserve">第十一条  </w:t>
      </w:r>
      <w:r>
        <w:rPr>
          <w:rFonts w:ascii="Times New Roman" w:hAnsi="Times New Roman" w:eastAsia="方正仿宋_GBK"/>
          <w:kern w:val="0"/>
          <w:sz w:val="32"/>
          <w:szCs w:val="32"/>
        </w:rPr>
        <w:t>本规则由江苏省工业和信息化厅负责解释。</w:t>
      </w:r>
    </w:p>
    <w:p w14:paraId="7F3775FC">
      <w:pPr>
        <w:spacing w:line="590" w:lineRule="exact"/>
        <w:ind w:firstLine="624" w:firstLineChars="200"/>
        <w:jc w:val="left"/>
        <w:rPr>
          <w:rFonts w:ascii="Times New Roman" w:hAnsi="Times New Roman" w:eastAsia="方正仿宋_GBK"/>
          <w:kern w:val="0"/>
          <w:sz w:val="32"/>
          <w:szCs w:val="32"/>
        </w:rPr>
      </w:pPr>
      <w:r>
        <w:rPr>
          <w:rFonts w:ascii="Times New Roman" w:hAnsi="Times New Roman" w:eastAsia="方正仿宋_GBK"/>
          <w:b/>
          <w:bCs/>
          <w:kern w:val="0"/>
          <w:sz w:val="32"/>
          <w:szCs w:val="32"/>
        </w:rPr>
        <w:t>第十二条</w:t>
      </w:r>
      <w:r>
        <w:rPr>
          <w:rFonts w:ascii="Times New Roman" w:hAnsi="Times New Roman" w:eastAsia="方正仿宋_GBK"/>
          <w:bCs/>
          <w:kern w:val="0"/>
          <w:sz w:val="32"/>
          <w:szCs w:val="32"/>
        </w:rPr>
        <w:t xml:space="preserve">  </w:t>
      </w:r>
      <w:r>
        <w:rPr>
          <w:rFonts w:ascii="Times New Roman" w:hAnsi="Times New Roman" w:eastAsia="方正仿宋_GBK"/>
          <w:kern w:val="0"/>
          <w:sz w:val="32"/>
          <w:szCs w:val="32"/>
        </w:rPr>
        <w:t>本规则自202</w:t>
      </w:r>
      <w:r>
        <w:rPr>
          <w:rFonts w:hint="eastAsia" w:ascii="Times New Roman" w:hAnsi="Times New Roman" w:eastAsia="方正仿宋_GBK"/>
          <w:kern w:val="0"/>
          <w:sz w:val="32"/>
          <w:szCs w:val="32"/>
          <w:lang w:val="en-US" w:eastAsia="zh-CN"/>
        </w:rPr>
        <w:t>6</w:t>
      </w:r>
      <w:r>
        <w:rPr>
          <w:rFonts w:ascii="Times New Roman" w:hAnsi="Times New Roman" w:eastAsia="方正仿宋_GBK"/>
          <w:kern w:val="0"/>
          <w:sz w:val="32"/>
          <w:szCs w:val="32"/>
        </w:rPr>
        <w:t>年X月X日起施行，有效期</w:t>
      </w:r>
      <w:r>
        <w:rPr>
          <w:rFonts w:hint="eastAsia" w:ascii="Times New Roman" w:hAnsi="Times New Roman" w:eastAsia="方正仿宋_GBK"/>
          <w:kern w:val="0"/>
          <w:sz w:val="32"/>
          <w:szCs w:val="32"/>
          <w:lang w:eastAsia="zh-CN"/>
        </w:rPr>
        <w:t>至</w:t>
      </w:r>
      <w:r>
        <w:rPr>
          <w:rFonts w:hint="eastAsia" w:ascii="Times New Roman" w:hAnsi="Times New Roman" w:eastAsia="方正仿宋_GBK"/>
          <w:kern w:val="0"/>
          <w:sz w:val="32"/>
          <w:szCs w:val="32"/>
          <w:lang w:val="en-US" w:eastAsia="zh-CN"/>
        </w:rPr>
        <w:t>X</w:t>
      </w:r>
      <w:r>
        <w:rPr>
          <w:rFonts w:ascii="Times New Roman" w:hAnsi="Times New Roman" w:eastAsia="方正仿宋_GBK"/>
          <w:kern w:val="0"/>
          <w:sz w:val="32"/>
          <w:szCs w:val="32"/>
        </w:rPr>
        <w:t>年</w:t>
      </w:r>
      <w:r>
        <w:rPr>
          <w:rFonts w:hint="eastAsia" w:ascii="Times New Roman" w:hAnsi="Times New Roman" w:eastAsia="方正仿宋_GBK"/>
          <w:kern w:val="0"/>
          <w:sz w:val="32"/>
          <w:szCs w:val="32"/>
          <w:lang w:val="en-US" w:eastAsia="zh-CN"/>
        </w:rPr>
        <w:t>X月X日</w:t>
      </w:r>
      <w:r>
        <w:rPr>
          <w:rFonts w:ascii="Times New Roman" w:hAnsi="Times New Roman" w:eastAsia="方正仿宋_GBK"/>
          <w:kern w:val="0"/>
          <w:sz w:val="32"/>
          <w:szCs w:val="32"/>
        </w:rPr>
        <w:t>。</w:t>
      </w:r>
    </w:p>
    <w:p w14:paraId="1D3918D7">
      <w:pPr>
        <w:spacing w:line="590" w:lineRule="exact"/>
        <w:ind w:firstLine="624" w:firstLineChars="200"/>
        <w:jc w:val="left"/>
        <w:rPr>
          <w:rFonts w:ascii="Times New Roman" w:hAnsi="Times New Roman" w:eastAsia="方正仿宋_GBK"/>
          <w:kern w:val="0"/>
          <w:sz w:val="32"/>
          <w:szCs w:val="32"/>
        </w:rPr>
      </w:pPr>
    </w:p>
    <w:p w14:paraId="179300B7">
      <w:pPr>
        <w:spacing w:line="590" w:lineRule="exact"/>
        <w:ind w:firstLine="624" w:firstLineChars="200"/>
        <w:jc w:val="left"/>
        <w:rPr>
          <w:rFonts w:ascii="Times New Roman" w:hAnsi="Times New Roman" w:eastAsia="方正仿宋_GBK"/>
          <w:sz w:val="32"/>
          <w:szCs w:val="32"/>
        </w:rPr>
      </w:pPr>
      <w:r>
        <w:rPr>
          <w:rFonts w:ascii="Times New Roman" w:hAnsi="Times New Roman" w:eastAsia="方正仿宋_GBK"/>
          <w:kern w:val="0"/>
          <w:sz w:val="32"/>
          <w:szCs w:val="32"/>
        </w:rPr>
        <w:t>附件：江苏省监控化学品管理行政处罚裁量权基准表</w:t>
      </w:r>
    </w:p>
    <w:p w14:paraId="22172136">
      <w:pPr>
        <w:sectPr>
          <w:headerReference r:id="rId3" w:type="default"/>
          <w:footerReference r:id="rId4" w:type="default"/>
          <w:pgSz w:w="11906" w:h="16838"/>
          <w:pgMar w:top="1814" w:right="1531" w:bottom="1985" w:left="1531" w:header="851" w:footer="992" w:gutter="0"/>
          <w:pgNumType w:fmt="numberInDash"/>
          <w:cols w:space="720" w:num="1"/>
          <w:docGrid w:type="linesAndChars" w:linePitch="579" w:charSpace="-1839"/>
        </w:sectPr>
      </w:pPr>
    </w:p>
    <w:p w14:paraId="47A12524">
      <w:pPr>
        <w:spacing w:line="590" w:lineRule="exact"/>
        <w:jc w:val="left"/>
        <w:rPr>
          <w:rFonts w:ascii="Times New Roman" w:hAnsi="Times New Roman" w:eastAsia="方正黑体_GBK"/>
          <w:szCs w:val="32"/>
        </w:rPr>
      </w:pPr>
      <w:r>
        <w:rPr>
          <w:rFonts w:ascii="Times New Roman" w:hAnsi="Times New Roman" w:eastAsia="方正黑体_GBK"/>
          <w:szCs w:val="32"/>
        </w:rPr>
        <w:t>附件</w:t>
      </w:r>
    </w:p>
    <w:p w14:paraId="5E2EF4A5">
      <w:pPr>
        <w:spacing w:before="240" w:after="240" w:line="590" w:lineRule="exact"/>
        <w:jc w:val="center"/>
        <w:rPr>
          <w:rFonts w:ascii="Times New Roman" w:hAnsi="Times New Roman" w:eastAsia="方正小标宋_GBK"/>
          <w:szCs w:val="32"/>
        </w:rPr>
      </w:pPr>
      <w:r>
        <w:rPr>
          <w:rFonts w:ascii="Times New Roman" w:hAnsi="Times New Roman" w:eastAsia="方正小标宋_GBK"/>
          <w:szCs w:val="32"/>
        </w:rPr>
        <w:t>江苏省监控化学品管理行政处罚裁量权基准表</w:t>
      </w:r>
    </w:p>
    <w:tbl>
      <w:tblPr>
        <w:tblStyle w:val="5"/>
        <w:tblW w:w="14844" w:type="dxa"/>
        <w:jc w:val="center"/>
        <w:tblLayout w:type="autofit"/>
        <w:tblCellMar>
          <w:top w:w="0" w:type="dxa"/>
          <w:left w:w="108" w:type="dxa"/>
          <w:bottom w:w="0" w:type="dxa"/>
          <w:right w:w="108" w:type="dxa"/>
        </w:tblCellMar>
      </w:tblPr>
      <w:tblGrid>
        <w:gridCol w:w="640"/>
        <w:gridCol w:w="1221"/>
        <w:gridCol w:w="5103"/>
        <w:gridCol w:w="4986"/>
        <w:gridCol w:w="2894"/>
      </w:tblGrid>
      <w:tr w14:paraId="21A92C9C">
        <w:tblPrEx>
          <w:tblCellMar>
            <w:top w:w="0" w:type="dxa"/>
            <w:left w:w="108" w:type="dxa"/>
            <w:bottom w:w="0" w:type="dxa"/>
            <w:right w:w="108" w:type="dxa"/>
          </w:tblCellMar>
        </w:tblPrEx>
        <w:trPr>
          <w:trHeight w:val="300" w:hRule="atLeast"/>
          <w:tblHeader/>
          <w:jc w:val="center"/>
        </w:trPr>
        <w:tc>
          <w:tcPr>
            <w:tcW w:w="64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9062204">
            <w:pPr>
              <w:widowControl/>
              <w:spacing w:line="240" w:lineRule="exact"/>
              <w:jc w:val="center"/>
              <w:rPr>
                <w:rFonts w:ascii="Times New Roman" w:hAnsi="Times New Roman" w:eastAsia="宋体"/>
                <w:color w:val="000000"/>
                <w:kern w:val="0"/>
                <w:sz w:val="21"/>
                <w:szCs w:val="21"/>
              </w:rPr>
            </w:pPr>
            <w:r>
              <w:rPr>
                <w:rFonts w:ascii="Times New Roman" w:hAnsi="Times New Roman" w:eastAsia="方正黑体_GBK"/>
                <w:color w:val="000000"/>
                <w:kern w:val="0"/>
                <w:sz w:val="21"/>
                <w:szCs w:val="21"/>
              </w:rPr>
              <w:t>序号</w:t>
            </w:r>
          </w:p>
        </w:tc>
        <w:tc>
          <w:tcPr>
            <w:tcW w:w="1221" w:type="dxa"/>
            <w:tcBorders>
              <w:top w:val="single" w:color="auto" w:sz="4" w:space="0"/>
              <w:left w:val="nil"/>
              <w:bottom w:val="single" w:color="auto" w:sz="4" w:space="0"/>
              <w:right w:val="single" w:color="auto" w:sz="4" w:space="0"/>
            </w:tcBorders>
            <w:shd w:val="clear" w:color="auto" w:fill="auto"/>
            <w:noWrap w:val="0"/>
            <w:vAlign w:val="center"/>
          </w:tcPr>
          <w:p w14:paraId="14B13512">
            <w:pPr>
              <w:widowControl/>
              <w:spacing w:line="240" w:lineRule="exact"/>
              <w:jc w:val="center"/>
              <w:rPr>
                <w:rFonts w:ascii="Times New Roman" w:hAnsi="Times New Roman" w:eastAsia="方正黑体_GBK"/>
                <w:color w:val="000000"/>
                <w:kern w:val="0"/>
                <w:sz w:val="21"/>
                <w:szCs w:val="21"/>
              </w:rPr>
            </w:pPr>
            <w:r>
              <w:rPr>
                <w:rFonts w:ascii="Times New Roman" w:hAnsi="Times New Roman" w:eastAsia="方正黑体_GBK"/>
                <w:color w:val="000000"/>
                <w:kern w:val="0"/>
                <w:sz w:val="21"/>
                <w:szCs w:val="21"/>
              </w:rPr>
              <w:t>违法</w:t>
            </w:r>
          </w:p>
          <w:p w14:paraId="2298B825">
            <w:pPr>
              <w:widowControl/>
              <w:spacing w:line="240" w:lineRule="exact"/>
              <w:jc w:val="center"/>
              <w:rPr>
                <w:rFonts w:ascii="Times New Roman" w:hAnsi="Times New Roman" w:eastAsia="宋体"/>
                <w:color w:val="000000"/>
                <w:kern w:val="0"/>
                <w:sz w:val="21"/>
                <w:szCs w:val="21"/>
              </w:rPr>
            </w:pPr>
            <w:r>
              <w:rPr>
                <w:rFonts w:ascii="Times New Roman" w:hAnsi="Times New Roman" w:eastAsia="方正黑体_GBK"/>
                <w:color w:val="000000"/>
                <w:kern w:val="0"/>
                <w:sz w:val="21"/>
                <w:szCs w:val="21"/>
              </w:rPr>
              <w:t>行为</w:t>
            </w:r>
          </w:p>
        </w:tc>
        <w:tc>
          <w:tcPr>
            <w:tcW w:w="5103" w:type="dxa"/>
            <w:tcBorders>
              <w:top w:val="single" w:color="auto" w:sz="4" w:space="0"/>
              <w:left w:val="nil"/>
              <w:bottom w:val="single" w:color="auto" w:sz="4" w:space="0"/>
              <w:right w:val="single" w:color="auto" w:sz="4" w:space="0"/>
            </w:tcBorders>
            <w:shd w:val="clear" w:color="auto" w:fill="auto"/>
            <w:noWrap w:val="0"/>
            <w:vAlign w:val="center"/>
          </w:tcPr>
          <w:p w14:paraId="5825219B">
            <w:pPr>
              <w:widowControl/>
              <w:spacing w:line="240" w:lineRule="exact"/>
              <w:jc w:val="center"/>
              <w:rPr>
                <w:rFonts w:ascii="Times New Roman" w:hAnsi="Times New Roman" w:eastAsia="宋体"/>
                <w:color w:val="000000"/>
                <w:kern w:val="0"/>
                <w:sz w:val="21"/>
                <w:szCs w:val="21"/>
              </w:rPr>
            </w:pPr>
            <w:r>
              <w:rPr>
                <w:rFonts w:ascii="Times New Roman" w:hAnsi="Times New Roman" w:eastAsia="方正黑体_GBK"/>
                <w:color w:val="000000"/>
                <w:kern w:val="0"/>
                <w:sz w:val="21"/>
                <w:szCs w:val="21"/>
              </w:rPr>
              <w:t>处罚依据</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66F12343">
            <w:pPr>
              <w:widowControl/>
              <w:spacing w:line="240" w:lineRule="exact"/>
              <w:jc w:val="center"/>
              <w:rPr>
                <w:rFonts w:ascii="Times New Roman" w:hAnsi="Times New Roman" w:eastAsia="宋体"/>
                <w:color w:val="000000"/>
                <w:kern w:val="0"/>
                <w:sz w:val="21"/>
                <w:szCs w:val="21"/>
              </w:rPr>
            </w:pPr>
            <w:r>
              <w:rPr>
                <w:rFonts w:ascii="Times New Roman" w:hAnsi="Times New Roman" w:eastAsia="方正黑体_GBK"/>
                <w:color w:val="000000"/>
                <w:kern w:val="0"/>
                <w:sz w:val="21"/>
                <w:szCs w:val="21"/>
              </w:rPr>
              <w:t>违法行为情形</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64CBC91B">
            <w:pPr>
              <w:widowControl/>
              <w:spacing w:line="240" w:lineRule="exact"/>
              <w:jc w:val="center"/>
              <w:rPr>
                <w:rFonts w:ascii="Times New Roman" w:hAnsi="Times New Roman" w:eastAsia="宋体"/>
                <w:color w:val="000000"/>
                <w:kern w:val="0"/>
                <w:sz w:val="21"/>
                <w:szCs w:val="21"/>
              </w:rPr>
            </w:pPr>
            <w:r>
              <w:rPr>
                <w:rFonts w:ascii="Times New Roman" w:hAnsi="Times New Roman" w:eastAsia="方正黑体_GBK"/>
                <w:color w:val="000000"/>
                <w:kern w:val="0"/>
                <w:sz w:val="21"/>
                <w:szCs w:val="21"/>
              </w:rPr>
              <w:t>裁量基准</w:t>
            </w:r>
          </w:p>
        </w:tc>
      </w:tr>
      <w:tr w14:paraId="68A4DA9D">
        <w:tblPrEx>
          <w:tblCellMar>
            <w:top w:w="0" w:type="dxa"/>
            <w:left w:w="108" w:type="dxa"/>
            <w:bottom w:w="0" w:type="dxa"/>
            <w:right w:w="108" w:type="dxa"/>
          </w:tblCellMar>
        </w:tblPrEx>
        <w:trPr>
          <w:trHeight w:val="31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4F9B29DC">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1</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7AA0B357">
            <w:pPr>
              <w:widowControl/>
              <w:spacing w:line="240" w:lineRule="exact"/>
              <w:jc w:val="center"/>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违法生产监控化学品的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6FF25867">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【行政法规】《中华人民共和国监控化学品管理条例》第二十一条：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违反本条例规定，生产监控化学品的，由省、自治区、直辖市人民政府化学工业主管部门责令限期改正；逾期不改正的，可以处</w:t>
            </w:r>
            <w:r>
              <w:rPr>
                <w:rFonts w:ascii="Times New Roman" w:hAnsi="Times New Roman" w:eastAsia="宋体"/>
                <w:color w:val="000000"/>
                <w:kern w:val="0"/>
                <w:sz w:val="21"/>
                <w:szCs w:val="21"/>
              </w:rPr>
              <w:t>20</w:t>
            </w:r>
            <w:r>
              <w:rPr>
                <w:rFonts w:ascii="Times New Roman" w:hAnsi="Times New Roman" w:eastAsia="方正仿宋_GBK"/>
                <w:color w:val="000000"/>
                <w:kern w:val="0"/>
                <w:sz w:val="21"/>
                <w:szCs w:val="21"/>
              </w:rPr>
              <w:t>万元以下的罚款；情节严重的，可以提请省、自治区、直辖市人民政府责令停产整顿。</w:t>
            </w:r>
            <w:r>
              <w:rPr>
                <w:rFonts w:ascii="Times New Roman" w:hAnsi="Times New Roman" w:eastAsia="宋体"/>
                <w:color w:val="000000"/>
                <w:kern w:val="0"/>
                <w:sz w:val="21"/>
                <w:szCs w:val="21"/>
              </w:rPr>
              <w:t>”</w:t>
            </w:r>
            <w:r>
              <w:rPr>
                <w:rFonts w:ascii="Times New Roman" w:hAnsi="Times New Roman" w:eastAsia="宋体"/>
                <w:color w:val="000000"/>
                <w:kern w:val="0"/>
                <w:sz w:val="21"/>
                <w:szCs w:val="21"/>
              </w:rPr>
              <w:br w:type="textWrapping"/>
            </w:r>
          </w:p>
          <w:p w14:paraId="4BD511FE">
            <w:pPr>
              <w:widowControl/>
              <w:spacing w:line="240" w:lineRule="exact"/>
              <w:jc w:val="lef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实施细则》第五条</w:t>
            </w:r>
            <w:r>
              <w:rPr>
                <w:rFonts w:hint="eastAsia" w:ascii="Times New Roman" w:hAnsi="Times New Roman" w:eastAsia="方正仿宋_GBK"/>
                <w:color w:val="000000"/>
                <w:kern w:val="0"/>
                <w:sz w:val="21"/>
                <w:szCs w:val="21"/>
              </w:rPr>
              <w:t>：“国家严格控制第一类监控化学品的生产。</w:t>
            </w:r>
          </w:p>
          <w:p w14:paraId="3AAE019D">
            <w:pPr>
              <w:widowControl/>
              <w:spacing w:line="240" w:lineRule="exact"/>
              <w:jc w:val="lef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为科研、医疗、制造药物或者防护目的需要生产第一类监控化学品的，应当报工业和信息化部批准，并在工业和信息化部指定的小型设施中生产。</w:t>
            </w:r>
          </w:p>
          <w:p w14:paraId="3C3CE360">
            <w:pPr>
              <w:widowControl/>
              <w:spacing w:line="240" w:lineRule="exact"/>
              <w:jc w:val="left"/>
              <w:rPr>
                <w:rFonts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严禁在未经工业和信息化部指定的设施中生产第一类监控化学品。”</w:t>
            </w:r>
          </w:p>
          <w:p w14:paraId="613D13D6">
            <w:pPr>
              <w:widowControl/>
              <w:spacing w:line="240" w:lineRule="exact"/>
              <w:jc w:val="lef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第九条</w:t>
            </w:r>
            <w:r>
              <w:rPr>
                <w:rFonts w:hint="eastAsia" w:ascii="Times New Roman" w:hAnsi="Times New Roman" w:eastAsia="方正仿宋_GBK"/>
                <w:color w:val="000000"/>
                <w:kern w:val="0"/>
                <w:sz w:val="21"/>
                <w:szCs w:val="21"/>
              </w:rPr>
              <w:t>：“国家对第二类、第三类监控化学品和第四类监控化学品中含磷、硫、氟的特定有机化学品的生产，实行特别许可制度。”</w:t>
            </w:r>
          </w:p>
          <w:p w14:paraId="55AE60DF">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第四十六条：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五条、第九条的规定，未经批准，生产第一类、第二类、第三类监控化学品或者第四类监控化学品中含磷、硫、氟的特定有机化学品的，按照《中华人民共和国监控化学品管理条例》第二十一条的规定处罚。</w:t>
            </w:r>
            <w:r>
              <w:rPr>
                <w:rFonts w:ascii="Times New Roman" w:hAnsi="Times New Roman" w:eastAsia="宋体"/>
                <w:color w:val="000000"/>
                <w:kern w:val="0"/>
                <w:sz w:val="21"/>
                <w:szCs w:val="21"/>
              </w:rPr>
              <w:t>”</w:t>
            </w:r>
          </w:p>
          <w:p w14:paraId="3878BF2A">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第四十九条：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监控化学品生产特别许可证、经营许可证、使用许可证有效期届满，未办理延期手续仍继续生产、经营、使用的，按照《中华人民共和国监控化学品管理条例》第二十一条、第二十二条、第二十三条的规定处罚。</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27B557A2">
            <w:pPr>
              <w:widowControl/>
              <w:spacing w:line="240" w:lineRule="exact"/>
              <w:rPr>
                <w:rFonts w:hint="eastAsia"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未经批准，生产第四类监控化学品中含磷、硫、氟的特定有机化学品的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03833B8D">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责令限期改正；逾期不改正的，处3万元以下罚款，情节严重的，可以提请省人民政府责令停产整顿</w:t>
            </w:r>
          </w:p>
        </w:tc>
      </w:tr>
      <w:tr w14:paraId="16AA6EF8">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63D68AF">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1242A75">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D675B38">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503D67F6">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未经批准，生产第三类监控化学品的，生产量未达到或未超过《禁止化学武器公约》规定的宣布阈值的</w:t>
            </w:r>
          </w:p>
        </w:tc>
        <w:tc>
          <w:tcPr>
            <w:tcW w:w="2894" w:type="dxa"/>
            <w:tcBorders>
              <w:top w:val="nil"/>
              <w:left w:val="nil"/>
              <w:bottom w:val="single" w:color="auto" w:sz="4" w:space="0"/>
              <w:right w:val="single" w:color="auto" w:sz="4" w:space="0"/>
            </w:tcBorders>
            <w:shd w:val="clear" w:color="auto" w:fill="auto"/>
            <w:noWrap w:val="0"/>
            <w:vAlign w:val="center"/>
          </w:tcPr>
          <w:p w14:paraId="4B6564FD">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万元以下罚款，情节严重的，可以提请省人民政府责令停产整顿</w:t>
            </w:r>
          </w:p>
        </w:tc>
      </w:tr>
      <w:tr w14:paraId="5D34F3FB">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0FEAF12">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12BE4D1">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B142971">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7E356A44">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未经批准，生产第三类监控化学品的，生产量达到或超过《禁止化学武器公约》规定的宣布阈值但未达到或未超过《禁止化学武器公约》规定的核查阈值的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579AD543">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8</w:t>
            </w:r>
            <w:r>
              <w:rPr>
                <w:rFonts w:ascii="Times New Roman" w:hAnsi="Times New Roman" w:eastAsia="方正仿宋_GBK"/>
                <w:color w:val="000000"/>
                <w:kern w:val="0"/>
                <w:sz w:val="21"/>
                <w:szCs w:val="21"/>
              </w:rPr>
              <w:t>万元以下罚款，情节严重的，可以提请省人民政府责令停产整顿</w:t>
            </w:r>
          </w:p>
        </w:tc>
      </w:tr>
      <w:tr w14:paraId="1A521AD8">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1791890">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C0220EA">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8D04C89">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0F45C770">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未经批准，生产第三类监控化学品的，生产量达到或超过《禁止化学武器公约》规定的核查阈值的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2DCD858D">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8</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10</w:t>
            </w:r>
            <w:r>
              <w:rPr>
                <w:rFonts w:ascii="Times New Roman" w:hAnsi="Times New Roman" w:eastAsia="方正仿宋_GBK"/>
                <w:color w:val="000000"/>
                <w:kern w:val="0"/>
                <w:sz w:val="21"/>
                <w:szCs w:val="21"/>
              </w:rPr>
              <w:t>万元以下罚款，情节严重的，可以提请省人民政府责令停产整顿</w:t>
            </w:r>
          </w:p>
        </w:tc>
      </w:tr>
      <w:tr w14:paraId="7B60B605">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BD9AFCC">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0F271C6">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32EA8BA">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1C175425">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未经批准，生产第二类监控化学品的，生产量未达到或未超过《禁止化学武器公约》规定的宣布阈值的</w:t>
            </w:r>
          </w:p>
        </w:tc>
        <w:tc>
          <w:tcPr>
            <w:tcW w:w="2894" w:type="dxa"/>
            <w:tcBorders>
              <w:top w:val="nil"/>
              <w:left w:val="nil"/>
              <w:bottom w:val="single" w:color="auto" w:sz="4" w:space="0"/>
              <w:right w:val="single" w:color="auto" w:sz="4" w:space="0"/>
            </w:tcBorders>
            <w:shd w:val="clear" w:color="auto" w:fill="auto"/>
            <w:noWrap w:val="0"/>
            <w:vAlign w:val="center"/>
          </w:tcPr>
          <w:p w14:paraId="1F02266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10</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15</w:t>
            </w:r>
            <w:r>
              <w:rPr>
                <w:rFonts w:ascii="Times New Roman" w:hAnsi="Times New Roman" w:eastAsia="方正仿宋_GBK"/>
                <w:color w:val="000000"/>
                <w:kern w:val="0"/>
                <w:sz w:val="21"/>
                <w:szCs w:val="21"/>
              </w:rPr>
              <w:t>万元以下罚款，情节严重的，可以提请省人民政府责令停产整顿</w:t>
            </w:r>
          </w:p>
        </w:tc>
      </w:tr>
      <w:tr w14:paraId="4E467EC6">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952D01F">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A554977">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E083119">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4BDB21C6">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未经批准，生产第二类监控化学品的，生产量达到或超过《禁止化学武器公约》规定的宣布阈值但未达到或未超过《禁止化学武器公约》规定的核查阈值的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2B4DDEB4">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15</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18</w:t>
            </w:r>
            <w:r>
              <w:rPr>
                <w:rFonts w:ascii="Times New Roman" w:hAnsi="Times New Roman" w:eastAsia="方正仿宋_GBK"/>
                <w:color w:val="000000"/>
                <w:kern w:val="0"/>
                <w:sz w:val="21"/>
                <w:szCs w:val="21"/>
              </w:rPr>
              <w:t>万元以下罚款，情节严重的，可以提请省人民政府责令停产整顿</w:t>
            </w:r>
          </w:p>
        </w:tc>
      </w:tr>
      <w:tr w14:paraId="163FF5A5">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77037E4">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CE04B15">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8895ECB">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7D14C1D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未经批准，生产第二类监控化学品的，生产量达到或超过《禁止化学武器公约》规定的核查阈值的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5322474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18</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20</w:t>
            </w:r>
            <w:r>
              <w:rPr>
                <w:rFonts w:ascii="Times New Roman" w:hAnsi="Times New Roman" w:eastAsia="方正仿宋_GBK"/>
                <w:color w:val="000000"/>
                <w:kern w:val="0"/>
                <w:sz w:val="21"/>
                <w:szCs w:val="21"/>
              </w:rPr>
              <w:t>万元以下罚款，情节严重的，可以提请省人民政府责令停产整顿</w:t>
            </w:r>
          </w:p>
        </w:tc>
      </w:tr>
      <w:tr w14:paraId="735CB5E2">
        <w:tblPrEx>
          <w:tblCellMar>
            <w:top w:w="0" w:type="dxa"/>
            <w:left w:w="108" w:type="dxa"/>
            <w:bottom w:w="0" w:type="dxa"/>
            <w:right w:w="108" w:type="dxa"/>
          </w:tblCellMar>
        </w:tblPrEx>
        <w:trPr>
          <w:trHeight w:val="31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3B3332B">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6CD6B90">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4F4DEE7">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7A746A1F">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未经批准，生产第一类监控化学品的</w:t>
            </w:r>
          </w:p>
        </w:tc>
        <w:tc>
          <w:tcPr>
            <w:tcW w:w="2894" w:type="dxa"/>
            <w:tcBorders>
              <w:top w:val="nil"/>
              <w:left w:val="nil"/>
              <w:bottom w:val="single" w:color="auto" w:sz="4" w:space="0"/>
              <w:right w:val="single" w:color="auto" w:sz="4" w:space="0"/>
            </w:tcBorders>
            <w:shd w:val="clear" w:color="auto" w:fill="auto"/>
            <w:noWrap w:val="0"/>
            <w:vAlign w:val="center"/>
          </w:tcPr>
          <w:p w14:paraId="266A10F9">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18</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20</w:t>
            </w:r>
            <w:r>
              <w:rPr>
                <w:rFonts w:ascii="Times New Roman" w:hAnsi="Times New Roman" w:eastAsia="方正仿宋_GBK"/>
                <w:color w:val="000000"/>
                <w:kern w:val="0"/>
                <w:sz w:val="21"/>
                <w:szCs w:val="21"/>
              </w:rPr>
              <w:t>万元以下罚款，提请省人民政府责令停产整顿</w:t>
            </w:r>
          </w:p>
        </w:tc>
      </w:tr>
      <w:tr w14:paraId="12F436D2">
        <w:tblPrEx>
          <w:tblCellMar>
            <w:top w:w="0" w:type="dxa"/>
            <w:left w:w="108" w:type="dxa"/>
            <w:bottom w:w="0" w:type="dxa"/>
            <w:right w:w="108" w:type="dxa"/>
          </w:tblCellMar>
        </w:tblPrEx>
        <w:trPr>
          <w:trHeight w:val="91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45C79AA7">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2</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19D79873">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违法使用监控化学品的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697CEF3D">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【行政法规】《中华人民共和国监控化学品管理条例》第二十二条：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违反本条例规定，使用监控化学品的，由省、自治区、直辖市人民政府化学工业主管部门责令限期改正；逾期不改正的，可以处</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万元以下的罚款。</w:t>
            </w:r>
            <w:r>
              <w:rPr>
                <w:rFonts w:ascii="Times New Roman" w:hAnsi="Times New Roman" w:eastAsia="宋体"/>
                <w:color w:val="000000"/>
                <w:kern w:val="0"/>
                <w:sz w:val="21"/>
                <w:szCs w:val="21"/>
              </w:rPr>
              <w:t>”</w:t>
            </w:r>
          </w:p>
          <w:p w14:paraId="1333EF95">
            <w:pPr>
              <w:widowControl/>
              <w:spacing w:line="240" w:lineRule="exact"/>
              <w:jc w:val="left"/>
              <w:rPr>
                <w:rFonts w:ascii="Times New Roman" w:hAnsi="Times New Roman" w:eastAsia="宋体"/>
                <w:color w:val="000000"/>
                <w:kern w:val="0"/>
                <w:sz w:val="21"/>
                <w:szCs w:val="21"/>
              </w:rPr>
            </w:pPr>
          </w:p>
          <w:p w14:paraId="64B20BC7">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实施细则》第十七条：“</w:t>
            </w:r>
            <w:r>
              <w:rPr>
                <w:rFonts w:hint="eastAsia" w:ascii="Times New Roman" w:hAnsi="Times New Roman" w:eastAsia="方正仿宋_GBK"/>
                <w:color w:val="000000"/>
                <w:kern w:val="0"/>
                <w:sz w:val="21"/>
                <w:szCs w:val="21"/>
              </w:rPr>
              <w:t>国家对第二类监控化学品的经营、第一类和第二类监控化学品的使用，实行许可制度。</w:t>
            </w:r>
            <w:r>
              <w:rPr>
                <w:rFonts w:ascii="Times New Roman" w:hAnsi="Times New Roman" w:eastAsia="方正仿宋_GBK"/>
                <w:color w:val="000000"/>
                <w:kern w:val="0"/>
                <w:sz w:val="21"/>
                <w:szCs w:val="21"/>
              </w:rPr>
              <w:t>”</w:t>
            </w:r>
          </w:p>
          <w:p w14:paraId="54C54A89">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第四十九条：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监控化学品生产特别许可证、经营许可证、使用许可证有效期届满，未办理延期手续仍继续生产、经营、使用的，按照《中华人民共和国监控化学品管理条例》第二十一条、第二十二条、第二十三条的规定处罚。</w:t>
            </w:r>
            <w:r>
              <w:rPr>
                <w:rFonts w:ascii="Times New Roman" w:hAnsi="Times New Roman" w:eastAsia="宋体"/>
                <w:color w:val="000000"/>
                <w:kern w:val="0"/>
                <w:sz w:val="21"/>
                <w:szCs w:val="21"/>
              </w:rPr>
              <w:t>”</w:t>
            </w:r>
          </w:p>
          <w:p w14:paraId="5D95ABCA">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第五十一条：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违反本细则第十七条的规定，未经批准经营、使用第二类监控化学品的，按照《中华人民共和国监控化学品管理条例》第二十二条、第二十三条的规定处罚。</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20148B5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未经批准，使用第二类监控化学品，其第二类监控化学品使用量未达到或未超过《禁止化学武器公约》规定的</w:t>
            </w:r>
            <w:r>
              <w:rPr>
                <w:rFonts w:hint="eastAsia" w:ascii="Times New Roman" w:hAnsi="Times New Roman" w:eastAsia="方正仿宋_GBK"/>
                <w:color w:val="000000"/>
                <w:kern w:val="0"/>
                <w:sz w:val="21"/>
                <w:szCs w:val="21"/>
              </w:rPr>
              <w:t>宣布</w:t>
            </w:r>
            <w:r>
              <w:rPr>
                <w:rFonts w:ascii="Times New Roman" w:hAnsi="Times New Roman" w:eastAsia="方正仿宋_GBK"/>
                <w:color w:val="000000"/>
                <w:kern w:val="0"/>
                <w:sz w:val="21"/>
                <w:szCs w:val="21"/>
              </w:rPr>
              <w:t>阈值的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5ACAB8B0">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hint="eastAsia" w:ascii="Times New Roman" w:hAnsi="Times New Roman" w:eastAsia="方正仿宋_GBK"/>
                <w:color w:val="000000"/>
                <w:kern w:val="0"/>
                <w:sz w:val="21"/>
                <w:szCs w:val="21"/>
              </w:rPr>
              <w:t>1万元以下</w:t>
            </w:r>
            <w:r>
              <w:rPr>
                <w:rFonts w:ascii="Times New Roman" w:hAnsi="Times New Roman" w:eastAsia="方正仿宋_GBK"/>
                <w:color w:val="000000"/>
                <w:kern w:val="0"/>
                <w:sz w:val="21"/>
                <w:szCs w:val="21"/>
              </w:rPr>
              <w:t>的罚款</w:t>
            </w:r>
          </w:p>
        </w:tc>
      </w:tr>
      <w:tr w14:paraId="3F873A31">
        <w:tblPrEx>
          <w:tblCellMar>
            <w:top w:w="0" w:type="dxa"/>
            <w:left w:w="108" w:type="dxa"/>
            <w:bottom w:w="0" w:type="dxa"/>
            <w:right w:w="108" w:type="dxa"/>
          </w:tblCellMar>
        </w:tblPrEx>
        <w:trPr>
          <w:trHeight w:val="12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FFC8CD4">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7DF4E5E">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35894D1">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04EA0E82">
            <w:pPr>
              <w:widowControl/>
              <w:spacing w:line="240" w:lineRule="exac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未经批准，使用第二类监控化学品，其第二类监控化学品使用量达到或超过《禁止化学武器公约》规定的</w:t>
            </w:r>
            <w:r>
              <w:rPr>
                <w:rFonts w:hint="eastAsia" w:ascii="Times New Roman" w:hAnsi="Times New Roman" w:eastAsia="方正仿宋_GBK"/>
                <w:color w:val="000000"/>
                <w:kern w:val="0"/>
                <w:sz w:val="21"/>
                <w:szCs w:val="21"/>
              </w:rPr>
              <w:t>宣布</w:t>
            </w:r>
            <w:r>
              <w:rPr>
                <w:rFonts w:ascii="Times New Roman" w:hAnsi="Times New Roman" w:eastAsia="方正仿宋_GBK"/>
                <w:color w:val="000000"/>
                <w:kern w:val="0"/>
                <w:sz w:val="21"/>
                <w:szCs w:val="21"/>
              </w:rPr>
              <w:t>阈值但未达到或未超过《禁止化学武器公约》规定的核查阈值的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47059D3E">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1</w:t>
            </w:r>
            <w:r>
              <w:rPr>
                <w:rFonts w:hint="eastAsia" w:ascii="方正仿宋_GBK" w:hAnsi="Times New Roman" w:eastAsia="方正仿宋_GBK"/>
                <w:color w:val="000000"/>
                <w:kern w:val="0"/>
                <w:sz w:val="21"/>
                <w:szCs w:val="21"/>
              </w:rPr>
              <w:t>万</w:t>
            </w:r>
            <w:r>
              <w:rPr>
                <w:rFonts w:ascii="Times New Roman" w:hAnsi="Times New Roman" w:eastAsia="方正仿宋_GBK"/>
                <w:color w:val="000000"/>
                <w:kern w:val="0"/>
                <w:sz w:val="21"/>
                <w:szCs w:val="21"/>
              </w:rPr>
              <w:t>元以</w:t>
            </w:r>
            <w:r>
              <w:rPr>
                <w:rFonts w:hint="eastAsia" w:ascii="Times New Roman" w:hAnsi="Times New Roman" w:eastAsia="方正仿宋_GBK"/>
                <w:color w:val="000000"/>
                <w:kern w:val="0"/>
                <w:sz w:val="21"/>
                <w:szCs w:val="21"/>
              </w:rPr>
              <w:t>上</w:t>
            </w:r>
            <w:r>
              <w:rPr>
                <w:rFonts w:ascii="Times New Roman" w:hAnsi="Times New Roman" w:eastAsia="方正仿宋_GBK"/>
                <w:color w:val="000000"/>
                <w:kern w:val="0"/>
                <w:sz w:val="21"/>
                <w:szCs w:val="21"/>
              </w:rPr>
              <w:t>3</w:t>
            </w:r>
            <w:r>
              <w:rPr>
                <w:rFonts w:hint="eastAsia" w:ascii="Times New Roman" w:hAnsi="Times New Roman" w:eastAsia="方正仿宋_GBK"/>
                <w:color w:val="000000"/>
                <w:kern w:val="0"/>
                <w:sz w:val="21"/>
                <w:szCs w:val="21"/>
              </w:rPr>
              <w:t>万元以下</w:t>
            </w:r>
            <w:r>
              <w:rPr>
                <w:rFonts w:ascii="Times New Roman" w:hAnsi="Times New Roman" w:eastAsia="方正仿宋_GBK"/>
                <w:color w:val="000000"/>
                <w:kern w:val="0"/>
                <w:sz w:val="21"/>
                <w:szCs w:val="21"/>
              </w:rPr>
              <w:t>的罚款</w:t>
            </w:r>
          </w:p>
        </w:tc>
      </w:tr>
      <w:tr w14:paraId="58DECF88">
        <w:tblPrEx>
          <w:tblCellMar>
            <w:top w:w="0" w:type="dxa"/>
            <w:left w:w="108" w:type="dxa"/>
            <w:bottom w:w="0" w:type="dxa"/>
            <w:right w:w="108" w:type="dxa"/>
          </w:tblCellMar>
        </w:tblPrEx>
        <w:trPr>
          <w:trHeight w:val="90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D092150">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F46078A">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A37F251">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3105796A">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未经批准，使用第二类监控化学品，其第二类监控化学品使用量达到或超过《禁止化学武器公约》规定的核查阈值的</w:t>
            </w:r>
          </w:p>
        </w:tc>
        <w:tc>
          <w:tcPr>
            <w:tcW w:w="2894" w:type="dxa"/>
            <w:tcBorders>
              <w:top w:val="nil"/>
              <w:left w:val="nil"/>
              <w:bottom w:val="single" w:color="auto" w:sz="4" w:space="0"/>
              <w:right w:val="single" w:color="auto" w:sz="4" w:space="0"/>
            </w:tcBorders>
            <w:shd w:val="clear" w:color="auto" w:fill="auto"/>
            <w:noWrap w:val="0"/>
            <w:vAlign w:val="center"/>
          </w:tcPr>
          <w:p w14:paraId="7ED2E14A">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责令限期改正；逾期不改正的，处</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万元以下的罚款</w:t>
            </w:r>
          </w:p>
        </w:tc>
      </w:tr>
      <w:tr w14:paraId="00E01217">
        <w:tblPrEx>
          <w:tblCellMar>
            <w:top w:w="0" w:type="dxa"/>
            <w:left w:w="108" w:type="dxa"/>
            <w:bottom w:w="0" w:type="dxa"/>
            <w:right w:w="108" w:type="dxa"/>
          </w:tblCellMar>
        </w:tblPrEx>
        <w:trPr>
          <w:trHeight w:val="66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7BA215C7">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3</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04439215">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违法经营第二类监控化学品的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50895896">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【行政法规】《中华人民共和国监控化学品管理条例》第二十三条：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违反本条例规定，经营监控化学品的，由省、自治区、直辖市人民政府化学工业主管部门没收其违法经营的监控化学品和违法所得，可以并处违法经营额一倍以上二倍以下的罚款。</w:t>
            </w:r>
            <w:r>
              <w:rPr>
                <w:rFonts w:ascii="Times New Roman" w:hAnsi="Times New Roman" w:eastAsia="宋体"/>
                <w:color w:val="000000"/>
                <w:kern w:val="0"/>
                <w:sz w:val="21"/>
                <w:szCs w:val="21"/>
              </w:rPr>
              <w:t>”</w:t>
            </w:r>
          </w:p>
          <w:p w14:paraId="6A4E9A0F">
            <w:pPr>
              <w:widowControl/>
              <w:spacing w:line="240" w:lineRule="exact"/>
              <w:jc w:val="left"/>
              <w:rPr>
                <w:rFonts w:ascii="Times New Roman" w:hAnsi="Times New Roman" w:eastAsia="宋体"/>
                <w:color w:val="000000"/>
                <w:kern w:val="0"/>
                <w:sz w:val="21"/>
                <w:szCs w:val="21"/>
              </w:rPr>
            </w:pPr>
          </w:p>
          <w:p w14:paraId="3513D35F">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实施细则》第十七条：“</w:t>
            </w:r>
            <w:r>
              <w:rPr>
                <w:rFonts w:hint="eastAsia" w:ascii="Times New Roman" w:hAnsi="Times New Roman" w:eastAsia="方正仿宋_GBK"/>
                <w:color w:val="000000"/>
                <w:kern w:val="0"/>
                <w:sz w:val="21"/>
                <w:szCs w:val="21"/>
              </w:rPr>
              <w:t>国家对第二类监控化学品的经营、第一类和第二类监控化学品的使用，实行许可制度。</w:t>
            </w:r>
            <w:r>
              <w:rPr>
                <w:rFonts w:ascii="Times New Roman" w:hAnsi="Times New Roman" w:eastAsia="方正仿宋_GBK"/>
                <w:color w:val="000000"/>
                <w:kern w:val="0"/>
                <w:sz w:val="21"/>
                <w:szCs w:val="21"/>
              </w:rPr>
              <w:t>”</w:t>
            </w:r>
          </w:p>
          <w:p w14:paraId="22044DE7">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第四十九条：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监控化学品生产特别许可证、经营许可证、使用许可证有效期届满，未办理延期手续仍继续生产、经营、使用的，按照《中华人民共和国监控化学品管理条例》第二十一条、第二十二条、第二十三条的规定处罚。</w:t>
            </w:r>
            <w:r>
              <w:rPr>
                <w:rFonts w:ascii="Times New Roman" w:hAnsi="Times New Roman" w:eastAsia="宋体"/>
                <w:color w:val="000000"/>
                <w:kern w:val="0"/>
                <w:sz w:val="21"/>
                <w:szCs w:val="21"/>
              </w:rPr>
              <w:t>”</w:t>
            </w:r>
          </w:p>
          <w:p w14:paraId="168EECC4">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第五十一条：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违反本细则第十七条的规定，未经批准经营、使用第二类监控化学品的，按照《中华人民共和国监控化学品管理条例》第二十二条、第二十三条的规定处罚。</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71509CA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违法所得（含初次违法的金额）在</w:t>
            </w:r>
            <w:r>
              <w:rPr>
                <w:rFonts w:ascii="Times New Roman" w:hAnsi="Times New Roman" w:eastAsia="宋体"/>
                <w:color w:val="000000"/>
                <w:kern w:val="0"/>
                <w:sz w:val="21"/>
                <w:szCs w:val="21"/>
              </w:rPr>
              <w:t>10</w:t>
            </w:r>
            <w:r>
              <w:rPr>
                <w:rFonts w:ascii="Times New Roman" w:hAnsi="Times New Roman" w:eastAsia="方正仿宋_GBK"/>
                <w:color w:val="000000"/>
                <w:kern w:val="0"/>
                <w:sz w:val="21"/>
                <w:szCs w:val="21"/>
              </w:rPr>
              <w:t>万元以下的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46763CB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没收其违法经营的监控化学品和违法所得</w:t>
            </w:r>
          </w:p>
        </w:tc>
      </w:tr>
      <w:tr w14:paraId="253E18AA">
        <w:tblPrEx>
          <w:tblCellMar>
            <w:top w:w="0" w:type="dxa"/>
            <w:left w:w="108" w:type="dxa"/>
            <w:bottom w:w="0" w:type="dxa"/>
            <w:right w:w="108" w:type="dxa"/>
          </w:tblCellMar>
        </w:tblPrEx>
        <w:trPr>
          <w:trHeight w:val="90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6D5161C">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AE5E2A0">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1721130">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31B0935E">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违法所得（含初次违法的金额）在</w:t>
            </w:r>
            <w:r>
              <w:rPr>
                <w:rFonts w:ascii="Times New Roman" w:hAnsi="Times New Roman" w:eastAsia="宋体"/>
                <w:color w:val="000000"/>
                <w:kern w:val="0"/>
                <w:sz w:val="21"/>
                <w:szCs w:val="21"/>
              </w:rPr>
              <w:t>10</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20</w:t>
            </w:r>
            <w:r>
              <w:rPr>
                <w:rFonts w:ascii="Times New Roman" w:hAnsi="Times New Roman" w:eastAsia="方正仿宋_GBK"/>
                <w:color w:val="000000"/>
                <w:kern w:val="0"/>
                <w:sz w:val="21"/>
                <w:szCs w:val="21"/>
              </w:rPr>
              <w:t>万元以下的</w:t>
            </w:r>
          </w:p>
        </w:tc>
        <w:tc>
          <w:tcPr>
            <w:tcW w:w="2894" w:type="dxa"/>
            <w:tcBorders>
              <w:top w:val="nil"/>
              <w:left w:val="nil"/>
              <w:bottom w:val="single" w:color="auto" w:sz="4" w:space="0"/>
              <w:right w:val="single" w:color="auto" w:sz="4" w:space="0"/>
            </w:tcBorders>
            <w:shd w:val="clear" w:color="auto" w:fill="auto"/>
            <w:noWrap w:val="0"/>
            <w:vAlign w:val="center"/>
          </w:tcPr>
          <w:p w14:paraId="62BCFA6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没收其违法经营的监控化学品和违法所得，处违法经营额</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倍的罚款</w:t>
            </w:r>
          </w:p>
        </w:tc>
      </w:tr>
      <w:tr w14:paraId="2A55AFB7">
        <w:tblPrEx>
          <w:tblCellMar>
            <w:top w:w="0" w:type="dxa"/>
            <w:left w:w="108" w:type="dxa"/>
            <w:bottom w:w="0" w:type="dxa"/>
            <w:right w:w="108" w:type="dxa"/>
          </w:tblCellMar>
        </w:tblPrEx>
        <w:trPr>
          <w:trHeight w:val="89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3AE1409">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BDFF68E">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5270825">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78CE9B83">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违法所得（含初次违法的金额）在</w:t>
            </w:r>
            <w:r>
              <w:rPr>
                <w:rFonts w:ascii="Times New Roman" w:hAnsi="Times New Roman" w:eastAsia="宋体"/>
                <w:color w:val="000000"/>
                <w:kern w:val="0"/>
                <w:sz w:val="21"/>
                <w:szCs w:val="21"/>
              </w:rPr>
              <w:t>20</w:t>
            </w:r>
            <w:r>
              <w:rPr>
                <w:rFonts w:ascii="Times New Roman" w:hAnsi="Times New Roman" w:eastAsia="方正仿宋_GBK"/>
                <w:color w:val="000000"/>
                <w:kern w:val="0"/>
                <w:sz w:val="21"/>
                <w:szCs w:val="21"/>
              </w:rPr>
              <w:t>万元以上的</w:t>
            </w:r>
          </w:p>
        </w:tc>
        <w:tc>
          <w:tcPr>
            <w:tcW w:w="2894" w:type="dxa"/>
            <w:tcBorders>
              <w:top w:val="nil"/>
              <w:left w:val="nil"/>
              <w:bottom w:val="single" w:color="auto" w:sz="4" w:space="0"/>
              <w:right w:val="single" w:color="auto" w:sz="4" w:space="0"/>
            </w:tcBorders>
            <w:shd w:val="clear" w:color="auto" w:fill="auto"/>
            <w:noWrap w:val="0"/>
            <w:vAlign w:val="center"/>
          </w:tcPr>
          <w:p w14:paraId="29899B5D">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没收其违法经营的监控化学品和违法所得，处违法经营额</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倍的罚款</w:t>
            </w:r>
          </w:p>
        </w:tc>
      </w:tr>
      <w:tr w14:paraId="3D9B97DB">
        <w:tblPrEx>
          <w:tblCellMar>
            <w:top w:w="0" w:type="dxa"/>
            <w:left w:w="108" w:type="dxa"/>
            <w:bottom w:w="0" w:type="dxa"/>
            <w:right w:w="108" w:type="dxa"/>
          </w:tblCellMar>
        </w:tblPrEx>
        <w:trPr>
          <w:trHeight w:val="50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6B1083C">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4</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0984A417">
            <w:pPr>
              <w:widowControl/>
              <w:spacing w:line="240" w:lineRule="exact"/>
              <w:jc w:val="left"/>
              <w:rPr>
                <w:rFonts w:hint="eastAsia" w:ascii="Times New Roman" w:hAnsi="Times New Roman" w:eastAsia="宋体"/>
                <w:color w:val="000000"/>
                <w:kern w:val="0"/>
                <w:sz w:val="21"/>
                <w:szCs w:val="21"/>
              </w:rPr>
            </w:pPr>
            <w:r>
              <w:rPr>
                <w:rFonts w:hint="eastAsia" w:ascii="Times New Roman" w:hAnsi="Times New Roman" w:eastAsia="方正仿宋_GBK"/>
                <w:color w:val="000000"/>
                <w:kern w:val="0"/>
                <w:sz w:val="21"/>
                <w:szCs w:val="21"/>
              </w:rPr>
              <w:t>隐瞒</w:t>
            </w:r>
            <w:r>
              <w:rPr>
                <w:rFonts w:ascii="Times New Roman" w:hAnsi="Times New Roman" w:eastAsia="方正仿宋_GBK"/>
                <w:color w:val="000000"/>
                <w:kern w:val="0"/>
                <w:sz w:val="21"/>
                <w:szCs w:val="21"/>
              </w:rPr>
              <w:t>、拒报有关监控化学品的资料、数据，或者妨碍、阻挠化学工业主管部门依照条例规定履行检查监督职责的</w:t>
            </w:r>
          </w:p>
        </w:tc>
        <w:tc>
          <w:tcPr>
            <w:tcW w:w="5103" w:type="dxa"/>
            <w:tcBorders>
              <w:top w:val="nil"/>
              <w:left w:val="single" w:color="auto" w:sz="4" w:space="0"/>
              <w:bottom w:val="single" w:color="auto" w:sz="4" w:space="0"/>
              <w:right w:val="single" w:color="auto" w:sz="4" w:space="0"/>
            </w:tcBorders>
            <w:shd w:val="clear" w:color="auto" w:fill="auto"/>
            <w:noWrap w:val="0"/>
            <w:vAlign w:val="center"/>
          </w:tcPr>
          <w:p w14:paraId="7B1D70F1">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【行政法规】《中华人民共和国监控化学品管理条例》第二十四条：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违反本条例规定，隐瞒、拒报有关监控化学品的资料、数据，或者妨碍、阻挠化学工业主管部门依照本条例的规定履行检查监督职责的，由省、自治区、直辖市人民政府化学工业主管部门处以</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万元以下的罚款。</w:t>
            </w:r>
            <w:r>
              <w:rPr>
                <w:rFonts w:ascii="Times New Roman" w:hAnsi="Times New Roman" w:eastAsia="宋体"/>
                <w:color w:val="000000"/>
                <w:kern w:val="0"/>
                <w:sz w:val="21"/>
                <w:szCs w:val="21"/>
              </w:rPr>
              <w:t>”</w:t>
            </w:r>
          </w:p>
          <w:p w14:paraId="241B317B">
            <w:pPr>
              <w:widowControl/>
              <w:spacing w:line="240" w:lineRule="exact"/>
              <w:jc w:val="left"/>
              <w:rPr>
                <w:rFonts w:ascii="Times New Roman" w:hAnsi="Times New Roman" w:eastAsia="方正仿宋_GBK"/>
                <w:color w:val="000000"/>
                <w:kern w:val="0"/>
                <w:sz w:val="21"/>
                <w:szCs w:val="21"/>
              </w:rPr>
            </w:pPr>
          </w:p>
          <w:p w14:paraId="1FB41485">
            <w:pPr>
              <w:widowControl/>
              <w:spacing w:line="240" w:lineRule="exact"/>
              <w:jc w:val="lef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实施细则》第三十</w:t>
            </w:r>
            <w:r>
              <w:rPr>
                <w:rFonts w:hint="eastAsia" w:ascii="Times New Roman" w:hAnsi="Times New Roman" w:eastAsia="方正仿宋_GBK"/>
                <w:color w:val="000000"/>
                <w:kern w:val="0"/>
                <w:sz w:val="21"/>
                <w:szCs w:val="21"/>
              </w:rPr>
              <w:t>八</w:t>
            </w:r>
            <w:r>
              <w:rPr>
                <w:rFonts w:ascii="Times New Roman" w:hAnsi="Times New Roman" w:eastAsia="方正仿宋_GBK"/>
                <w:color w:val="000000"/>
                <w:kern w:val="0"/>
                <w:sz w:val="21"/>
                <w:szCs w:val="21"/>
              </w:rPr>
              <w:t>条</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生产第四类监控化学品的，应当按时申报关于年度宣布的《全国监控化学品统计报表》。</w:t>
            </w:r>
          </w:p>
          <w:p w14:paraId="2FBEA816">
            <w:pPr>
              <w:widowControl/>
              <w:spacing w:line="240" w:lineRule="exact"/>
              <w:jc w:val="left"/>
              <w:rPr>
                <w:rFonts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生产第四类监控化学品的，应当妥善保存与第四类监控化学品有关的生产记录，保存期限不得少于1年。终止生产经营活动的，应当将与第四类监控化学品生产有关的生产记录移交所在地设区的市级以上地方工业和信息化主管部门或者地方人民政府确定的监控化学品管理部门存档。</w:t>
            </w:r>
            <w:r>
              <w:rPr>
                <w:rFonts w:ascii="Times New Roman" w:hAnsi="Times New Roman" w:eastAsia="方正仿宋_GBK"/>
                <w:color w:val="000000"/>
                <w:kern w:val="0"/>
                <w:sz w:val="21"/>
                <w:szCs w:val="21"/>
              </w:rPr>
              <w:t>”</w:t>
            </w:r>
          </w:p>
          <w:p w14:paraId="323AD00B">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第五十三条：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违反本细则第三十五条、第三十七条至第三十九条的规定申报监控化学品数据，或者拒报、虚报、漏报或者瞒报有关监控化学品数据的，按照《中华人民共和国监控化学品管理条例》第二十四条的规定处罚。</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71696DE2">
            <w:pPr>
              <w:widowControl/>
              <w:spacing w:line="240" w:lineRule="exact"/>
              <w:rPr>
                <w:rFonts w:hint="eastAsia" w:ascii="Times New Roman" w:hAnsi="Times New Roman" w:eastAsia="宋体"/>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实施细则》第三十五条、第三十七条至第三十九条的规定申报第四类监控化学品数据，或者</w:t>
            </w:r>
            <w:r>
              <w:rPr>
                <w:rFonts w:hint="eastAsia" w:ascii="Times New Roman" w:hAnsi="Times New Roman" w:eastAsia="方正仿宋_GBK"/>
                <w:color w:val="000000"/>
                <w:kern w:val="0"/>
                <w:sz w:val="21"/>
                <w:szCs w:val="21"/>
              </w:rPr>
              <w:t>拒报、虚报、漏报、瞒报第四类监控化学品数据的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28381EF8">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万元以下罚款</w:t>
            </w:r>
          </w:p>
        </w:tc>
      </w:tr>
      <w:tr w14:paraId="6633C99B">
        <w:tblPrEx>
          <w:tblCellMar>
            <w:top w:w="0" w:type="dxa"/>
            <w:left w:w="108" w:type="dxa"/>
            <w:bottom w:w="0" w:type="dxa"/>
            <w:right w:w="108" w:type="dxa"/>
          </w:tblCellMar>
        </w:tblPrEx>
        <w:trPr>
          <w:trHeight w:val="4789"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0B0AE05">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6D61F3A">
            <w:pPr>
              <w:widowControl/>
              <w:spacing w:line="240" w:lineRule="exact"/>
              <w:jc w:val="left"/>
              <w:rPr>
                <w:rFonts w:ascii="Times New Roman" w:hAnsi="Times New Roman" w:eastAsia="宋体"/>
                <w:color w:val="000000"/>
                <w:kern w:val="0"/>
                <w:sz w:val="21"/>
                <w:szCs w:val="21"/>
              </w:rPr>
            </w:pPr>
          </w:p>
        </w:tc>
        <w:tc>
          <w:tcPr>
            <w:tcW w:w="5103" w:type="dxa"/>
            <w:vMerge w:val="restart"/>
            <w:tcBorders>
              <w:top w:val="nil"/>
              <w:left w:val="single" w:color="auto" w:sz="4" w:space="0"/>
              <w:right w:val="single" w:color="auto" w:sz="4" w:space="0"/>
            </w:tcBorders>
            <w:shd w:val="clear" w:color="auto" w:fill="auto"/>
            <w:noWrap w:val="0"/>
            <w:vAlign w:val="center"/>
          </w:tcPr>
          <w:p w14:paraId="11F430E0">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【行政法规】《中华人民共和国监控化学品管理条例》第二十四条：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违反本条例规定，隐瞒、拒报有关监控化学品的资料、数据，或者妨碍、阻挠化学工业主管部门依照本条例的规定履行检查监督职责的，由省、自治区、直辖市人民政府化学工业主管部门处以</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万元以下的罚款。</w:t>
            </w:r>
            <w:r>
              <w:rPr>
                <w:rFonts w:ascii="Times New Roman" w:hAnsi="Times New Roman" w:eastAsia="宋体"/>
                <w:color w:val="000000"/>
                <w:kern w:val="0"/>
                <w:sz w:val="21"/>
                <w:szCs w:val="21"/>
              </w:rPr>
              <w:t>”</w:t>
            </w:r>
          </w:p>
          <w:p w14:paraId="6FC5243E">
            <w:pPr>
              <w:widowControl/>
              <w:spacing w:line="240" w:lineRule="exact"/>
              <w:jc w:val="left"/>
              <w:rPr>
                <w:rFonts w:ascii="Times New Roman" w:hAnsi="Times New Roman" w:eastAsia="宋体"/>
                <w:color w:val="000000"/>
                <w:kern w:val="0"/>
                <w:sz w:val="21"/>
                <w:szCs w:val="21"/>
              </w:rPr>
            </w:pPr>
          </w:p>
          <w:p w14:paraId="07F3163F">
            <w:pPr>
              <w:widowControl/>
              <w:spacing w:line="240" w:lineRule="exact"/>
              <w:jc w:val="lef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【部门规章】第三十七条</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生产第二类、第三类监控化学品或者使用第二类监控化学品的，应当按时申报关于年度宣布和预计宣布的《全国监控化学品统计报表》。预计宣布统计报表提交后，预计生产、使用活动超出原宣布计划的，应当在有关活动开始前不少于20个工作日申报关于变更宣布的《全国监控化学品统计报表》。</w:t>
            </w:r>
          </w:p>
          <w:p w14:paraId="708BE019">
            <w:pPr>
              <w:widowControl/>
              <w:spacing w:line="240" w:lineRule="exact"/>
              <w:jc w:val="left"/>
              <w:rPr>
                <w:rFonts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生产、使用第二类监控化学品的，应当妥善保存与第二类监控化学品的生产、使用有关的记录，保存期限不得少于3年。生产第三类监控化学品的，应当妥善保存与第三类监控化学品有关的生产记录，保存期限不得少于1年。终止生产经营活动的，应当将与监控化学品生产、使用有关的记录移交所在地设区的市级以上地方工业和信息化主管部门或者地方人民政府确定的监控化学品管理部门存档。</w:t>
            </w:r>
            <w:r>
              <w:rPr>
                <w:rFonts w:ascii="Times New Roman" w:hAnsi="Times New Roman" w:eastAsia="方正仿宋_GBK"/>
                <w:color w:val="000000"/>
                <w:kern w:val="0"/>
                <w:sz w:val="21"/>
                <w:szCs w:val="21"/>
              </w:rPr>
              <w:t>”</w:t>
            </w:r>
          </w:p>
          <w:p w14:paraId="4F79CE1B">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第三十九条：“</w:t>
            </w:r>
            <w:r>
              <w:rPr>
                <w:rFonts w:hint="eastAsia" w:ascii="Times New Roman" w:hAnsi="Times New Roman" w:eastAsia="方正仿宋_GBK"/>
                <w:color w:val="000000"/>
                <w:kern w:val="0"/>
                <w:sz w:val="21"/>
                <w:szCs w:val="21"/>
              </w:rPr>
              <w:t>从事第一类监控化学品和第二类、第三类监控化学品及其生产技术和专用设备进出口业务的被指定单位，应当按时向工业和信息化部申报年度第一类、第二类和第三类监控化学品进出口数据，并妥善保存与监控化学品进出口活动有关的记录，保存期限不得少于3年。终止进出口活动的，应当将与监控化学品进出口有关的记录移交工业和信息化部存档。</w:t>
            </w:r>
            <w:r>
              <w:rPr>
                <w:rFonts w:ascii="Times New Roman" w:hAnsi="Times New Roman" w:eastAsia="方正仿宋_GBK"/>
                <w:color w:val="000000"/>
                <w:kern w:val="0"/>
                <w:sz w:val="21"/>
                <w:szCs w:val="21"/>
              </w:rPr>
              <w:t>”</w:t>
            </w:r>
          </w:p>
          <w:p w14:paraId="26760C40">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第五十三条：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违反本细则第三十五条、第三十七条至第三十九条的规定申报监控化学品数据，或者拒报、虚报、漏报或者瞒报有关监控化学品数据的，按照《中华人民共和国监控化学品管理条例》第二十四条的规定处罚。</w:t>
            </w:r>
            <w:r>
              <w:rPr>
                <w:rFonts w:ascii="Times New Roman" w:hAnsi="Times New Roman" w:eastAsia="宋体"/>
                <w:color w:val="000000"/>
                <w:kern w:val="0"/>
                <w:sz w:val="21"/>
                <w:szCs w:val="21"/>
              </w:rPr>
              <w:t>”</w:t>
            </w:r>
          </w:p>
        </w:tc>
        <w:tc>
          <w:tcPr>
            <w:tcW w:w="4986" w:type="dxa"/>
            <w:tcBorders>
              <w:top w:val="nil"/>
              <w:left w:val="nil"/>
              <w:bottom w:val="single" w:color="auto" w:sz="4" w:space="0"/>
              <w:right w:val="single" w:color="auto" w:sz="4" w:space="0"/>
            </w:tcBorders>
            <w:shd w:val="clear" w:color="auto" w:fill="auto"/>
            <w:noWrap w:val="0"/>
            <w:vAlign w:val="center"/>
          </w:tcPr>
          <w:p w14:paraId="42A1EAF2">
            <w:pPr>
              <w:widowControl/>
              <w:spacing w:line="240" w:lineRule="exact"/>
              <w:rPr>
                <w:rFonts w:hint="eastAsia" w:ascii="Times New Roman" w:hAnsi="Times New Roman" w:eastAsia="宋体"/>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实施细则》第三十五条、第三十七条至第三十九条的规定申报第</w:t>
            </w:r>
            <w:r>
              <w:rPr>
                <w:rFonts w:hint="eastAsia" w:ascii="Times New Roman" w:hAnsi="Times New Roman" w:eastAsia="方正仿宋_GBK"/>
                <w:color w:val="000000"/>
                <w:kern w:val="0"/>
                <w:sz w:val="21"/>
                <w:szCs w:val="21"/>
              </w:rPr>
              <w:t>三</w:t>
            </w:r>
            <w:r>
              <w:rPr>
                <w:rFonts w:ascii="Times New Roman" w:hAnsi="Times New Roman" w:eastAsia="方正仿宋_GBK"/>
                <w:color w:val="000000"/>
                <w:kern w:val="0"/>
                <w:sz w:val="21"/>
                <w:szCs w:val="21"/>
              </w:rPr>
              <w:t>类监控化学品数据，或者</w:t>
            </w:r>
            <w:r>
              <w:rPr>
                <w:rFonts w:hint="eastAsia" w:ascii="Times New Roman" w:hAnsi="Times New Roman" w:eastAsia="方正仿宋_GBK"/>
                <w:color w:val="000000"/>
                <w:kern w:val="0"/>
                <w:sz w:val="21"/>
                <w:szCs w:val="21"/>
              </w:rPr>
              <w:t>拒报、虚报、漏报、瞒报第三类监控化学品数据的</w:t>
            </w:r>
          </w:p>
        </w:tc>
        <w:tc>
          <w:tcPr>
            <w:tcW w:w="2894" w:type="dxa"/>
            <w:tcBorders>
              <w:top w:val="nil"/>
              <w:left w:val="nil"/>
              <w:bottom w:val="single" w:color="auto" w:sz="4" w:space="0"/>
              <w:right w:val="single" w:color="auto" w:sz="4" w:space="0"/>
            </w:tcBorders>
            <w:shd w:val="clear" w:color="auto" w:fill="auto"/>
            <w:noWrap w:val="0"/>
            <w:vAlign w:val="center"/>
          </w:tcPr>
          <w:p w14:paraId="28378AE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处1</w:t>
            </w:r>
            <w:r>
              <w:rPr>
                <w:rFonts w:hint="eastAsia"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万元以下罚款</w:t>
            </w:r>
          </w:p>
        </w:tc>
      </w:tr>
      <w:tr w14:paraId="1D283307">
        <w:tblPrEx>
          <w:tblCellMar>
            <w:top w:w="0" w:type="dxa"/>
            <w:left w:w="108" w:type="dxa"/>
            <w:bottom w:w="0" w:type="dxa"/>
            <w:right w:w="108" w:type="dxa"/>
          </w:tblCellMar>
        </w:tblPrEx>
        <w:trPr>
          <w:trHeight w:val="68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AE5B85B">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CE18E4A">
            <w:pPr>
              <w:widowControl/>
              <w:spacing w:line="240" w:lineRule="exact"/>
              <w:jc w:val="left"/>
              <w:rPr>
                <w:rFonts w:ascii="Times New Roman" w:hAnsi="Times New Roman" w:eastAsia="宋体"/>
                <w:color w:val="000000"/>
                <w:kern w:val="0"/>
                <w:sz w:val="21"/>
                <w:szCs w:val="21"/>
              </w:rPr>
            </w:pPr>
          </w:p>
        </w:tc>
        <w:tc>
          <w:tcPr>
            <w:tcW w:w="5103" w:type="dxa"/>
            <w:vMerge w:val="continue"/>
            <w:tcBorders>
              <w:left w:val="single" w:color="auto" w:sz="4" w:space="0"/>
              <w:bottom w:val="single" w:color="auto" w:sz="4" w:space="0"/>
              <w:right w:val="single" w:color="auto" w:sz="4" w:space="0"/>
            </w:tcBorders>
            <w:shd w:val="clear" w:color="auto" w:fill="auto"/>
            <w:noWrap w:val="0"/>
            <w:vAlign w:val="center"/>
          </w:tcPr>
          <w:p w14:paraId="5FB5064E">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4D702F33">
            <w:pPr>
              <w:widowControl/>
              <w:spacing w:line="240" w:lineRule="exac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实施细则》第三十五条、第三十七条至第三十九条的规定申报第</w:t>
            </w:r>
            <w:r>
              <w:rPr>
                <w:rFonts w:hint="eastAsia" w:ascii="Times New Roman" w:hAnsi="Times New Roman" w:eastAsia="方正仿宋_GBK"/>
                <w:color w:val="000000"/>
                <w:kern w:val="0"/>
                <w:sz w:val="21"/>
                <w:szCs w:val="21"/>
              </w:rPr>
              <w:t>二</w:t>
            </w:r>
            <w:r>
              <w:rPr>
                <w:rFonts w:ascii="Times New Roman" w:hAnsi="Times New Roman" w:eastAsia="方正仿宋_GBK"/>
                <w:color w:val="000000"/>
                <w:kern w:val="0"/>
                <w:sz w:val="21"/>
                <w:szCs w:val="21"/>
              </w:rPr>
              <w:t>类监控化学品数据，或者</w:t>
            </w:r>
            <w:r>
              <w:rPr>
                <w:rFonts w:hint="eastAsia" w:ascii="Times New Roman" w:hAnsi="Times New Roman" w:eastAsia="方正仿宋_GBK"/>
                <w:color w:val="000000"/>
                <w:kern w:val="0"/>
                <w:sz w:val="21"/>
                <w:szCs w:val="21"/>
              </w:rPr>
              <w:t>拒报、虚报、漏报、瞒报第二类监控化学品数据的</w:t>
            </w:r>
          </w:p>
        </w:tc>
        <w:tc>
          <w:tcPr>
            <w:tcW w:w="2894" w:type="dxa"/>
            <w:tcBorders>
              <w:top w:val="nil"/>
              <w:left w:val="nil"/>
              <w:bottom w:val="single" w:color="auto" w:sz="4" w:space="0"/>
              <w:right w:val="single" w:color="auto" w:sz="4" w:space="0"/>
            </w:tcBorders>
            <w:shd w:val="clear" w:color="auto" w:fill="auto"/>
            <w:noWrap w:val="0"/>
            <w:vAlign w:val="center"/>
          </w:tcPr>
          <w:p w14:paraId="3355B731">
            <w:pPr>
              <w:widowControl/>
              <w:spacing w:line="240" w:lineRule="exac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处3</w:t>
            </w:r>
            <w:r>
              <w:rPr>
                <w:rFonts w:hint="eastAsia"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万元以下罚款</w:t>
            </w:r>
          </w:p>
        </w:tc>
      </w:tr>
      <w:tr w14:paraId="241DE3A7">
        <w:tblPrEx>
          <w:tblCellMar>
            <w:top w:w="0" w:type="dxa"/>
            <w:left w:w="108" w:type="dxa"/>
            <w:bottom w:w="0" w:type="dxa"/>
            <w:right w:w="108" w:type="dxa"/>
          </w:tblCellMar>
        </w:tblPrEx>
        <w:trPr>
          <w:trHeight w:val="78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72861AE">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57AF5E6">
            <w:pPr>
              <w:widowControl/>
              <w:spacing w:line="240" w:lineRule="exact"/>
              <w:jc w:val="left"/>
              <w:rPr>
                <w:rFonts w:ascii="Times New Roman" w:hAnsi="Times New Roman" w:eastAsia="宋体"/>
                <w:color w:val="000000"/>
                <w:kern w:val="0"/>
                <w:sz w:val="21"/>
                <w:szCs w:val="21"/>
              </w:rPr>
            </w:pPr>
          </w:p>
        </w:tc>
        <w:tc>
          <w:tcPr>
            <w:tcW w:w="5103" w:type="dxa"/>
            <w:tcBorders>
              <w:top w:val="nil"/>
              <w:left w:val="single" w:color="auto" w:sz="4" w:space="0"/>
              <w:bottom w:val="single" w:color="auto" w:sz="4" w:space="0"/>
              <w:right w:val="single" w:color="auto" w:sz="4" w:space="0"/>
            </w:tcBorders>
            <w:shd w:val="clear" w:color="auto" w:fill="auto"/>
            <w:noWrap w:val="0"/>
            <w:vAlign w:val="center"/>
          </w:tcPr>
          <w:p w14:paraId="52FAE91D">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【行政法规】《中华人民共和国监控化学品管理条例》第二十四条：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违反本条例规定，隐瞒、拒报有关监控化学品的资料、数据，或者妨碍、阻挠化学工业主管部门依照本条例的规定履行检查监督职责的，由省、自治区、直辖市人民政府化学工业主管部门处以</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万元以下的罚款。</w:t>
            </w:r>
            <w:r>
              <w:rPr>
                <w:rFonts w:ascii="Times New Roman" w:hAnsi="Times New Roman" w:eastAsia="宋体"/>
                <w:color w:val="000000"/>
                <w:kern w:val="0"/>
                <w:sz w:val="21"/>
                <w:szCs w:val="21"/>
              </w:rPr>
              <w:t>”</w:t>
            </w:r>
          </w:p>
        </w:tc>
        <w:tc>
          <w:tcPr>
            <w:tcW w:w="4986" w:type="dxa"/>
            <w:tcBorders>
              <w:top w:val="nil"/>
              <w:left w:val="nil"/>
              <w:bottom w:val="single" w:color="auto" w:sz="4" w:space="0"/>
              <w:right w:val="single" w:color="auto" w:sz="4" w:space="0"/>
            </w:tcBorders>
            <w:shd w:val="clear" w:color="auto" w:fill="auto"/>
            <w:noWrap w:val="0"/>
            <w:vAlign w:val="center"/>
          </w:tcPr>
          <w:p w14:paraId="21866058">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妨碍、阻挠化学工业主管部门依照《监控化学品管理条例》的规定履行检查监督职责的</w:t>
            </w:r>
          </w:p>
        </w:tc>
        <w:tc>
          <w:tcPr>
            <w:tcW w:w="2894" w:type="dxa"/>
            <w:tcBorders>
              <w:top w:val="nil"/>
              <w:left w:val="nil"/>
              <w:bottom w:val="single" w:color="auto" w:sz="4" w:space="0"/>
              <w:right w:val="single" w:color="auto" w:sz="4" w:space="0"/>
            </w:tcBorders>
            <w:shd w:val="clear" w:color="auto" w:fill="auto"/>
            <w:noWrap w:val="0"/>
            <w:vAlign w:val="center"/>
          </w:tcPr>
          <w:p w14:paraId="2873DF42">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处3</w:t>
            </w:r>
            <w:r>
              <w:rPr>
                <w:rFonts w:hint="eastAsia"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5</w:t>
            </w:r>
            <w:r>
              <w:rPr>
                <w:rFonts w:ascii="Times New Roman" w:hAnsi="Times New Roman" w:eastAsia="方正仿宋_GBK"/>
                <w:color w:val="000000"/>
                <w:kern w:val="0"/>
                <w:sz w:val="21"/>
                <w:szCs w:val="21"/>
              </w:rPr>
              <w:t>万元以下罚款</w:t>
            </w:r>
          </w:p>
        </w:tc>
      </w:tr>
      <w:tr w14:paraId="0EEA928E">
        <w:tblPrEx>
          <w:tblCellMar>
            <w:top w:w="0" w:type="dxa"/>
            <w:left w:w="108" w:type="dxa"/>
            <w:bottom w:w="0" w:type="dxa"/>
            <w:right w:w="108" w:type="dxa"/>
          </w:tblCellMar>
        </w:tblPrEx>
        <w:trPr>
          <w:trHeight w:val="64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29A1F74">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5</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7F8E049A">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未经批准，新建、扩建或改建用于生产监控化学品设施的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1F03978A">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实施细则》第六条第一款：“</w:t>
            </w:r>
            <w:r>
              <w:rPr>
                <w:rFonts w:hint="eastAsia" w:ascii="Times New Roman" w:hAnsi="Times New Roman" w:eastAsia="方正仿宋_GBK"/>
                <w:color w:val="000000"/>
                <w:kern w:val="0"/>
                <w:sz w:val="21"/>
                <w:szCs w:val="21"/>
              </w:rPr>
              <w:t>新建、扩建或者改建用于生产第二类、第三类监控化学品和第四类监控化学品中含磷、硫、氟的特定有机化学品的设施，应当填写《监控化学品生产设施新（扩、改）建申请表》并附上申请表中要求提供的相关材料，向所在地的省、自治区、直辖市工业和信息化主管部门提出申请。省、自治区、直辖市工业和信息化主管部门应当自收到全部申请材料之日起20个工作日内审查完毕并签署意见，报工业和信息化部批准。</w:t>
            </w:r>
            <w:r>
              <w:rPr>
                <w:rFonts w:ascii="Times New Roman" w:hAnsi="Times New Roman" w:eastAsia="方正仿宋_GBK"/>
                <w:color w:val="000000"/>
                <w:kern w:val="0"/>
                <w:sz w:val="21"/>
                <w:szCs w:val="21"/>
              </w:rPr>
              <w:t>”</w:t>
            </w:r>
          </w:p>
          <w:p w14:paraId="1CA124D2">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第四十七条：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六条第一款的规定，未经批准，新建、扩建或者改建用于生产第二类、第三类监控化学品和第四类监控化学品中含磷、硫、氟的特定有机化学品的设施的，由省、自治区、直辖市工业和信息化主管部门责令限期改正，停止施工，拆除相关设施，可以并处一万元以上三万元以下罚款。</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6C6F8F68">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未经批准，新建、扩建或者改建用于生产第四类监控化学品中含磷、硫、氟的特定有机化学品的设施</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3170135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责令限期改正，停止施工，拆除相关设施</w:t>
            </w:r>
          </w:p>
        </w:tc>
      </w:tr>
      <w:tr w14:paraId="145177D7">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A43BD30">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53DEE2A">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16AFDAB">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2548B34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未经批准，新建、扩建或者改建用于生产第三类监控化学品的设施</w:t>
            </w:r>
          </w:p>
        </w:tc>
        <w:tc>
          <w:tcPr>
            <w:tcW w:w="2894" w:type="dxa"/>
            <w:tcBorders>
              <w:top w:val="nil"/>
              <w:left w:val="nil"/>
              <w:bottom w:val="single" w:color="auto" w:sz="4" w:space="0"/>
              <w:right w:val="single" w:color="auto" w:sz="4" w:space="0"/>
            </w:tcBorders>
            <w:shd w:val="clear" w:color="auto" w:fill="auto"/>
            <w:noWrap w:val="0"/>
            <w:vAlign w:val="center"/>
          </w:tcPr>
          <w:p w14:paraId="18B3D552">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责令限期改正，停止施工，拆除相关设施，处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万以下罚款</w:t>
            </w:r>
          </w:p>
        </w:tc>
      </w:tr>
      <w:tr w14:paraId="110BA288">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4E1EAE2">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EC3B782">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62B245F">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2816F22E">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未经批准，新建、扩建或者改建用于生产第二类监控化学品的设施</w:t>
            </w:r>
          </w:p>
        </w:tc>
        <w:tc>
          <w:tcPr>
            <w:tcW w:w="2894" w:type="dxa"/>
            <w:tcBorders>
              <w:top w:val="nil"/>
              <w:left w:val="nil"/>
              <w:bottom w:val="single" w:color="auto" w:sz="4" w:space="0"/>
              <w:right w:val="single" w:color="auto" w:sz="4" w:space="0"/>
            </w:tcBorders>
            <w:shd w:val="clear" w:color="auto" w:fill="auto"/>
            <w:noWrap w:val="0"/>
            <w:vAlign w:val="center"/>
          </w:tcPr>
          <w:p w14:paraId="39FE7D86">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责令限期改正，停止施工，拆除相关设施，处</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万元以下罚款</w:t>
            </w:r>
          </w:p>
        </w:tc>
      </w:tr>
      <w:tr w14:paraId="16ECF2C3">
        <w:tblPrEx>
          <w:tblCellMar>
            <w:top w:w="0" w:type="dxa"/>
            <w:left w:w="108" w:type="dxa"/>
            <w:bottom w:w="0" w:type="dxa"/>
            <w:right w:w="108" w:type="dxa"/>
          </w:tblCellMar>
        </w:tblPrEx>
        <w:trPr>
          <w:trHeight w:val="310"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ign w:val="center"/>
          </w:tcPr>
          <w:p w14:paraId="7B49D456">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6</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6FDC27FE">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违反规定使用和管理监控化学品许可证书的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5507B7D4">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实施细则》第四十八条：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涂改、倒卖、出租、出借或者以其他方式转让生产特别许可证、经营许可证、使用许可证的，由所在地的省、自治区、直辖市工业和信息化主管部门责令限期改正，可以并处三万元以下罚款。</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6B72A8FE">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涂改、倒卖、出租、出借或者以其他方式转让第四类监控化学品中含磷、硫、氟的特定有机化学品生产特别许可证的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350335FF">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万元以下罚款</w:t>
            </w:r>
          </w:p>
        </w:tc>
      </w:tr>
      <w:tr w14:paraId="531D8FE8">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C7C2133">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DAED463">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9C98105">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6831C9A2">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涂改、倒卖、出租、出借或者以其他方式转让第三类监控化学品生产特别许可证的</w:t>
            </w:r>
          </w:p>
        </w:tc>
        <w:tc>
          <w:tcPr>
            <w:tcW w:w="2894" w:type="dxa"/>
            <w:tcBorders>
              <w:top w:val="nil"/>
              <w:left w:val="nil"/>
              <w:bottom w:val="single" w:color="auto" w:sz="4" w:space="0"/>
              <w:right w:val="single" w:color="auto" w:sz="4" w:space="0"/>
            </w:tcBorders>
            <w:shd w:val="clear" w:color="auto" w:fill="auto"/>
            <w:noWrap w:val="0"/>
            <w:vAlign w:val="center"/>
          </w:tcPr>
          <w:p w14:paraId="6BD8654D">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万元以下罚款</w:t>
            </w:r>
          </w:p>
        </w:tc>
      </w:tr>
      <w:tr w14:paraId="1857653A">
        <w:tblPrEx>
          <w:tblCellMar>
            <w:top w:w="0" w:type="dxa"/>
            <w:left w:w="108" w:type="dxa"/>
            <w:bottom w:w="0" w:type="dxa"/>
            <w:right w:w="108" w:type="dxa"/>
          </w:tblCellMar>
        </w:tblPrEx>
        <w:trPr>
          <w:trHeight w:val="62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5380D6F1">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B6EE0BD">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DE5A899">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556F5E1F">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涂改、倒卖、出租、出借或者以其他方式转让第二类监控化学品生产特别许可证、经营许可证、使用许可证的</w:t>
            </w:r>
          </w:p>
        </w:tc>
        <w:tc>
          <w:tcPr>
            <w:tcW w:w="2894" w:type="dxa"/>
            <w:tcBorders>
              <w:top w:val="nil"/>
              <w:left w:val="nil"/>
              <w:bottom w:val="single" w:color="auto" w:sz="4" w:space="0"/>
              <w:right w:val="single" w:color="auto" w:sz="4" w:space="0"/>
            </w:tcBorders>
            <w:shd w:val="clear" w:color="auto" w:fill="auto"/>
            <w:noWrap w:val="0"/>
            <w:vAlign w:val="center"/>
          </w:tcPr>
          <w:p w14:paraId="24FF2A67">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责令限期改正，处</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万元以下罚款</w:t>
            </w:r>
          </w:p>
        </w:tc>
      </w:tr>
      <w:tr w14:paraId="7AC44E7A">
        <w:tblPrEx>
          <w:tblCellMar>
            <w:top w:w="0" w:type="dxa"/>
            <w:left w:w="108" w:type="dxa"/>
            <w:bottom w:w="0" w:type="dxa"/>
            <w:right w:w="108" w:type="dxa"/>
          </w:tblCellMar>
        </w:tblPrEx>
        <w:trPr>
          <w:trHeight w:val="3099" w:hRule="atLeast"/>
          <w:jc w:val="center"/>
        </w:trPr>
        <w:tc>
          <w:tcPr>
            <w:tcW w:w="640" w:type="dxa"/>
            <w:vMerge w:val="restart"/>
            <w:tcBorders>
              <w:top w:val="nil"/>
              <w:left w:val="single" w:color="auto" w:sz="4" w:space="0"/>
              <w:right w:val="single" w:color="auto" w:sz="4" w:space="0"/>
            </w:tcBorders>
            <w:shd w:val="clear" w:color="auto" w:fill="auto"/>
            <w:noWrap/>
            <w:vAlign w:val="center"/>
          </w:tcPr>
          <w:p w14:paraId="00C02FF5">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7</w:t>
            </w:r>
          </w:p>
        </w:tc>
        <w:tc>
          <w:tcPr>
            <w:tcW w:w="1221" w:type="dxa"/>
            <w:vMerge w:val="restart"/>
            <w:tcBorders>
              <w:top w:val="nil"/>
              <w:left w:val="single" w:color="auto" w:sz="4" w:space="0"/>
              <w:right w:val="single" w:color="auto" w:sz="4" w:space="0"/>
            </w:tcBorders>
            <w:shd w:val="clear" w:color="auto" w:fill="auto"/>
            <w:noWrap w:val="0"/>
            <w:vAlign w:val="center"/>
          </w:tcPr>
          <w:p w14:paraId="47C91564">
            <w:pPr>
              <w:widowControl/>
              <w:spacing w:line="240" w:lineRule="exact"/>
              <w:jc w:val="lef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违反规定</w:t>
            </w:r>
            <w:r>
              <w:rPr>
                <w:rFonts w:ascii="Times New Roman" w:hAnsi="Times New Roman" w:eastAsia="方正仿宋_GBK"/>
                <w:color w:val="000000"/>
                <w:kern w:val="0"/>
                <w:sz w:val="21"/>
                <w:szCs w:val="21"/>
              </w:rPr>
              <w:t>销售、购买监控化学品的</w:t>
            </w:r>
          </w:p>
        </w:tc>
        <w:tc>
          <w:tcPr>
            <w:tcW w:w="5103" w:type="dxa"/>
            <w:vMerge w:val="restart"/>
            <w:tcBorders>
              <w:top w:val="nil"/>
              <w:left w:val="single" w:color="auto" w:sz="4" w:space="0"/>
              <w:right w:val="single" w:color="auto" w:sz="4" w:space="0"/>
            </w:tcBorders>
            <w:shd w:val="clear" w:color="auto" w:fill="auto"/>
            <w:noWrap w:val="0"/>
            <w:vAlign w:val="center"/>
          </w:tcPr>
          <w:p w14:paraId="0594D072">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实施细则》第十六条</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生产第二类监控化学品的，不得向未取得第二类监控化学品经营许可证书、使用许可证书的单位或者个人销售第二类监控化学品。</w:t>
            </w:r>
            <w:r>
              <w:rPr>
                <w:rFonts w:ascii="Times New Roman" w:hAnsi="Times New Roman" w:eastAsia="方正仿宋_GBK"/>
                <w:color w:val="000000"/>
                <w:kern w:val="0"/>
                <w:sz w:val="21"/>
                <w:szCs w:val="21"/>
              </w:rPr>
              <w:t>”</w:t>
            </w:r>
          </w:p>
          <w:p w14:paraId="0611BD6F">
            <w:pPr>
              <w:widowControl/>
              <w:spacing w:line="240" w:lineRule="exact"/>
              <w:jc w:val="lef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第二十一条</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经营第二类监控化学品的，不得向未取得第二类监控化学品经营许可证书、使用许可证书的单位或者个人销售第二类监控化学品，不得向未取得第二类监控化学品生产特别许可证书、经营许可证书的单位或者个人购买第二类监控化学品。</w:t>
            </w:r>
          </w:p>
          <w:p w14:paraId="50BA6209">
            <w:pPr>
              <w:widowControl/>
              <w:spacing w:line="240" w:lineRule="exact"/>
              <w:jc w:val="left"/>
              <w:rPr>
                <w:rFonts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购买第二类监控化学品的，应当查验销售人的第二类监控化学品生产特别许可证书、经营许可证书并留存复印件。销售第二类监控化学品的，应当查验购买人的第二类监控化学品经营许可证书、使用许可证书并留存复印件。</w:t>
            </w:r>
            <w:r>
              <w:rPr>
                <w:rFonts w:ascii="Times New Roman" w:hAnsi="Times New Roman" w:eastAsia="方正仿宋_GBK"/>
                <w:color w:val="000000"/>
                <w:kern w:val="0"/>
                <w:sz w:val="21"/>
                <w:szCs w:val="21"/>
              </w:rPr>
              <w:t>”</w:t>
            </w:r>
          </w:p>
          <w:p w14:paraId="640AE1B7">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第二十二条</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经营第二类监控化学品的，应当保存购买、储存、销售原始记录和统计台账，保存期限不得少于3年。第二类监控化学品的经营者应当在每年1月和7月分别向所在地省、自治区、直辖市工业和信息化主管部门报送前6个月的销售记录。</w:t>
            </w:r>
            <w:r>
              <w:rPr>
                <w:rFonts w:ascii="Times New Roman" w:hAnsi="Times New Roman" w:eastAsia="方正仿宋_GBK"/>
                <w:color w:val="000000"/>
                <w:kern w:val="0"/>
                <w:sz w:val="21"/>
                <w:szCs w:val="21"/>
              </w:rPr>
              <w:t>”</w:t>
            </w:r>
          </w:p>
          <w:p w14:paraId="5DB0DB0F">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第二十七条：“</w:t>
            </w:r>
            <w:r>
              <w:rPr>
                <w:rFonts w:hint="eastAsia" w:ascii="Times New Roman" w:hAnsi="Times New Roman" w:eastAsia="方正仿宋_GBK"/>
                <w:color w:val="000000"/>
                <w:kern w:val="0"/>
                <w:sz w:val="21"/>
                <w:szCs w:val="21"/>
              </w:rPr>
              <w:t>取得第二类监控化学品使用许可的，应当凭第二类监控化学品使用许可证书向取得第二类监控化学品生产特别许可证书、经营许可证书的单位或者个人购买第二类监控化学品。</w:t>
            </w:r>
            <w:r>
              <w:rPr>
                <w:rFonts w:ascii="Times New Roman" w:hAnsi="Times New Roman" w:eastAsia="方正仿宋_GBK"/>
                <w:color w:val="000000"/>
                <w:kern w:val="0"/>
                <w:sz w:val="21"/>
                <w:szCs w:val="21"/>
              </w:rPr>
              <w:t>”</w:t>
            </w:r>
          </w:p>
          <w:p w14:paraId="1FD87C2D">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第五十条第一款：</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十六条、第二十一条、第二十二条、第二十七条的规定，违法销售、购买监控化学品，或者未按照规定保存有关记录的，由所在地的省、自治区、直辖市工业和信息化主管部门责令限期改正，予以警告，可以并处三万元以下罚款。</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5A559718">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六条、第二十一条、第二十二条、第二十七条的规定，违法销售、购买第二类监控化学品，或者未按照规定保存有关记录，其监控化学品销售量或购买量未达到或未超过《禁止化学武器公约》规定的</w:t>
            </w:r>
            <w:r>
              <w:rPr>
                <w:rFonts w:hint="eastAsia" w:ascii="Times New Roman" w:hAnsi="Times New Roman" w:eastAsia="方正仿宋_GBK"/>
                <w:color w:val="000000"/>
                <w:kern w:val="0"/>
                <w:sz w:val="21"/>
                <w:szCs w:val="21"/>
              </w:rPr>
              <w:t>宣布</w:t>
            </w:r>
            <w:r>
              <w:rPr>
                <w:rFonts w:ascii="Times New Roman" w:hAnsi="Times New Roman" w:eastAsia="方正仿宋_GBK"/>
                <w:color w:val="000000"/>
                <w:kern w:val="0"/>
                <w:sz w:val="21"/>
                <w:szCs w:val="21"/>
              </w:rPr>
              <w:t>阈值的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1B143F73">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w:t>
            </w:r>
          </w:p>
        </w:tc>
      </w:tr>
      <w:tr w14:paraId="532A633A">
        <w:tblPrEx>
          <w:tblCellMar>
            <w:top w:w="0" w:type="dxa"/>
            <w:left w:w="108" w:type="dxa"/>
            <w:bottom w:w="0" w:type="dxa"/>
            <w:right w:w="108" w:type="dxa"/>
          </w:tblCellMar>
        </w:tblPrEx>
        <w:trPr>
          <w:trHeight w:val="2574" w:hRule="atLeast"/>
          <w:jc w:val="center"/>
        </w:trPr>
        <w:tc>
          <w:tcPr>
            <w:tcW w:w="640" w:type="dxa"/>
            <w:vMerge w:val="continue"/>
            <w:tcBorders>
              <w:left w:val="single" w:color="auto" w:sz="4" w:space="0"/>
              <w:right w:val="single" w:color="auto" w:sz="4" w:space="0"/>
            </w:tcBorders>
            <w:shd w:val="clear" w:color="auto" w:fill="auto"/>
            <w:noWrap w:val="0"/>
            <w:vAlign w:val="center"/>
          </w:tcPr>
          <w:p w14:paraId="4CF250D1">
            <w:pPr>
              <w:widowControl/>
              <w:spacing w:line="240" w:lineRule="exact"/>
              <w:jc w:val="left"/>
              <w:rPr>
                <w:rFonts w:ascii="Times New Roman" w:hAnsi="Times New Roman" w:eastAsia="宋体"/>
                <w:color w:val="000000"/>
                <w:kern w:val="0"/>
                <w:sz w:val="21"/>
                <w:szCs w:val="21"/>
              </w:rPr>
            </w:pPr>
          </w:p>
        </w:tc>
        <w:tc>
          <w:tcPr>
            <w:tcW w:w="1221" w:type="dxa"/>
            <w:vMerge w:val="continue"/>
            <w:tcBorders>
              <w:left w:val="single" w:color="auto" w:sz="4" w:space="0"/>
              <w:right w:val="single" w:color="auto" w:sz="4" w:space="0"/>
            </w:tcBorders>
            <w:shd w:val="clear" w:color="auto" w:fill="auto"/>
            <w:noWrap w:val="0"/>
            <w:vAlign w:val="center"/>
          </w:tcPr>
          <w:p w14:paraId="30E5A91C">
            <w:pPr>
              <w:widowControl/>
              <w:spacing w:line="240" w:lineRule="exact"/>
              <w:jc w:val="left"/>
              <w:rPr>
                <w:rFonts w:ascii="Times New Roman" w:hAnsi="Times New Roman" w:eastAsia="宋体"/>
                <w:color w:val="000000"/>
                <w:kern w:val="0"/>
                <w:sz w:val="21"/>
                <w:szCs w:val="21"/>
              </w:rPr>
            </w:pPr>
          </w:p>
        </w:tc>
        <w:tc>
          <w:tcPr>
            <w:tcW w:w="5103" w:type="dxa"/>
            <w:vMerge w:val="continue"/>
            <w:tcBorders>
              <w:left w:val="single" w:color="auto" w:sz="4" w:space="0"/>
              <w:right w:val="single" w:color="auto" w:sz="4" w:space="0"/>
            </w:tcBorders>
            <w:shd w:val="clear" w:color="auto" w:fill="auto"/>
            <w:noWrap w:val="0"/>
            <w:vAlign w:val="center"/>
          </w:tcPr>
          <w:p w14:paraId="4D342D04">
            <w:pPr>
              <w:widowControl/>
              <w:spacing w:line="240" w:lineRule="exact"/>
              <w:jc w:val="left"/>
              <w:rPr>
                <w:rFonts w:ascii="Times New Roman" w:hAnsi="Times New Roman" w:eastAsia="宋体"/>
                <w:color w:val="000000"/>
                <w:kern w:val="0"/>
                <w:sz w:val="21"/>
                <w:szCs w:val="21"/>
              </w:rPr>
            </w:pP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6F5CBD01">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实施细则》第十六条、第二十一条、第二十二条、第二十七条的规定，违法销售、购买第二类监控化学品，或者未按照规定保存有关记录，其监控化学品销售量或购买量达到或超过《禁止化学武器公约》规定的</w:t>
            </w:r>
            <w:r>
              <w:rPr>
                <w:rFonts w:hint="eastAsia" w:ascii="Times New Roman" w:hAnsi="Times New Roman" w:eastAsia="方正仿宋_GBK"/>
                <w:color w:val="000000"/>
                <w:kern w:val="0"/>
                <w:sz w:val="21"/>
                <w:szCs w:val="21"/>
              </w:rPr>
              <w:t>宣布</w:t>
            </w:r>
            <w:r>
              <w:rPr>
                <w:rFonts w:ascii="Times New Roman" w:hAnsi="Times New Roman" w:eastAsia="方正仿宋_GBK"/>
                <w:color w:val="000000"/>
                <w:kern w:val="0"/>
                <w:sz w:val="21"/>
                <w:szCs w:val="21"/>
              </w:rPr>
              <w:t>阈值，但未达到或未超过《禁止化学武器公约》规定的核查阈值的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68241B98">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1.5</w:t>
            </w:r>
            <w:r>
              <w:rPr>
                <w:rFonts w:ascii="Times New Roman" w:hAnsi="Times New Roman" w:eastAsia="方正仿宋_GBK"/>
                <w:color w:val="000000"/>
                <w:kern w:val="0"/>
                <w:sz w:val="21"/>
                <w:szCs w:val="21"/>
              </w:rPr>
              <w:t>万元以下罚款</w:t>
            </w:r>
          </w:p>
        </w:tc>
      </w:tr>
      <w:tr w14:paraId="553B4CF8">
        <w:tblPrEx>
          <w:tblCellMar>
            <w:top w:w="0" w:type="dxa"/>
            <w:left w:w="108" w:type="dxa"/>
            <w:bottom w:w="0" w:type="dxa"/>
            <w:right w:w="108" w:type="dxa"/>
          </w:tblCellMar>
        </w:tblPrEx>
        <w:trPr>
          <w:trHeight w:val="2573" w:hRule="atLeast"/>
          <w:jc w:val="center"/>
        </w:trPr>
        <w:tc>
          <w:tcPr>
            <w:tcW w:w="640" w:type="dxa"/>
            <w:vMerge w:val="continue"/>
            <w:tcBorders>
              <w:left w:val="single" w:color="auto" w:sz="4" w:space="0"/>
              <w:bottom w:val="single" w:color="auto" w:sz="4" w:space="0"/>
              <w:right w:val="single" w:color="auto" w:sz="4" w:space="0"/>
            </w:tcBorders>
            <w:shd w:val="clear" w:color="auto" w:fill="auto"/>
            <w:noWrap w:val="0"/>
            <w:vAlign w:val="center"/>
          </w:tcPr>
          <w:p w14:paraId="4C52FBF7">
            <w:pPr>
              <w:widowControl/>
              <w:spacing w:line="240" w:lineRule="exact"/>
              <w:jc w:val="left"/>
              <w:rPr>
                <w:rFonts w:ascii="Times New Roman" w:hAnsi="Times New Roman" w:eastAsia="宋体"/>
                <w:color w:val="000000"/>
                <w:kern w:val="0"/>
                <w:sz w:val="21"/>
                <w:szCs w:val="21"/>
              </w:rPr>
            </w:pPr>
          </w:p>
        </w:tc>
        <w:tc>
          <w:tcPr>
            <w:tcW w:w="1221" w:type="dxa"/>
            <w:vMerge w:val="continue"/>
            <w:tcBorders>
              <w:left w:val="single" w:color="auto" w:sz="4" w:space="0"/>
              <w:bottom w:val="single" w:color="auto" w:sz="4" w:space="0"/>
              <w:right w:val="single" w:color="auto" w:sz="4" w:space="0"/>
            </w:tcBorders>
            <w:shd w:val="clear" w:color="auto" w:fill="auto"/>
            <w:noWrap w:val="0"/>
            <w:vAlign w:val="center"/>
          </w:tcPr>
          <w:p w14:paraId="0B7FDEAF">
            <w:pPr>
              <w:widowControl/>
              <w:spacing w:line="240" w:lineRule="exact"/>
              <w:jc w:val="left"/>
              <w:rPr>
                <w:rFonts w:ascii="Times New Roman" w:hAnsi="Times New Roman" w:eastAsia="宋体"/>
                <w:color w:val="000000"/>
                <w:kern w:val="0"/>
                <w:sz w:val="21"/>
                <w:szCs w:val="21"/>
              </w:rPr>
            </w:pPr>
          </w:p>
        </w:tc>
        <w:tc>
          <w:tcPr>
            <w:tcW w:w="5103" w:type="dxa"/>
            <w:vMerge w:val="continue"/>
            <w:tcBorders>
              <w:left w:val="single" w:color="auto" w:sz="4" w:space="0"/>
              <w:bottom w:val="single" w:color="auto" w:sz="4" w:space="0"/>
              <w:right w:val="single" w:color="auto" w:sz="4" w:space="0"/>
            </w:tcBorders>
            <w:shd w:val="clear" w:color="auto" w:fill="auto"/>
            <w:noWrap w:val="0"/>
            <w:vAlign w:val="center"/>
          </w:tcPr>
          <w:p w14:paraId="286A521E">
            <w:pPr>
              <w:widowControl/>
              <w:spacing w:line="240" w:lineRule="exact"/>
              <w:jc w:val="left"/>
              <w:rPr>
                <w:rFonts w:ascii="Times New Roman" w:hAnsi="Times New Roman" w:eastAsia="宋体"/>
                <w:color w:val="000000"/>
                <w:kern w:val="0"/>
                <w:sz w:val="21"/>
                <w:szCs w:val="21"/>
              </w:rPr>
            </w:pP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7426AE51">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违反《</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十六条、第二十一条、第二十二条、第二十七条的规定，违法销售、购买第二类监控化学品，或者未按照规定保存有关记录，其监控化学品销售量或购买量达到或超过《禁止化学武器公约》规定的核查阈值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5D387065">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1.5</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万元以下罚款</w:t>
            </w:r>
          </w:p>
        </w:tc>
      </w:tr>
      <w:tr w14:paraId="670956C4">
        <w:tblPrEx>
          <w:tblCellMar>
            <w:top w:w="0" w:type="dxa"/>
            <w:left w:w="108" w:type="dxa"/>
            <w:bottom w:w="0" w:type="dxa"/>
            <w:right w:w="108" w:type="dxa"/>
          </w:tblCellMar>
        </w:tblPrEx>
        <w:trPr>
          <w:trHeight w:val="1635" w:hRule="atLeast"/>
          <w:jc w:val="center"/>
        </w:trPr>
        <w:tc>
          <w:tcPr>
            <w:tcW w:w="64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8F18344">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8</w:t>
            </w:r>
          </w:p>
        </w:tc>
        <w:tc>
          <w:tcPr>
            <w:tcW w:w="1221" w:type="dxa"/>
            <w:vMerge w:val="restart"/>
            <w:tcBorders>
              <w:top w:val="nil"/>
              <w:left w:val="single" w:color="auto" w:sz="4" w:space="0"/>
              <w:bottom w:val="single" w:color="auto" w:sz="4" w:space="0"/>
              <w:right w:val="single" w:color="auto" w:sz="4" w:space="0"/>
            </w:tcBorders>
            <w:shd w:val="clear" w:color="auto" w:fill="auto"/>
            <w:noWrap w:val="0"/>
            <w:vAlign w:val="center"/>
          </w:tcPr>
          <w:p w14:paraId="28B45B91">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未妥善保存、移送相关记录的</w:t>
            </w:r>
          </w:p>
        </w:tc>
        <w:tc>
          <w:tcPr>
            <w:tcW w:w="5103" w:type="dxa"/>
            <w:vMerge w:val="restart"/>
            <w:tcBorders>
              <w:top w:val="nil"/>
              <w:left w:val="single" w:color="auto" w:sz="4" w:space="0"/>
              <w:bottom w:val="single" w:color="auto" w:sz="4" w:space="0"/>
              <w:right w:val="single" w:color="auto" w:sz="4" w:space="0"/>
            </w:tcBorders>
            <w:shd w:val="clear" w:color="auto" w:fill="auto"/>
            <w:noWrap w:val="0"/>
            <w:vAlign w:val="center"/>
          </w:tcPr>
          <w:p w14:paraId="1F4E38D7">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实施细则》第三十七条第二款</w:t>
            </w:r>
            <w:r>
              <w:rPr>
                <w:rFonts w:hint="eastAsia" w:ascii="Times New Roman" w:hAnsi="Times New Roman" w:eastAsia="方正仿宋_GBK"/>
                <w:color w:val="000000"/>
                <w:kern w:val="0"/>
                <w:sz w:val="21"/>
                <w:szCs w:val="21"/>
              </w:rPr>
              <w:t>：</w:t>
            </w:r>
            <w:r>
              <w:rPr>
                <w:rFonts w:ascii="Times New Roman" w:hAnsi="Times New Roman" w:eastAsia="方正仿宋_GBK"/>
                <w:color w:val="000000"/>
                <w:kern w:val="0"/>
                <w:sz w:val="21"/>
                <w:szCs w:val="21"/>
              </w:rPr>
              <w:t>“</w:t>
            </w:r>
            <w:r>
              <w:rPr>
                <w:rFonts w:hint="eastAsia" w:ascii="Times New Roman" w:hAnsi="Times New Roman" w:eastAsia="方正仿宋_GBK"/>
                <w:color w:val="000000"/>
                <w:kern w:val="0"/>
                <w:sz w:val="21"/>
                <w:szCs w:val="21"/>
              </w:rPr>
              <w:t>生产、使用第二类监控化学品的，应当妥善保存与第二类监控化学品的生产、使用有关的记录，保存期限不得少于3年。生产第三类监控化学品的，应当妥善保存与第三类监控化学品有关的生产记录，保存期限不得少于1年。终止生产经营活动的，应当将与监控化学品生产、使用有关的记录移交所在地设区的市级以上地方工业和信息化主管部门或者地方人民政府确定的监控化学品管理部门存档。</w:t>
            </w:r>
            <w:r>
              <w:rPr>
                <w:rFonts w:ascii="Times New Roman" w:hAnsi="Times New Roman" w:eastAsia="方正仿宋_GBK"/>
                <w:color w:val="000000"/>
                <w:kern w:val="0"/>
                <w:sz w:val="21"/>
                <w:szCs w:val="21"/>
              </w:rPr>
              <w:t>”</w:t>
            </w:r>
          </w:p>
          <w:p w14:paraId="125D1BAD">
            <w:pPr>
              <w:widowControl/>
              <w:spacing w:line="240" w:lineRule="exact"/>
              <w:jc w:val="lef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第三十八条第二款：“</w:t>
            </w:r>
            <w:r>
              <w:rPr>
                <w:rFonts w:hint="eastAsia" w:ascii="Times New Roman" w:hAnsi="Times New Roman" w:eastAsia="方正仿宋_GBK"/>
                <w:color w:val="000000"/>
                <w:kern w:val="0"/>
                <w:sz w:val="21"/>
                <w:szCs w:val="21"/>
              </w:rPr>
              <w:t>生产第四类监控化学品的，应当妥善保存与第四类监控化学品有关的生产记录，保存期限不得少于1年。终止生产经营活动的，应当将与第四类监控化学品生产有关的生产记录移交所在地设区的市级以上地方工业和信息化主管部门或者地方人民政府确定的监控化学品管理部门存档。</w:t>
            </w:r>
            <w:r>
              <w:rPr>
                <w:rFonts w:ascii="Times New Roman" w:hAnsi="Times New Roman" w:eastAsia="方正仿宋_GBK"/>
                <w:color w:val="000000"/>
                <w:kern w:val="0"/>
                <w:sz w:val="21"/>
                <w:szCs w:val="21"/>
              </w:rPr>
              <w:t>”</w:t>
            </w:r>
          </w:p>
          <w:p w14:paraId="1D0EF632">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第五十条第二款：</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违反本细则第三十七条第二款、第三十八条第二款的规定，未妥善保存、移送相关记录的，由所在地设区的市级以上地方工业和信息化主管部门或者地方人民政府确定的监控化学品管理部门责令限期改正，予以警告，可以并处三万元以下罚款。</w:t>
            </w:r>
            <w:r>
              <w:rPr>
                <w:rFonts w:ascii="Times New Roman" w:hAnsi="Times New Roman" w:eastAsia="宋体"/>
                <w:color w:val="000000"/>
                <w:kern w:val="0"/>
                <w:sz w:val="21"/>
                <w:szCs w:val="21"/>
              </w:rPr>
              <w:t>”</w:t>
            </w: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505CB1EC">
            <w:pPr>
              <w:widowControl/>
              <w:spacing w:line="240" w:lineRule="exact"/>
              <w:rPr>
                <w:rFonts w:hint="eastAsia"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未妥善保存、移送第四类监控化学品有关生产记录的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1A5DCCB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万元以下的罚款</w:t>
            </w:r>
          </w:p>
        </w:tc>
      </w:tr>
      <w:tr w14:paraId="6D127F14">
        <w:tblPrEx>
          <w:tblCellMar>
            <w:top w:w="0" w:type="dxa"/>
            <w:left w:w="108" w:type="dxa"/>
            <w:bottom w:w="0" w:type="dxa"/>
            <w:right w:w="108" w:type="dxa"/>
          </w:tblCellMar>
        </w:tblPrEx>
        <w:trPr>
          <w:trHeight w:val="1686"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336B264">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2892C147">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A47AE16">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6839143F">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未妥善保存、移送生产第三类监控化学品有关生产记录的</w:t>
            </w:r>
          </w:p>
        </w:tc>
        <w:tc>
          <w:tcPr>
            <w:tcW w:w="2894" w:type="dxa"/>
            <w:tcBorders>
              <w:top w:val="nil"/>
              <w:left w:val="nil"/>
              <w:bottom w:val="single" w:color="auto" w:sz="4" w:space="0"/>
              <w:right w:val="single" w:color="auto" w:sz="4" w:space="0"/>
            </w:tcBorders>
            <w:shd w:val="clear" w:color="auto" w:fill="auto"/>
            <w:noWrap w:val="0"/>
            <w:vAlign w:val="center"/>
          </w:tcPr>
          <w:p w14:paraId="462732CB">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万元以下的罚款</w:t>
            </w:r>
          </w:p>
        </w:tc>
      </w:tr>
      <w:tr w14:paraId="49394E51">
        <w:tblPrEx>
          <w:tblCellMar>
            <w:top w:w="0" w:type="dxa"/>
            <w:left w:w="108" w:type="dxa"/>
            <w:bottom w:w="0" w:type="dxa"/>
            <w:right w:w="108" w:type="dxa"/>
          </w:tblCellMar>
        </w:tblPrEx>
        <w:trPr>
          <w:trHeight w:val="310" w:hRule="atLeast"/>
          <w:jc w:val="center"/>
        </w:trPr>
        <w:tc>
          <w:tcPr>
            <w:tcW w:w="64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18B55BC">
            <w:pPr>
              <w:widowControl/>
              <w:spacing w:line="240" w:lineRule="exact"/>
              <w:jc w:val="left"/>
              <w:rPr>
                <w:rFonts w:ascii="Times New Roman" w:hAnsi="Times New Roman" w:eastAsia="宋体"/>
                <w:color w:val="000000"/>
                <w:kern w:val="0"/>
                <w:sz w:val="21"/>
                <w:szCs w:val="21"/>
              </w:rPr>
            </w:pPr>
          </w:p>
        </w:tc>
        <w:tc>
          <w:tcPr>
            <w:tcW w:w="1221" w:type="dxa"/>
            <w:vMerge w:val="continue"/>
            <w:tcBorders>
              <w:top w:val="nil"/>
              <w:left w:val="single" w:color="auto" w:sz="4" w:space="0"/>
              <w:bottom w:val="single" w:color="auto" w:sz="4" w:space="0"/>
              <w:right w:val="single" w:color="auto" w:sz="4" w:space="0"/>
            </w:tcBorders>
            <w:shd w:val="clear" w:color="auto" w:fill="auto"/>
            <w:noWrap w:val="0"/>
            <w:vAlign w:val="center"/>
          </w:tcPr>
          <w:p w14:paraId="78F805F1">
            <w:pPr>
              <w:widowControl/>
              <w:spacing w:line="240" w:lineRule="exact"/>
              <w:jc w:val="left"/>
              <w:rPr>
                <w:rFonts w:ascii="Times New Roman" w:hAnsi="Times New Roman" w:eastAsia="宋体"/>
                <w:color w:val="000000"/>
                <w:kern w:val="0"/>
                <w:sz w:val="21"/>
                <w:szCs w:val="21"/>
              </w:rPr>
            </w:pPr>
          </w:p>
        </w:tc>
        <w:tc>
          <w:tcPr>
            <w:tcW w:w="5103"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F08F199">
            <w:pPr>
              <w:widowControl/>
              <w:spacing w:line="240" w:lineRule="exact"/>
              <w:jc w:val="left"/>
              <w:rPr>
                <w:rFonts w:ascii="Times New Roman" w:hAnsi="Times New Roman" w:eastAsia="宋体"/>
                <w:color w:val="000000"/>
                <w:kern w:val="0"/>
                <w:sz w:val="21"/>
                <w:szCs w:val="21"/>
              </w:rPr>
            </w:pPr>
          </w:p>
        </w:tc>
        <w:tc>
          <w:tcPr>
            <w:tcW w:w="4986" w:type="dxa"/>
            <w:tcBorders>
              <w:top w:val="nil"/>
              <w:left w:val="nil"/>
              <w:bottom w:val="single" w:color="auto" w:sz="4" w:space="0"/>
              <w:right w:val="single" w:color="auto" w:sz="4" w:space="0"/>
            </w:tcBorders>
            <w:shd w:val="clear" w:color="auto" w:fill="auto"/>
            <w:noWrap w:val="0"/>
            <w:vAlign w:val="center"/>
          </w:tcPr>
          <w:p w14:paraId="40E24471">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未妥善保存、移送第二类监控化学品生产、使用有关记录的</w:t>
            </w:r>
          </w:p>
        </w:tc>
        <w:tc>
          <w:tcPr>
            <w:tcW w:w="2894" w:type="dxa"/>
            <w:tcBorders>
              <w:top w:val="nil"/>
              <w:left w:val="nil"/>
              <w:bottom w:val="single" w:color="auto" w:sz="4" w:space="0"/>
              <w:right w:val="single" w:color="auto" w:sz="4" w:space="0"/>
            </w:tcBorders>
            <w:shd w:val="clear" w:color="auto" w:fill="auto"/>
            <w:noWrap w:val="0"/>
            <w:vAlign w:val="center"/>
          </w:tcPr>
          <w:p w14:paraId="6C258D20">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万元以下的罚款</w:t>
            </w:r>
          </w:p>
        </w:tc>
      </w:tr>
      <w:tr w14:paraId="3FED5383">
        <w:tblPrEx>
          <w:tblCellMar>
            <w:top w:w="0" w:type="dxa"/>
            <w:left w:w="108" w:type="dxa"/>
            <w:bottom w:w="0" w:type="dxa"/>
            <w:right w:w="108" w:type="dxa"/>
          </w:tblCellMar>
        </w:tblPrEx>
        <w:trPr>
          <w:trHeight w:val="802" w:hRule="atLeast"/>
          <w:jc w:val="center"/>
        </w:trPr>
        <w:tc>
          <w:tcPr>
            <w:tcW w:w="640" w:type="dxa"/>
            <w:vMerge w:val="restart"/>
            <w:tcBorders>
              <w:top w:val="nil"/>
              <w:left w:val="single" w:color="auto" w:sz="4" w:space="0"/>
              <w:right w:val="single" w:color="auto" w:sz="4" w:space="0"/>
            </w:tcBorders>
            <w:shd w:val="clear" w:color="auto" w:fill="auto"/>
            <w:noWrap w:val="0"/>
            <w:vAlign w:val="center"/>
          </w:tcPr>
          <w:p w14:paraId="7533D5FA">
            <w:pPr>
              <w:widowControl/>
              <w:spacing w:line="240" w:lineRule="exact"/>
              <w:jc w:val="center"/>
              <w:rPr>
                <w:rFonts w:ascii="Times New Roman" w:hAnsi="Times New Roman" w:eastAsia="宋体"/>
                <w:color w:val="000000"/>
                <w:kern w:val="0"/>
                <w:sz w:val="21"/>
                <w:szCs w:val="21"/>
              </w:rPr>
            </w:pPr>
            <w:r>
              <w:rPr>
                <w:rFonts w:ascii="Times New Roman" w:hAnsi="Times New Roman" w:eastAsia="宋体"/>
                <w:color w:val="000000"/>
                <w:kern w:val="0"/>
                <w:sz w:val="21"/>
                <w:szCs w:val="21"/>
              </w:rPr>
              <w:t>9</w:t>
            </w:r>
          </w:p>
        </w:tc>
        <w:tc>
          <w:tcPr>
            <w:tcW w:w="1221" w:type="dxa"/>
            <w:vMerge w:val="restart"/>
            <w:tcBorders>
              <w:top w:val="nil"/>
              <w:left w:val="nil"/>
              <w:right w:val="single" w:color="auto" w:sz="4" w:space="0"/>
            </w:tcBorders>
            <w:shd w:val="clear" w:color="auto" w:fill="auto"/>
            <w:noWrap w:val="0"/>
            <w:vAlign w:val="center"/>
          </w:tcPr>
          <w:p w14:paraId="548D8532">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拒绝履行接受国际视察义务，不配合</w:t>
            </w:r>
            <w:r>
              <w:rPr>
                <w:rFonts w:hint="eastAsia" w:ascii="Times New Roman" w:hAnsi="Times New Roman" w:eastAsia="方正仿宋_GBK"/>
                <w:color w:val="000000"/>
                <w:kern w:val="0"/>
                <w:sz w:val="21"/>
                <w:szCs w:val="21"/>
              </w:rPr>
              <w:t>国际</w:t>
            </w:r>
            <w:r>
              <w:rPr>
                <w:rFonts w:ascii="Times New Roman" w:hAnsi="Times New Roman" w:eastAsia="方正仿宋_GBK"/>
                <w:color w:val="000000"/>
                <w:kern w:val="0"/>
                <w:sz w:val="21"/>
                <w:szCs w:val="21"/>
              </w:rPr>
              <w:t>视察，或者阻扰国际视察进行的</w:t>
            </w:r>
          </w:p>
        </w:tc>
        <w:tc>
          <w:tcPr>
            <w:tcW w:w="5103" w:type="dxa"/>
            <w:vMerge w:val="restart"/>
            <w:tcBorders>
              <w:top w:val="nil"/>
              <w:left w:val="nil"/>
              <w:right w:val="single" w:color="auto" w:sz="4" w:space="0"/>
            </w:tcBorders>
            <w:shd w:val="clear" w:color="auto" w:fill="auto"/>
            <w:noWrap w:val="0"/>
            <w:vAlign w:val="center"/>
          </w:tcPr>
          <w:p w14:paraId="0DEC4CC7">
            <w:pPr>
              <w:widowControl/>
              <w:spacing w:line="240" w:lineRule="exact"/>
              <w:jc w:val="lef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【部门规章】《</w:t>
            </w:r>
            <w:r>
              <w:rPr>
                <w:rFonts w:ascii="Times New Roman" w:hAnsi="Times New Roman" w:eastAsia="宋体"/>
                <w:color w:val="000000"/>
                <w:kern w:val="0"/>
                <w:sz w:val="21"/>
                <w:szCs w:val="21"/>
              </w:rPr>
              <w:t>&lt;</w:t>
            </w:r>
            <w:r>
              <w:rPr>
                <w:rFonts w:ascii="Times New Roman" w:hAnsi="Times New Roman" w:eastAsia="方正仿宋_GBK"/>
                <w:color w:val="000000"/>
                <w:kern w:val="0"/>
                <w:sz w:val="21"/>
                <w:szCs w:val="21"/>
              </w:rPr>
              <w:t>中华人民共和国监控化学品管理条例</w:t>
            </w:r>
            <w:r>
              <w:rPr>
                <w:rFonts w:ascii="Times New Roman" w:hAnsi="Times New Roman" w:eastAsia="宋体"/>
                <w:color w:val="000000"/>
                <w:kern w:val="0"/>
                <w:sz w:val="21"/>
                <w:szCs w:val="21"/>
              </w:rPr>
              <w:t>&gt;</w:t>
            </w:r>
            <w:r>
              <w:rPr>
                <w:rFonts w:ascii="Times New Roman" w:hAnsi="Times New Roman" w:eastAsia="方正仿宋_GBK"/>
                <w:color w:val="000000"/>
                <w:kern w:val="0"/>
                <w:sz w:val="21"/>
                <w:szCs w:val="21"/>
              </w:rPr>
              <w:t>实施细则》（</w:t>
            </w:r>
            <w:r>
              <w:rPr>
                <w:rFonts w:ascii="Times New Roman" w:hAnsi="Times New Roman" w:eastAsia="宋体"/>
                <w:color w:val="000000"/>
                <w:kern w:val="0"/>
                <w:sz w:val="21"/>
                <w:szCs w:val="21"/>
              </w:rPr>
              <w:t>2018</w:t>
            </w:r>
            <w:r>
              <w:rPr>
                <w:rFonts w:ascii="Times New Roman" w:hAnsi="Times New Roman" w:eastAsia="方正仿宋_GBK"/>
                <w:color w:val="000000"/>
                <w:kern w:val="0"/>
                <w:sz w:val="21"/>
                <w:szCs w:val="21"/>
              </w:rPr>
              <w:t>年</w:t>
            </w:r>
            <w:r>
              <w:rPr>
                <w:rFonts w:ascii="Times New Roman" w:hAnsi="Times New Roman" w:eastAsia="宋体"/>
                <w:color w:val="000000"/>
                <w:kern w:val="0"/>
                <w:sz w:val="21"/>
                <w:szCs w:val="21"/>
              </w:rPr>
              <w:t>7</w:t>
            </w:r>
            <w:r>
              <w:rPr>
                <w:rFonts w:ascii="Times New Roman" w:hAnsi="Times New Roman" w:eastAsia="方正仿宋_GBK"/>
                <w:color w:val="000000"/>
                <w:kern w:val="0"/>
                <w:sz w:val="21"/>
                <w:szCs w:val="21"/>
              </w:rPr>
              <w:t>月工业和信息化部令第</w:t>
            </w:r>
            <w:r>
              <w:rPr>
                <w:rFonts w:ascii="Times New Roman" w:hAnsi="Times New Roman" w:eastAsia="宋体"/>
                <w:color w:val="000000"/>
                <w:kern w:val="0"/>
                <w:sz w:val="21"/>
                <w:szCs w:val="21"/>
              </w:rPr>
              <w:t>48</w:t>
            </w:r>
            <w:r>
              <w:rPr>
                <w:rFonts w:ascii="Times New Roman" w:hAnsi="Times New Roman" w:eastAsia="方正仿宋_GBK"/>
                <w:color w:val="000000"/>
                <w:kern w:val="0"/>
                <w:sz w:val="21"/>
                <w:szCs w:val="21"/>
              </w:rPr>
              <w:t>号）第五十四条：</w:t>
            </w:r>
            <w:r>
              <w:rPr>
                <w:rFonts w:ascii="Times New Roman" w:hAnsi="Times New Roman" w:eastAsia="宋体"/>
                <w:color w:val="000000"/>
                <w:kern w:val="0"/>
                <w:sz w:val="21"/>
                <w:szCs w:val="21"/>
              </w:rPr>
              <w:t>“</w:t>
            </w:r>
            <w:r>
              <w:rPr>
                <w:rFonts w:ascii="Times New Roman" w:hAnsi="Times New Roman" w:eastAsia="方正仿宋_GBK"/>
                <w:color w:val="000000"/>
                <w:kern w:val="0"/>
                <w:sz w:val="21"/>
                <w:szCs w:val="21"/>
              </w:rPr>
              <w:t>从事监控化学品的生产、使用活动的，拒绝履行接受国际视察义务，不配合国际视察，或者阻挠国际视察进行的，由所在地的省、自治区、直辖市工业和信息化主管部门责令限期改正，予以警告，可以并处三万元以下罚款。</w:t>
            </w:r>
            <w:r>
              <w:rPr>
                <w:rFonts w:ascii="Times New Roman" w:hAnsi="Times New Roman" w:eastAsia="宋体"/>
                <w:color w:val="000000"/>
                <w:kern w:val="0"/>
                <w:sz w:val="21"/>
                <w:szCs w:val="21"/>
              </w:rPr>
              <w:t>”</w:t>
            </w:r>
          </w:p>
        </w:tc>
        <w:tc>
          <w:tcPr>
            <w:tcW w:w="4986" w:type="dxa"/>
            <w:tcBorders>
              <w:top w:val="nil"/>
              <w:left w:val="nil"/>
              <w:bottom w:val="single" w:color="auto" w:sz="4" w:space="0"/>
              <w:right w:val="single" w:color="auto" w:sz="4" w:space="0"/>
            </w:tcBorders>
            <w:shd w:val="clear" w:color="auto" w:fill="auto"/>
            <w:noWrap w:val="0"/>
            <w:vAlign w:val="center"/>
          </w:tcPr>
          <w:p w14:paraId="69A02C2C">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从事监控化学品的生产、使用活动的，拒绝履行接受国际视察义务</w:t>
            </w:r>
            <w:r>
              <w:rPr>
                <w:rFonts w:hint="eastAsia" w:ascii="Times New Roman" w:hAnsi="Times New Roman" w:eastAsia="方正仿宋_GBK"/>
                <w:color w:val="000000"/>
                <w:kern w:val="0"/>
                <w:sz w:val="21"/>
                <w:szCs w:val="21"/>
              </w:rPr>
              <w:t>的</w:t>
            </w:r>
          </w:p>
        </w:tc>
        <w:tc>
          <w:tcPr>
            <w:tcW w:w="2894" w:type="dxa"/>
            <w:tcBorders>
              <w:top w:val="nil"/>
              <w:left w:val="nil"/>
              <w:bottom w:val="single" w:color="auto" w:sz="4" w:space="0"/>
              <w:right w:val="single" w:color="auto" w:sz="4" w:space="0"/>
            </w:tcBorders>
            <w:shd w:val="clear" w:color="auto" w:fill="auto"/>
            <w:noWrap w:val="0"/>
            <w:vAlign w:val="center"/>
          </w:tcPr>
          <w:p w14:paraId="6231828E">
            <w:pPr>
              <w:widowControl/>
              <w:spacing w:line="240" w:lineRule="exact"/>
              <w:rPr>
                <w:rFonts w:ascii="Times New Roman" w:hAnsi="Times New Roman" w:eastAsia="宋体"/>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万元以下罚款</w:t>
            </w:r>
          </w:p>
        </w:tc>
      </w:tr>
      <w:tr w14:paraId="752C7DDE">
        <w:tblPrEx>
          <w:tblCellMar>
            <w:top w:w="0" w:type="dxa"/>
            <w:left w:w="108" w:type="dxa"/>
            <w:bottom w:w="0" w:type="dxa"/>
            <w:right w:w="108" w:type="dxa"/>
          </w:tblCellMar>
        </w:tblPrEx>
        <w:trPr>
          <w:trHeight w:val="801" w:hRule="atLeast"/>
          <w:jc w:val="center"/>
        </w:trPr>
        <w:tc>
          <w:tcPr>
            <w:tcW w:w="640" w:type="dxa"/>
            <w:vMerge w:val="continue"/>
            <w:tcBorders>
              <w:left w:val="single" w:color="auto" w:sz="4" w:space="0"/>
              <w:right w:val="single" w:color="auto" w:sz="4" w:space="0"/>
            </w:tcBorders>
            <w:shd w:val="clear" w:color="auto" w:fill="auto"/>
            <w:noWrap w:val="0"/>
            <w:vAlign w:val="center"/>
          </w:tcPr>
          <w:p w14:paraId="7E8EF796">
            <w:pPr>
              <w:widowControl/>
              <w:spacing w:line="240" w:lineRule="exact"/>
              <w:jc w:val="center"/>
              <w:rPr>
                <w:rFonts w:ascii="Times New Roman" w:hAnsi="Times New Roman" w:eastAsia="宋体"/>
                <w:color w:val="000000"/>
                <w:kern w:val="0"/>
                <w:sz w:val="21"/>
                <w:szCs w:val="21"/>
              </w:rPr>
            </w:pPr>
          </w:p>
        </w:tc>
        <w:tc>
          <w:tcPr>
            <w:tcW w:w="1221" w:type="dxa"/>
            <w:vMerge w:val="continue"/>
            <w:tcBorders>
              <w:left w:val="nil"/>
              <w:right w:val="single" w:color="auto" w:sz="4" w:space="0"/>
            </w:tcBorders>
            <w:shd w:val="clear" w:color="auto" w:fill="auto"/>
            <w:noWrap w:val="0"/>
            <w:vAlign w:val="center"/>
          </w:tcPr>
          <w:p w14:paraId="44640E7E">
            <w:pPr>
              <w:widowControl/>
              <w:spacing w:line="240" w:lineRule="exact"/>
              <w:jc w:val="left"/>
              <w:rPr>
                <w:rFonts w:ascii="Times New Roman" w:hAnsi="Times New Roman" w:eastAsia="方正仿宋_GBK"/>
                <w:color w:val="000000"/>
                <w:kern w:val="0"/>
                <w:sz w:val="21"/>
                <w:szCs w:val="21"/>
              </w:rPr>
            </w:pPr>
          </w:p>
        </w:tc>
        <w:tc>
          <w:tcPr>
            <w:tcW w:w="5103" w:type="dxa"/>
            <w:vMerge w:val="continue"/>
            <w:tcBorders>
              <w:left w:val="nil"/>
              <w:right w:val="single" w:color="auto" w:sz="4" w:space="0"/>
            </w:tcBorders>
            <w:shd w:val="clear" w:color="auto" w:fill="auto"/>
            <w:noWrap w:val="0"/>
            <w:vAlign w:val="center"/>
          </w:tcPr>
          <w:p w14:paraId="13B44437">
            <w:pPr>
              <w:widowControl/>
              <w:spacing w:line="240" w:lineRule="exact"/>
              <w:jc w:val="left"/>
              <w:rPr>
                <w:rFonts w:ascii="Times New Roman" w:hAnsi="Times New Roman" w:eastAsia="方正仿宋_GBK"/>
                <w:color w:val="000000"/>
                <w:kern w:val="0"/>
                <w:sz w:val="21"/>
                <w:szCs w:val="21"/>
              </w:rPr>
            </w:pP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7010A309">
            <w:pPr>
              <w:widowControl/>
              <w:spacing w:line="240" w:lineRule="exac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从事监控化学品的生产、使用活动的，不配合国际视察的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5D85626B">
            <w:pPr>
              <w:widowControl/>
              <w:spacing w:line="240" w:lineRule="exac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1</w:t>
            </w:r>
            <w:r>
              <w:rPr>
                <w:rFonts w:ascii="Times New Roman" w:hAnsi="Times New Roman" w:eastAsia="方正仿宋_GBK"/>
                <w:color w:val="000000"/>
                <w:kern w:val="0"/>
                <w:sz w:val="21"/>
                <w:szCs w:val="21"/>
              </w:rPr>
              <w:t>万元以</w:t>
            </w:r>
            <w:r>
              <w:rPr>
                <w:rFonts w:hint="eastAsia" w:ascii="Times New Roman" w:hAnsi="Times New Roman" w:eastAsia="方正仿宋_GBK"/>
                <w:color w:val="000000"/>
                <w:kern w:val="0"/>
                <w:sz w:val="21"/>
                <w:szCs w:val="21"/>
              </w:rPr>
              <w:t>上</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万元以下罚款</w:t>
            </w:r>
          </w:p>
        </w:tc>
      </w:tr>
      <w:tr w14:paraId="44F18E03">
        <w:tblPrEx>
          <w:tblCellMar>
            <w:top w:w="0" w:type="dxa"/>
            <w:left w:w="108" w:type="dxa"/>
            <w:bottom w:w="0" w:type="dxa"/>
            <w:right w:w="108" w:type="dxa"/>
          </w:tblCellMar>
        </w:tblPrEx>
        <w:trPr>
          <w:trHeight w:val="801" w:hRule="atLeast"/>
          <w:jc w:val="center"/>
        </w:trPr>
        <w:tc>
          <w:tcPr>
            <w:tcW w:w="640" w:type="dxa"/>
            <w:vMerge w:val="continue"/>
            <w:tcBorders>
              <w:left w:val="single" w:color="auto" w:sz="4" w:space="0"/>
              <w:bottom w:val="single" w:color="auto" w:sz="4" w:space="0"/>
              <w:right w:val="single" w:color="auto" w:sz="4" w:space="0"/>
            </w:tcBorders>
            <w:shd w:val="clear" w:color="auto" w:fill="auto"/>
            <w:noWrap w:val="0"/>
            <w:vAlign w:val="center"/>
          </w:tcPr>
          <w:p w14:paraId="2E91A617">
            <w:pPr>
              <w:widowControl/>
              <w:spacing w:line="240" w:lineRule="exact"/>
              <w:jc w:val="center"/>
              <w:rPr>
                <w:rFonts w:ascii="Times New Roman" w:hAnsi="Times New Roman" w:eastAsia="宋体"/>
                <w:color w:val="000000"/>
                <w:kern w:val="0"/>
                <w:sz w:val="21"/>
                <w:szCs w:val="21"/>
              </w:rPr>
            </w:pPr>
          </w:p>
        </w:tc>
        <w:tc>
          <w:tcPr>
            <w:tcW w:w="1221" w:type="dxa"/>
            <w:vMerge w:val="continue"/>
            <w:tcBorders>
              <w:left w:val="nil"/>
              <w:bottom w:val="single" w:color="auto" w:sz="4" w:space="0"/>
              <w:right w:val="single" w:color="auto" w:sz="4" w:space="0"/>
            </w:tcBorders>
            <w:shd w:val="clear" w:color="auto" w:fill="auto"/>
            <w:noWrap w:val="0"/>
            <w:vAlign w:val="center"/>
          </w:tcPr>
          <w:p w14:paraId="6D9EA1EA">
            <w:pPr>
              <w:widowControl/>
              <w:spacing w:line="240" w:lineRule="exact"/>
              <w:jc w:val="left"/>
              <w:rPr>
                <w:rFonts w:ascii="Times New Roman" w:hAnsi="Times New Roman" w:eastAsia="方正仿宋_GBK"/>
                <w:color w:val="000000"/>
                <w:kern w:val="0"/>
                <w:sz w:val="21"/>
                <w:szCs w:val="21"/>
              </w:rPr>
            </w:pPr>
          </w:p>
        </w:tc>
        <w:tc>
          <w:tcPr>
            <w:tcW w:w="5103" w:type="dxa"/>
            <w:vMerge w:val="continue"/>
            <w:tcBorders>
              <w:left w:val="nil"/>
              <w:bottom w:val="single" w:color="auto" w:sz="4" w:space="0"/>
              <w:right w:val="single" w:color="auto" w:sz="4" w:space="0"/>
            </w:tcBorders>
            <w:shd w:val="clear" w:color="auto" w:fill="auto"/>
            <w:noWrap w:val="0"/>
            <w:vAlign w:val="center"/>
          </w:tcPr>
          <w:p w14:paraId="5D071D0A">
            <w:pPr>
              <w:widowControl/>
              <w:spacing w:line="240" w:lineRule="exact"/>
              <w:jc w:val="left"/>
              <w:rPr>
                <w:rFonts w:ascii="Times New Roman" w:hAnsi="Times New Roman" w:eastAsia="方正仿宋_GBK"/>
                <w:color w:val="000000"/>
                <w:kern w:val="0"/>
                <w:sz w:val="21"/>
                <w:szCs w:val="21"/>
              </w:rPr>
            </w:pPr>
          </w:p>
        </w:tc>
        <w:tc>
          <w:tcPr>
            <w:tcW w:w="4986" w:type="dxa"/>
            <w:tcBorders>
              <w:top w:val="single" w:color="auto" w:sz="4" w:space="0"/>
              <w:left w:val="nil"/>
              <w:bottom w:val="single" w:color="auto" w:sz="4" w:space="0"/>
              <w:right w:val="single" w:color="auto" w:sz="4" w:space="0"/>
            </w:tcBorders>
            <w:shd w:val="clear" w:color="auto" w:fill="auto"/>
            <w:noWrap w:val="0"/>
            <w:vAlign w:val="center"/>
          </w:tcPr>
          <w:p w14:paraId="1BDF0380">
            <w:pPr>
              <w:widowControl/>
              <w:spacing w:line="240" w:lineRule="exac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从事监控化学品的生产、使用活动的，阻挠国际视察进行的</w:t>
            </w:r>
          </w:p>
        </w:tc>
        <w:tc>
          <w:tcPr>
            <w:tcW w:w="2894" w:type="dxa"/>
            <w:tcBorders>
              <w:top w:val="single" w:color="auto" w:sz="4" w:space="0"/>
              <w:left w:val="nil"/>
              <w:bottom w:val="single" w:color="auto" w:sz="4" w:space="0"/>
              <w:right w:val="single" w:color="auto" w:sz="4" w:space="0"/>
            </w:tcBorders>
            <w:shd w:val="clear" w:color="auto" w:fill="auto"/>
            <w:noWrap w:val="0"/>
            <w:vAlign w:val="center"/>
          </w:tcPr>
          <w:p w14:paraId="5B75778B">
            <w:pPr>
              <w:widowControl/>
              <w:spacing w:line="240" w:lineRule="exact"/>
              <w:rPr>
                <w:rFonts w:ascii="Times New Roman" w:hAnsi="Times New Roman" w:eastAsia="方正仿宋_GBK"/>
                <w:color w:val="000000"/>
                <w:kern w:val="0"/>
                <w:sz w:val="21"/>
                <w:szCs w:val="21"/>
              </w:rPr>
            </w:pPr>
            <w:r>
              <w:rPr>
                <w:rFonts w:ascii="Times New Roman" w:hAnsi="Times New Roman" w:eastAsia="方正仿宋_GBK"/>
                <w:color w:val="000000"/>
                <w:kern w:val="0"/>
                <w:sz w:val="21"/>
                <w:szCs w:val="21"/>
              </w:rPr>
              <w:t>责令限期改正，警告，处</w:t>
            </w:r>
            <w:r>
              <w:rPr>
                <w:rFonts w:ascii="Times New Roman" w:hAnsi="Times New Roman" w:eastAsia="宋体"/>
                <w:color w:val="000000"/>
                <w:kern w:val="0"/>
                <w:sz w:val="21"/>
                <w:szCs w:val="21"/>
              </w:rPr>
              <w:t>2</w:t>
            </w:r>
            <w:r>
              <w:rPr>
                <w:rFonts w:ascii="Times New Roman" w:hAnsi="Times New Roman" w:eastAsia="方正仿宋_GBK"/>
                <w:color w:val="000000"/>
                <w:kern w:val="0"/>
                <w:sz w:val="21"/>
                <w:szCs w:val="21"/>
              </w:rPr>
              <w:t>万元以</w:t>
            </w:r>
            <w:r>
              <w:rPr>
                <w:rFonts w:hint="eastAsia" w:ascii="Times New Roman" w:hAnsi="Times New Roman" w:eastAsia="方正仿宋_GBK"/>
                <w:color w:val="000000"/>
                <w:kern w:val="0"/>
                <w:sz w:val="21"/>
                <w:szCs w:val="21"/>
              </w:rPr>
              <w:t>上</w:t>
            </w:r>
            <w:r>
              <w:rPr>
                <w:rFonts w:ascii="Times New Roman" w:hAnsi="Times New Roman" w:eastAsia="宋体"/>
                <w:color w:val="000000"/>
                <w:kern w:val="0"/>
                <w:sz w:val="21"/>
                <w:szCs w:val="21"/>
              </w:rPr>
              <w:t>3</w:t>
            </w:r>
            <w:r>
              <w:rPr>
                <w:rFonts w:ascii="Times New Roman" w:hAnsi="Times New Roman" w:eastAsia="方正仿宋_GBK"/>
                <w:color w:val="000000"/>
                <w:kern w:val="0"/>
                <w:sz w:val="21"/>
                <w:szCs w:val="21"/>
              </w:rPr>
              <w:t>万元以下罚款</w:t>
            </w:r>
          </w:p>
        </w:tc>
      </w:tr>
    </w:tbl>
    <w:p w14:paraId="0549B464">
      <w:pPr>
        <w:spacing w:line="590" w:lineRule="exact"/>
        <w:jc w:val="center"/>
        <w:rPr>
          <w:rFonts w:ascii="Times New Roman" w:hAnsi="Times New Roman" w:eastAsia="方正仿宋_GBK"/>
          <w:color w:val="000000"/>
          <w:kern w:val="0"/>
          <w:sz w:val="21"/>
          <w:szCs w:val="21"/>
        </w:rPr>
      </w:pPr>
    </w:p>
    <w:p w14:paraId="72CFD65C">
      <w:pPr>
        <w:spacing w:after="240" w:line="590" w:lineRule="exact"/>
        <w:jc w:val="center"/>
        <w:rPr>
          <w:rFonts w:hint="eastAsia" w:ascii="方正小标宋_GBK" w:hAnsi="Times New Roman" w:eastAsia="方正小标宋_GBK"/>
          <w:color w:val="000000"/>
          <w:kern w:val="0"/>
          <w:sz w:val="24"/>
          <w:szCs w:val="21"/>
        </w:rPr>
      </w:pPr>
      <w:r>
        <w:rPr>
          <w:rFonts w:hint="eastAsia" w:ascii="方正小标宋_GBK" w:hAnsi="Times New Roman" w:eastAsia="方正小标宋_GBK"/>
          <w:color w:val="000000"/>
          <w:kern w:val="0"/>
          <w:sz w:val="24"/>
          <w:szCs w:val="21"/>
        </w:rPr>
        <w:t>附表：监控化学品宣布阈值、核查阈值一览表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60"/>
        <w:gridCol w:w="2977"/>
        <w:gridCol w:w="4536"/>
        <w:gridCol w:w="4001"/>
      </w:tblGrid>
      <w:tr w14:paraId="0AE88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7" w:type="dxa"/>
            <w:gridSpan w:val="2"/>
            <w:shd w:val="clear" w:color="auto" w:fill="auto"/>
            <w:noWrap w:val="0"/>
            <w:vAlign w:val="center"/>
          </w:tcPr>
          <w:p w14:paraId="27E55D97">
            <w:pPr>
              <w:spacing w:line="360" w:lineRule="exact"/>
              <w:jc w:val="center"/>
              <w:rPr>
                <w:rFonts w:hint="eastAsia" w:ascii="方正黑体_GBK" w:hAnsi="Times New Roman" w:eastAsia="方正黑体_GBK"/>
                <w:color w:val="000000"/>
                <w:kern w:val="0"/>
                <w:sz w:val="21"/>
                <w:szCs w:val="21"/>
              </w:rPr>
            </w:pPr>
            <w:r>
              <w:rPr>
                <w:rFonts w:hint="eastAsia" w:ascii="方正黑体_GBK" w:hAnsi="Times New Roman" w:eastAsia="方正黑体_GBK"/>
                <w:color w:val="000000"/>
                <w:kern w:val="0"/>
                <w:sz w:val="21"/>
                <w:szCs w:val="21"/>
              </w:rPr>
              <w:t>化学品类别</w:t>
            </w:r>
          </w:p>
        </w:tc>
        <w:tc>
          <w:tcPr>
            <w:tcW w:w="4536" w:type="dxa"/>
            <w:shd w:val="clear" w:color="auto" w:fill="auto"/>
            <w:noWrap w:val="0"/>
            <w:vAlign w:val="center"/>
          </w:tcPr>
          <w:p w14:paraId="31628015">
            <w:pPr>
              <w:spacing w:line="360" w:lineRule="exact"/>
              <w:jc w:val="center"/>
              <w:rPr>
                <w:rFonts w:hint="eastAsia" w:ascii="方正黑体_GBK" w:hAnsi="Times New Roman" w:eastAsia="方正黑体_GBK"/>
                <w:color w:val="000000"/>
                <w:kern w:val="0"/>
                <w:sz w:val="21"/>
                <w:szCs w:val="21"/>
              </w:rPr>
            </w:pPr>
            <w:r>
              <w:rPr>
                <w:rFonts w:hint="eastAsia" w:ascii="方正黑体_GBK" w:hAnsi="Times New Roman" w:eastAsia="方正黑体_GBK"/>
                <w:color w:val="000000"/>
                <w:kern w:val="0"/>
                <w:sz w:val="21"/>
                <w:szCs w:val="21"/>
              </w:rPr>
              <w:t>宣布阈值</w:t>
            </w:r>
          </w:p>
        </w:tc>
        <w:tc>
          <w:tcPr>
            <w:tcW w:w="4001" w:type="dxa"/>
            <w:shd w:val="clear" w:color="auto" w:fill="auto"/>
            <w:noWrap w:val="0"/>
            <w:vAlign w:val="center"/>
          </w:tcPr>
          <w:p w14:paraId="7C2517A9">
            <w:pPr>
              <w:spacing w:line="360" w:lineRule="exact"/>
              <w:jc w:val="center"/>
              <w:rPr>
                <w:rFonts w:hint="eastAsia" w:ascii="方正黑体_GBK" w:hAnsi="Times New Roman" w:eastAsia="方正黑体_GBK"/>
                <w:color w:val="000000"/>
                <w:kern w:val="0"/>
                <w:sz w:val="21"/>
                <w:szCs w:val="21"/>
              </w:rPr>
            </w:pPr>
            <w:r>
              <w:rPr>
                <w:rFonts w:hint="eastAsia" w:ascii="方正黑体_GBK" w:hAnsi="Times New Roman" w:eastAsia="方正黑体_GBK"/>
                <w:color w:val="000000"/>
                <w:kern w:val="0"/>
                <w:sz w:val="21"/>
                <w:szCs w:val="21"/>
              </w:rPr>
              <w:t>核查阈值</w:t>
            </w:r>
          </w:p>
        </w:tc>
      </w:tr>
      <w:tr w14:paraId="1C462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660" w:type="dxa"/>
            <w:vMerge w:val="restart"/>
            <w:shd w:val="clear" w:color="auto" w:fill="auto"/>
            <w:noWrap w:val="0"/>
            <w:vAlign w:val="center"/>
          </w:tcPr>
          <w:p w14:paraId="2AFBBE82">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第二类监控化学品</w:t>
            </w:r>
          </w:p>
        </w:tc>
        <w:tc>
          <w:tcPr>
            <w:tcW w:w="2977" w:type="dxa"/>
            <w:shd w:val="clear" w:color="auto" w:fill="auto"/>
            <w:noWrap w:val="0"/>
            <w:vAlign w:val="center"/>
          </w:tcPr>
          <w:p w14:paraId="3800E0C8">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附表2</w:t>
            </w:r>
            <w:r>
              <w:rPr>
                <w:rFonts w:ascii="Times New Roman" w:hAnsi="Times New Roman" w:eastAsia="方正仿宋_GBK"/>
                <w:color w:val="000000"/>
                <w:kern w:val="0"/>
                <w:sz w:val="21"/>
                <w:szCs w:val="21"/>
              </w:rPr>
              <w:t>A*化学品</w:t>
            </w:r>
          </w:p>
        </w:tc>
        <w:tc>
          <w:tcPr>
            <w:tcW w:w="4536" w:type="dxa"/>
            <w:shd w:val="clear" w:color="auto" w:fill="auto"/>
            <w:noWrap w:val="0"/>
            <w:vAlign w:val="center"/>
          </w:tcPr>
          <w:p w14:paraId="0D9BD826">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1千克</w:t>
            </w:r>
          </w:p>
        </w:tc>
        <w:tc>
          <w:tcPr>
            <w:tcW w:w="4001" w:type="dxa"/>
            <w:shd w:val="clear" w:color="auto" w:fill="auto"/>
            <w:noWrap w:val="0"/>
            <w:vAlign w:val="center"/>
          </w:tcPr>
          <w:p w14:paraId="3A503EF4">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w:t>
            </w:r>
            <w:r>
              <w:rPr>
                <w:rFonts w:ascii="Times New Roman" w:hAnsi="Times New Roman" w:eastAsia="方正仿宋_GBK"/>
                <w:color w:val="000000"/>
                <w:kern w:val="0"/>
                <w:sz w:val="21"/>
                <w:szCs w:val="21"/>
              </w:rPr>
              <w:t>0千克</w:t>
            </w:r>
          </w:p>
        </w:tc>
      </w:tr>
      <w:tr w14:paraId="214EE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660" w:type="dxa"/>
            <w:vMerge w:val="continue"/>
            <w:shd w:val="clear" w:color="auto" w:fill="auto"/>
            <w:noWrap w:val="0"/>
            <w:vAlign w:val="center"/>
          </w:tcPr>
          <w:p w14:paraId="1E98EB12">
            <w:pPr>
              <w:spacing w:line="360" w:lineRule="exact"/>
              <w:rPr>
                <w:rFonts w:hint="eastAsia" w:ascii="Times New Roman" w:hAnsi="Times New Roman" w:eastAsia="方正仿宋_GBK"/>
                <w:color w:val="000000"/>
                <w:kern w:val="0"/>
                <w:sz w:val="21"/>
                <w:szCs w:val="21"/>
              </w:rPr>
            </w:pPr>
          </w:p>
        </w:tc>
        <w:tc>
          <w:tcPr>
            <w:tcW w:w="2977" w:type="dxa"/>
            <w:shd w:val="clear" w:color="auto" w:fill="auto"/>
            <w:noWrap w:val="0"/>
            <w:vAlign w:val="center"/>
          </w:tcPr>
          <w:p w14:paraId="47787DD7">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附表2</w:t>
            </w:r>
            <w:r>
              <w:rPr>
                <w:rFonts w:ascii="Times New Roman" w:hAnsi="Times New Roman" w:eastAsia="方正仿宋_GBK"/>
                <w:color w:val="000000"/>
                <w:kern w:val="0"/>
                <w:sz w:val="21"/>
                <w:szCs w:val="21"/>
              </w:rPr>
              <w:t>A化学品</w:t>
            </w:r>
          </w:p>
        </w:tc>
        <w:tc>
          <w:tcPr>
            <w:tcW w:w="4536" w:type="dxa"/>
            <w:shd w:val="clear" w:color="auto" w:fill="auto"/>
            <w:noWrap w:val="0"/>
            <w:vAlign w:val="center"/>
          </w:tcPr>
          <w:p w14:paraId="49ECEA15">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w:t>
            </w:r>
            <w:r>
              <w:rPr>
                <w:rFonts w:ascii="Times New Roman" w:hAnsi="Times New Roman" w:eastAsia="方正仿宋_GBK"/>
                <w:color w:val="000000"/>
                <w:kern w:val="0"/>
                <w:sz w:val="21"/>
                <w:szCs w:val="21"/>
              </w:rPr>
              <w:t>00千克</w:t>
            </w:r>
          </w:p>
        </w:tc>
        <w:tc>
          <w:tcPr>
            <w:tcW w:w="4001" w:type="dxa"/>
            <w:shd w:val="clear" w:color="auto" w:fill="auto"/>
            <w:noWrap w:val="0"/>
            <w:vAlign w:val="center"/>
          </w:tcPr>
          <w:p w14:paraId="421821CB">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1吨</w:t>
            </w:r>
          </w:p>
        </w:tc>
      </w:tr>
      <w:tr w14:paraId="6470C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660" w:type="dxa"/>
            <w:vMerge w:val="continue"/>
            <w:shd w:val="clear" w:color="auto" w:fill="auto"/>
            <w:noWrap w:val="0"/>
            <w:vAlign w:val="center"/>
          </w:tcPr>
          <w:p w14:paraId="78BC4B2C">
            <w:pPr>
              <w:spacing w:line="360" w:lineRule="exact"/>
              <w:rPr>
                <w:rFonts w:hint="eastAsia" w:ascii="Times New Roman" w:hAnsi="Times New Roman" w:eastAsia="方正仿宋_GBK"/>
                <w:color w:val="000000"/>
                <w:kern w:val="0"/>
                <w:sz w:val="21"/>
                <w:szCs w:val="21"/>
              </w:rPr>
            </w:pPr>
          </w:p>
        </w:tc>
        <w:tc>
          <w:tcPr>
            <w:tcW w:w="2977" w:type="dxa"/>
            <w:shd w:val="clear" w:color="auto" w:fill="auto"/>
            <w:noWrap w:val="0"/>
            <w:vAlign w:val="center"/>
          </w:tcPr>
          <w:p w14:paraId="7358C07F">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附表2</w:t>
            </w:r>
            <w:r>
              <w:rPr>
                <w:rFonts w:ascii="Times New Roman" w:hAnsi="Times New Roman" w:eastAsia="方正仿宋_GBK"/>
                <w:color w:val="000000"/>
                <w:kern w:val="0"/>
                <w:sz w:val="21"/>
                <w:szCs w:val="21"/>
              </w:rPr>
              <w:t>B化学品</w:t>
            </w:r>
          </w:p>
        </w:tc>
        <w:tc>
          <w:tcPr>
            <w:tcW w:w="4536" w:type="dxa"/>
            <w:shd w:val="clear" w:color="auto" w:fill="auto"/>
            <w:noWrap w:val="0"/>
            <w:vAlign w:val="center"/>
          </w:tcPr>
          <w:p w14:paraId="2BB6CB23">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1吨</w:t>
            </w:r>
          </w:p>
        </w:tc>
        <w:tc>
          <w:tcPr>
            <w:tcW w:w="4001" w:type="dxa"/>
            <w:shd w:val="clear" w:color="auto" w:fill="auto"/>
            <w:noWrap w:val="0"/>
            <w:vAlign w:val="center"/>
          </w:tcPr>
          <w:p w14:paraId="7B849496">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1</w:t>
            </w:r>
            <w:r>
              <w:rPr>
                <w:rFonts w:ascii="Times New Roman" w:hAnsi="Times New Roman" w:eastAsia="方正仿宋_GBK"/>
                <w:color w:val="000000"/>
                <w:kern w:val="0"/>
                <w:sz w:val="21"/>
                <w:szCs w:val="21"/>
              </w:rPr>
              <w:t>0吨</w:t>
            </w:r>
          </w:p>
        </w:tc>
      </w:tr>
      <w:tr w14:paraId="504DF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660" w:type="dxa"/>
            <w:shd w:val="clear" w:color="auto" w:fill="auto"/>
            <w:noWrap w:val="0"/>
            <w:vAlign w:val="center"/>
          </w:tcPr>
          <w:p w14:paraId="223450B6">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第三类监控化学品</w:t>
            </w:r>
          </w:p>
        </w:tc>
        <w:tc>
          <w:tcPr>
            <w:tcW w:w="2977" w:type="dxa"/>
            <w:shd w:val="clear" w:color="auto" w:fill="auto"/>
            <w:noWrap w:val="0"/>
            <w:vAlign w:val="center"/>
          </w:tcPr>
          <w:p w14:paraId="16F73AA6">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附表3化学品</w:t>
            </w:r>
          </w:p>
        </w:tc>
        <w:tc>
          <w:tcPr>
            <w:tcW w:w="4536" w:type="dxa"/>
            <w:shd w:val="clear" w:color="auto" w:fill="auto"/>
            <w:noWrap w:val="0"/>
            <w:vAlign w:val="center"/>
          </w:tcPr>
          <w:p w14:paraId="54FA4959">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3</w:t>
            </w:r>
            <w:r>
              <w:rPr>
                <w:rFonts w:ascii="Times New Roman" w:hAnsi="Times New Roman" w:eastAsia="方正仿宋_GBK"/>
                <w:color w:val="000000"/>
                <w:kern w:val="0"/>
                <w:sz w:val="21"/>
                <w:szCs w:val="21"/>
              </w:rPr>
              <w:t>0吨</w:t>
            </w:r>
          </w:p>
        </w:tc>
        <w:tc>
          <w:tcPr>
            <w:tcW w:w="4001" w:type="dxa"/>
            <w:shd w:val="clear" w:color="auto" w:fill="auto"/>
            <w:noWrap w:val="0"/>
            <w:vAlign w:val="center"/>
          </w:tcPr>
          <w:p w14:paraId="3AB064F0">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2</w:t>
            </w:r>
            <w:r>
              <w:rPr>
                <w:rFonts w:ascii="Times New Roman" w:hAnsi="Times New Roman" w:eastAsia="方正仿宋_GBK"/>
                <w:color w:val="000000"/>
                <w:kern w:val="0"/>
                <w:sz w:val="21"/>
                <w:szCs w:val="21"/>
              </w:rPr>
              <w:t>00吨</w:t>
            </w:r>
          </w:p>
        </w:tc>
      </w:tr>
      <w:tr w14:paraId="7263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exact"/>
        </w:trPr>
        <w:tc>
          <w:tcPr>
            <w:tcW w:w="2660" w:type="dxa"/>
            <w:shd w:val="clear" w:color="auto" w:fill="auto"/>
            <w:noWrap w:val="0"/>
            <w:vAlign w:val="center"/>
          </w:tcPr>
          <w:p w14:paraId="2596E4FB">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第四类监控化学品</w:t>
            </w:r>
          </w:p>
        </w:tc>
        <w:tc>
          <w:tcPr>
            <w:tcW w:w="2977" w:type="dxa"/>
            <w:shd w:val="clear" w:color="auto" w:fill="auto"/>
            <w:noWrap w:val="0"/>
            <w:vAlign w:val="center"/>
          </w:tcPr>
          <w:p w14:paraId="6D61E966">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其他化学生产设施</w:t>
            </w:r>
          </w:p>
        </w:tc>
        <w:tc>
          <w:tcPr>
            <w:tcW w:w="4536" w:type="dxa"/>
            <w:shd w:val="clear" w:color="auto" w:fill="auto"/>
            <w:noWrap w:val="0"/>
            <w:vAlign w:val="center"/>
          </w:tcPr>
          <w:p w14:paraId="3584BB9C">
            <w:pPr>
              <w:spacing w:line="360" w:lineRule="exact"/>
              <w:rPr>
                <w:rFonts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2</w:t>
            </w:r>
            <w:r>
              <w:rPr>
                <w:rFonts w:ascii="Times New Roman" w:hAnsi="Times New Roman" w:eastAsia="方正仿宋_GBK"/>
                <w:color w:val="000000"/>
                <w:kern w:val="0"/>
                <w:sz w:val="21"/>
                <w:szCs w:val="21"/>
              </w:rPr>
              <w:t>00吨</w:t>
            </w:r>
          </w:p>
          <w:p w14:paraId="550125E3">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3</w:t>
            </w:r>
            <w:r>
              <w:rPr>
                <w:rFonts w:ascii="Times New Roman" w:hAnsi="Times New Roman" w:eastAsia="方正仿宋_GBK"/>
                <w:color w:val="000000"/>
                <w:kern w:val="0"/>
                <w:sz w:val="21"/>
                <w:szCs w:val="21"/>
              </w:rPr>
              <w:t>0吨（含有磷、硫、氟的特定有机化学品）</w:t>
            </w:r>
          </w:p>
        </w:tc>
        <w:tc>
          <w:tcPr>
            <w:tcW w:w="4001" w:type="dxa"/>
            <w:shd w:val="clear" w:color="auto" w:fill="auto"/>
            <w:noWrap w:val="0"/>
            <w:vAlign w:val="center"/>
          </w:tcPr>
          <w:p w14:paraId="48484A6C">
            <w:pPr>
              <w:spacing w:line="360" w:lineRule="exact"/>
              <w:rPr>
                <w:rFonts w:hint="eastAsia" w:ascii="Times New Roman" w:hAnsi="Times New Roman" w:eastAsia="方正仿宋_GBK"/>
                <w:color w:val="000000"/>
                <w:kern w:val="0"/>
                <w:sz w:val="21"/>
                <w:szCs w:val="21"/>
              </w:rPr>
            </w:pPr>
            <w:r>
              <w:rPr>
                <w:rFonts w:hint="eastAsia" w:ascii="Times New Roman" w:hAnsi="Times New Roman" w:eastAsia="方正仿宋_GBK"/>
                <w:color w:val="000000"/>
                <w:kern w:val="0"/>
                <w:sz w:val="21"/>
                <w:szCs w:val="21"/>
              </w:rPr>
              <w:t>2</w:t>
            </w:r>
            <w:r>
              <w:rPr>
                <w:rFonts w:ascii="Times New Roman" w:hAnsi="Times New Roman" w:eastAsia="方正仿宋_GBK"/>
                <w:color w:val="000000"/>
                <w:kern w:val="0"/>
                <w:sz w:val="21"/>
                <w:szCs w:val="21"/>
              </w:rPr>
              <w:t>00吨</w:t>
            </w:r>
          </w:p>
        </w:tc>
      </w:tr>
    </w:tbl>
    <w:p w14:paraId="5EE09080">
      <w:pPr>
        <w:spacing w:line="590" w:lineRule="exact"/>
        <w:jc w:val="left"/>
        <w:rPr>
          <w:rFonts w:hint="eastAsia" w:ascii="Times New Roman" w:hAnsi="Times New Roman" w:eastAsia="方正仿宋_GBK"/>
          <w:color w:val="000000"/>
          <w:kern w:val="0"/>
          <w:sz w:val="21"/>
          <w:szCs w:val="21"/>
        </w:rPr>
      </w:pPr>
    </w:p>
    <w:p w14:paraId="6279B393"/>
    <w:sectPr>
      <w:headerReference r:id="rId5" w:type="default"/>
      <w:footerReference r:id="rId7" w:type="default"/>
      <w:headerReference r:id="rId6" w:type="even"/>
      <w:footerReference r:id="rId8" w:type="even"/>
      <w:pgSz w:w="16838" w:h="11906" w:orient="landscape"/>
      <w:pgMar w:top="1531" w:right="1440" w:bottom="1531" w:left="1440" w:header="851" w:footer="992"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仿宋">
    <w:altName w:val="微软雅黑"/>
    <w:panose1 w:val="02010609060101010101"/>
    <w:charset w:val="86"/>
    <w:family w:val="modern"/>
    <w:pitch w:val="default"/>
    <w:sig w:usb0="00000000" w:usb1="00000000" w:usb2="00000016" w:usb3="00000000" w:csb0="00040001"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Wingdings 3">
    <w:panose1 w:val="05040102010807070707"/>
    <w:charset w:val="00"/>
    <w:family w:val="auto"/>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B63C0">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AB49FA6">
                          <w:pPr>
                            <w:pStyle w:val="2"/>
                            <w:rPr>
                              <w:rFonts w:hint="eastAsia"/>
                              <w:sz w:val="24"/>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- 3 -</w:t>
                          </w:r>
                          <w:r>
                            <w:rPr>
                              <w:rFonts w:hint="eastAsia" w:ascii="宋体" w:hAnsi="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2AB49FA6">
                    <w:pPr>
                      <w:pStyle w:val="2"/>
                      <w:rPr>
                        <w:rFonts w:hint="eastAsia"/>
                        <w:sz w:val="24"/>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- 3 -</w:t>
                    </w:r>
                    <w:r>
                      <w:rPr>
                        <w:rFonts w:hint="eastAsia" w:ascii="宋体" w:hAnsi="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6C86B">
    <w:pPr>
      <w:pStyle w:val="2"/>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3</w:t>
    </w:r>
    <w:r>
      <w:rPr>
        <w:rFonts w:ascii="Times New Roman" w:hAnsi="Times New Roman"/>
        <w:sz w:val="28"/>
        <w:szCs w:val="28"/>
      </w:rPr>
      <w:fldChar w:fldCharType="end"/>
    </w:r>
    <w:r>
      <w:rPr>
        <w:rFonts w:ascii="Times New Roman" w:hAnsi="Times New Roman"/>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E161A">
    <w:pPr>
      <w:pStyle w:val="2"/>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4</w:t>
    </w:r>
    <w:r>
      <w:rPr>
        <w:rFonts w:ascii="Times New Roman" w:hAnsi="Times New Roman"/>
        <w:sz w:val="28"/>
        <w:szCs w:val="28"/>
      </w:rPr>
      <w:fldChar w:fldCharType="end"/>
    </w:r>
    <w:r>
      <w:rPr>
        <w:rFonts w:ascii="Times New Roman" w:hAnsi="Times New Roman"/>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878B7">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462F1F">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D47DF">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CF423E"/>
    <w:rsid w:val="09F204B1"/>
    <w:rsid w:val="0C460641"/>
    <w:rsid w:val="0CCF423E"/>
    <w:rsid w:val="1F32696E"/>
    <w:rsid w:val="2A297A9C"/>
    <w:rsid w:val="2C4B5AD3"/>
    <w:rsid w:val="31AC2700"/>
    <w:rsid w:val="477E72F5"/>
    <w:rsid w:val="589C308F"/>
    <w:rsid w:val="5D8501CB"/>
    <w:rsid w:val="5FEFD32A"/>
    <w:rsid w:val="67C9107F"/>
    <w:rsid w:val="6E5E2D1F"/>
    <w:rsid w:val="75134281"/>
    <w:rsid w:val="760A7432"/>
    <w:rsid w:val="7A1E65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 w:cs="Times New Roman"/>
      <w:kern w:val="2"/>
      <w:sz w:val="32"/>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qFormat/>
    <w:uiPriority w:val="0"/>
    <w:rPr>
      <w:b/>
      <w:bCs/>
    </w:rPr>
  </w:style>
  <w:style w:type="character" w:styleId="8">
    <w:name w:val="Hyperlink"/>
    <w:unhideWhenUsed/>
    <w:qFormat/>
    <w:uiPriority w:val="99"/>
    <w:rPr>
      <w:color w:val="0563C1"/>
      <w:u w:val="singl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286</Words>
  <Characters>330</Characters>
  <Lines>0</Lines>
  <Paragraphs>0</Paragraphs>
  <TotalTime>10</TotalTime>
  <ScaleCrop>false</ScaleCrop>
  <LinksUpToDate>false</LinksUpToDate>
  <CharactersWithSpaces>330</CharactersWithSpaces>
  <Application>WPS Office_12.1.2.25882_F1E327BC-269C-435d-A152-05C5408002CA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2026-07-13T16:29:00Z</dcterms:created>
  <dc:creator>娟娟</dc:creator>
  <cp:lastModifiedBy>user</cp:lastModifiedBy>
  <dcterms:modified xsi:type="dcterms:W3CDTF">2026-07-14T16:21:01Z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2052-12.1.2.25882</vt:lpwstr>
  </property>
  <property fmtid="{D5CDD505-2E9C-101B-9397-08002B2CF9AE}" pid="3" name="ICV">
    <vt:lpwstr>2021EDD3CB0EA7F349F1556A279EF692_43</vt:lpwstr>
  </property>
  <property fmtid="{D5CDD505-2E9C-101B-9397-08002B2CF9AE}" pid="4" name="KSOTemplateDocerSaveRecord">
    <vt:lpwstr>eyJoZGlkIjoiNjQxOTUyYzE0NmNhZmM2ZTBjNDNhN2E2YmRkNmMxYWEiLCJ1c2VySWQiOiIzMTYyNzkwNTMifQ==</vt:lpwstr>
  </property>
</Properties>
</file>