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B6" w:rsidRPr="00DB42F3" w:rsidRDefault="005A01CF">
      <w:pPr>
        <w:rPr>
          <w:rFonts w:ascii="Times New Roman" w:eastAsia="黑体" w:hAnsi="Times New Roman" w:cs="Times New Roman"/>
          <w:sz w:val="32"/>
          <w:szCs w:val="32"/>
        </w:rPr>
      </w:pPr>
      <w:r w:rsidRPr="00DB42F3">
        <w:rPr>
          <w:rFonts w:ascii="Times New Roman" w:eastAsia="黑体" w:hAnsi="Times New Roman" w:cs="Times New Roman"/>
          <w:sz w:val="32"/>
          <w:szCs w:val="32"/>
        </w:rPr>
        <w:t>附件</w:t>
      </w:r>
      <w:r w:rsidRPr="00DB42F3">
        <w:rPr>
          <w:rFonts w:ascii="Times New Roman" w:eastAsia="黑体" w:hAnsi="Times New Roman" w:cs="Times New Roman"/>
          <w:sz w:val="32"/>
          <w:szCs w:val="32"/>
        </w:rPr>
        <w:t>1</w:t>
      </w:r>
    </w:p>
    <w:p w:rsidR="00AB45B6" w:rsidRPr="00DB42F3" w:rsidRDefault="00E83189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江苏省</w:t>
      </w:r>
      <w:r w:rsidR="005A01CF" w:rsidRPr="00DB42F3">
        <w:rPr>
          <w:rFonts w:ascii="Times New Roman" w:eastAsia="方正小标宋_GBK" w:hAnsi="Times New Roman" w:cs="Times New Roman"/>
          <w:sz w:val="44"/>
          <w:szCs w:val="44"/>
        </w:rPr>
        <w:t>省级企业技术中心初评方法</w:t>
      </w:r>
    </w:p>
    <w:p w:rsidR="00AB45B6" w:rsidRPr="00DB42F3" w:rsidRDefault="00AB45B6">
      <w:pPr>
        <w:jc w:val="left"/>
        <w:rPr>
          <w:rFonts w:ascii="Times New Roman" w:hAnsi="Times New Roman" w:cs="Times New Roman"/>
          <w:b/>
          <w:sz w:val="30"/>
          <w:szCs w:val="30"/>
        </w:rPr>
      </w:pPr>
    </w:p>
    <w:p w:rsidR="00AB45B6" w:rsidRPr="00DB42F3" w:rsidRDefault="005A01CF">
      <w:pPr>
        <w:widowControl/>
        <w:spacing w:line="540" w:lineRule="exact"/>
        <w:ind w:firstLine="600"/>
        <w:rPr>
          <w:rFonts w:ascii="Times New Roman" w:eastAsia="方正仿宋_GBK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省级企业技术中心的初评按以下程序进行：</w:t>
      </w:r>
    </w:p>
    <w:p w:rsidR="00AB45B6" w:rsidRPr="00DB42F3" w:rsidRDefault="005A01CF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黑体_GBK" w:hAnsi="Times New Roman" w:cs="Times New Roman"/>
          <w:kern w:val="0"/>
          <w:sz w:val="30"/>
          <w:szCs w:val="30"/>
        </w:rPr>
        <w:t>一、基础数据处理</w:t>
      </w:r>
    </w:p>
    <w:p w:rsidR="00AB45B6" w:rsidRPr="00DB42F3" w:rsidRDefault="005A01CF">
      <w:pPr>
        <w:widowControl/>
        <w:spacing w:line="540" w:lineRule="exact"/>
        <w:ind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在进行正式评价之前，根据《江苏省省级企业技术中心工作指南（试行）》（苏工</w:t>
      </w:r>
      <w:proofErr w:type="gramStart"/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信创新</w:t>
      </w:r>
      <w:proofErr w:type="gramEnd"/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〔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2020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〕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258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号，以下简称《工作指南》）明确的各项指标解释，结合申请报</w:t>
      </w:r>
      <w:bookmarkStart w:id="0" w:name="_GoBack"/>
      <w:bookmarkEnd w:id="0"/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告中的相关附件及证明材料，对企业技术中心提交的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江苏省省级企业技术中心评价数据表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”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中各项数据值进行逐项核实，对证明材料缺失或无效的数据，按量予以核减，以最终的核定数据作为计算每项指标得分的依据。</w:t>
      </w:r>
    </w:p>
    <w:p w:rsidR="00AB45B6" w:rsidRPr="00DB42F3" w:rsidRDefault="005A01CF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黑体_GBK" w:hAnsi="Times New Roman" w:cs="Times New Roman"/>
          <w:kern w:val="0"/>
          <w:sz w:val="30"/>
          <w:szCs w:val="30"/>
        </w:rPr>
        <w:t>二、指标数值计算</w:t>
      </w:r>
    </w:p>
    <w:p w:rsidR="00AB45B6" w:rsidRPr="00DB42F3" w:rsidRDefault="005A01CF">
      <w:pPr>
        <w:spacing w:line="540" w:lineRule="exact"/>
        <w:ind w:right="4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在获得各项指标的核定数据后，可获得《江苏省省级企业技术中心评价指标体系》（见《工作指南》附件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Times New Roman" w:hAnsi="Times New Roman" w:cs="Times New Roman"/>
          <w:kern w:val="0"/>
          <w:sz w:val="30"/>
          <w:szCs w:val="30"/>
        </w:rPr>
        <w:t>4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第一部分）中各项指标的数值。其中，有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Times New Roman" w:hAnsi="Times New Roman" w:cs="Times New Roman"/>
          <w:kern w:val="0"/>
          <w:sz w:val="30"/>
          <w:szCs w:val="30"/>
        </w:rPr>
        <w:t>7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项指标的数值须通过计算获得。对于引入行业系数进行调节的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研发经费支出占主营业务收入的比重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、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新产品销售收入占主营业务收入的比重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、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新产品销售利润占利润总额的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Times New Roman" w:hAnsi="Times New Roman" w:cs="Times New Roman"/>
          <w:kern w:val="0"/>
          <w:sz w:val="30"/>
          <w:szCs w:val="30"/>
        </w:rPr>
        <w:t>3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项指标，在计算获得原始指标数值后，再乘以本企业所在行业的行业系数</w:t>
      </w:r>
      <w:r w:rsidRPr="00DB42F3">
        <w:rPr>
          <w:rFonts w:ascii="Times New Roman" w:eastAsia="方正仿宋_GBK" w:hAnsi="Times New Roman" w:cs="Times New Roman"/>
          <w:bCs/>
          <w:kern w:val="0"/>
          <w:sz w:val="30"/>
          <w:szCs w:val="30"/>
        </w:rPr>
        <w:t>（</w:t>
      </w:r>
      <w:r w:rsidRPr="00DB42F3">
        <w:rPr>
          <w:rFonts w:ascii="Times New Roman" w:eastAsia="方正仿宋_GBK" w:hAnsi="Times New Roman" w:cs="Times New Roman"/>
          <w:bCs/>
          <w:kern w:val="0"/>
          <w:sz w:val="30"/>
          <w:szCs w:val="30"/>
        </w:rPr>
        <w:t>附后</w:t>
      </w:r>
      <w:r w:rsidRPr="00DB42F3">
        <w:rPr>
          <w:rFonts w:ascii="Times New Roman" w:eastAsia="方正仿宋_GBK" w:hAnsi="Times New Roman" w:cs="Times New Roman"/>
          <w:bCs/>
          <w:kern w:val="0"/>
          <w:sz w:val="30"/>
          <w:szCs w:val="30"/>
        </w:rPr>
        <w:t>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作为计算相关指标得分的最终依据。</w:t>
      </w:r>
    </w:p>
    <w:p w:rsidR="00AB45B6" w:rsidRPr="00DB42F3" w:rsidRDefault="005A01CF">
      <w:pPr>
        <w:spacing w:line="540" w:lineRule="exact"/>
        <w:ind w:left="600" w:right="40"/>
        <w:jc w:val="left"/>
        <w:rPr>
          <w:rFonts w:ascii="Times New Roman" w:eastAsia="方正仿宋_GBK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以下是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Times New Roman" w:hAnsi="Times New Roman" w:cs="Times New Roman"/>
          <w:kern w:val="0"/>
          <w:sz w:val="30"/>
          <w:szCs w:val="30"/>
        </w:rPr>
        <w:t>7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项指标具体的计算方法：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</w:p>
    <w:p w:rsidR="00AB45B6" w:rsidRPr="00DB42F3" w:rsidRDefault="005A01CF">
      <w:pPr>
        <w:spacing w:line="540" w:lineRule="exact"/>
        <w:ind w:right="40"/>
        <w:jc w:val="left"/>
        <w:rPr>
          <w:rFonts w:ascii="Times New Roman" w:eastAsia="方正仿宋_GBK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  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（一）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研发人员人均研发经费支出指标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研究与试验发展经费支出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研究与试验发展人员数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</w:t>
      </w:r>
      <w:bookmarkStart w:id="1" w:name="page2"/>
      <w:bookmarkEnd w:id="1"/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数据得到；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</w:p>
    <w:p w:rsidR="00AB45B6" w:rsidRPr="00DB42F3" w:rsidRDefault="005A01CF">
      <w:pPr>
        <w:spacing w:line="540" w:lineRule="exact"/>
        <w:ind w:right="160" w:firstLineChars="200" w:firstLine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（二）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研发经费支出占主营业务收入的比重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研究与试验发展经费支出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主营业务收入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核定数据，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再乘以本企业所在行业的行业系数得到；</w:t>
      </w:r>
    </w:p>
    <w:p w:rsidR="00AB45B6" w:rsidRPr="00DB42F3" w:rsidRDefault="005A01CF">
      <w:pPr>
        <w:spacing w:line="540" w:lineRule="exact"/>
        <w:ind w:right="16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宋体" w:hAnsi="Times New Roman" w:cs="Times New Roman"/>
          <w:kern w:val="0"/>
          <w:sz w:val="30"/>
          <w:szCs w:val="30"/>
        </w:rPr>
        <w:lastRenderedPageBreak/>
        <w:t xml:space="preserve">   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（三）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研发人员占职工总数的比重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研究与试验发展人员数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企业职工总数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核定数据得到；</w:t>
      </w:r>
    </w:p>
    <w:p w:rsidR="00AB45B6" w:rsidRPr="00DB42F3" w:rsidRDefault="005A01CF">
      <w:pPr>
        <w:spacing w:line="540" w:lineRule="exact"/>
        <w:ind w:firstLine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（四）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研发周期三年以上的项目数占全部研发项目数的比重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”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研发周期三年以上的项目数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企业全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部研发项目数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核定数据得到；</w:t>
      </w:r>
    </w:p>
    <w:p w:rsidR="00AB45B6" w:rsidRPr="00DB42F3" w:rsidRDefault="005A01CF">
      <w:pPr>
        <w:spacing w:line="540" w:lineRule="exact"/>
        <w:ind w:right="16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（五）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新产品销售收入占主营业务收入的比重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新产品销售收入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主营业务收入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核定数据，再乘以本企业所在行业的行业系数得到；</w:t>
      </w:r>
    </w:p>
    <w:p w:rsidR="00AB45B6" w:rsidRPr="00DB42F3" w:rsidRDefault="005A01CF">
      <w:pPr>
        <w:spacing w:line="540" w:lineRule="exact"/>
        <w:ind w:right="16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（六）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新产品销售利润占利润总额的比重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新产品销售利润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利润总额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核定数据，再乘以本企业所在行业的行业系数得到；</w:t>
      </w:r>
    </w:p>
    <w:p w:rsidR="00AB45B6" w:rsidRPr="00DB42F3" w:rsidRDefault="005A01CF">
      <w:pPr>
        <w:widowControl/>
        <w:spacing w:line="540" w:lineRule="exact"/>
        <w:ind w:right="16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（七）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利润率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利润总额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主营业务收入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核定数据得到。</w:t>
      </w:r>
    </w:p>
    <w:p w:rsidR="00AB45B6" w:rsidRPr="00DB42F3" w:rsidRDefault="005A01CF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黑体_GBK" w:hAnsi="Times New Roman" w:cs="Times New Roman"/>
          <w:kern w:val="0"/>
          <w:sz w:val="30"/>
          <w:szCs w:val="30"/>
        </w:rPr>
        <w:t>三、得分计算方法</w:t>
      </w:r>
    </w:p>
    <w:p w:rsidR="00AB45B6" w:rsidRPr="00DB42F3" w:rsidRDefault="005A01CF">
      <w:pPr>
        <w:widowControl/>
        <w:spacing w:line="540" w:lineRule="exact"/>
        <w:ind w:firstLine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获得《江苏省省级企业技术中心评价指标体系》中各项指标的数值后，根据基本要求、满分要求以及相应的计算规则，计算出各项指标的得分，其总和就是该企业的评价得分。</w:t>
      </w:r>
    </w:p>
    <w:p w:rsidR="00AB45B6" w:rsidRPr="00DB42F3" w:rsidRDefault="005A01CF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（一）关于各项指标的基本要求和满分要求</w:t>
      </w:r>
    </w:p>
    <w:p w:rsidR="00AB45B6" w:rsidRPr="00DB42F3" w:rsidRDefault="005A01CF">
      <w:pPr>
        <w:widowControl/>
        <w:spacing w:line="540" w:lineRule="exact"/>
        <w:ind w:right="160" w:firstLine="600"/>
        <w:jc w:val="left"/>
        <w:rPr>
          <w:rFonts w:ascii="Times New Roman" w:eastAsia="方正仿宋_GBK" w:hAnsi="Times New Roman" w:cs="Times New Roman"/>
          <w:kern w:val="0"/>
          <w:sz w:val="30"/>
          <w:szCs w:val="30"/>
        </w:rPr>
        <w:sectPr w:rsidR="00AB45B6" w:rsidRPr="00DB42F3" w:rsidSect="00DB42F3">
          <w:footerReference w:type="even" r:id="rId8"/>
          <w:footerReference w:type="default" r:id="rId9"/>
          <w:footerReference w:type="first" r:id="rId10"/>
          <w:pgSz w:w="11900" w:h="16838"/>
          <w:pgMar w:top="1440" w:right="1457" w:bottom="1128" w:left="1622" w:header="0" w:footer="454" w:gutter="0"/>
          <w:pgNumType w:start="5"/>
          <w:cols w:space="720" w:equalWidth="0">
            <w:col w:w="8823"/>
          </w:cols>
          <w:docGrid w:linePitch="286"/>
        </w:sectPr>
      </w:pP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各项指标的基本要求、满分要求，由已认定省级企业技术中心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DB42F3">
        <w:rPr>
          <w:rFonts w:ascii="Times New Roman" w:eastAsia="方正仿宋_GBK" w:hAnsi="Times New Roman" w:cs="Times New Roman"/>
          <w:kern w:val="0"/>
          <w:sz w:val="30"/>
          <w:szCs w:val="30"/>
        </w:rPr>
        <w:t>历史数据测算得到，并根据江苏省企业技术中心创新发展总体情况进行动态调整。当前基本要求、满分要求的数值见下表。</w:t>
      </w:r>
    </w:p>
    <w:p w:rsidR="00AB45B6" w:rsidRPr="00DB42F3" w:rsidRDefault="00AB45B6">
      <w:pPr>
        <w:widowControl/>
        <w:spacing w:line="540" w:lineRule="exact"/>
        <w:jc w:val="left"/>
        <w:rPr>
          <w:rFonts w:ascii="Times New Roman" w:eastAsia="宋体" w:hAnsi="Times New Roman" w:cs="Times New Roman"/>
          <w:kern w:val="0"/>
          <w:sz w:val="30"/>
          <w:szCs w:val="30"/>
        </w:rPr>
        <w:sectPr w:rsidR="00AB45B6" w:rsidRPr="00DB42F3">
          <w:type w:val="continuous"/>
          <w:pgSz w:w="11900" w:h="16838"/>
          <w:pgMar w:top="1440" w:right="9440" w:bottom="1129" w:left="1620" w:header="0" w:footer="0" w:gutter="0"/>
          <w:cols w:space="720" w:equalWidth="0">
            <w:col w:w="840"/>
          </w:cols>
        </w:sectPr>
      </w:pPr>
    </w:p>
    <w:p w:rsidR="00AB45B6" w:rsidRPr="00DB42F3" w:rsidRDefault="005A01CF">
      <w:pPr>
        <w:widowControl/>
        <w:ind w:left="216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bookmarkStart w:id="2" w:name="page3"/>
      <w:bookmarkEnd w:id="2"/>
      <w:r w:rsidRPr="00DB42F3">
        <w:rPr>
          <w:rFonts w:ascii="Times New Roman" w:eastAsia="方正楷体_GBK" w:hAnsi="Times New Roman" w:cs="Times New Roman"/>
          <w:kern w:val="0"/>
          <w:sz w:val="28"/>
          <w:szCs w:val="28"/>
        </w:rPr>
        <w:lastRenderedPageBreak/>
        <w:t>附表</w:t>
      </w:r>
      <w:r w:rsidRPr="00DB42F3">
        <w:rPr>
          <w:rFonts w:ascii="Times New Roman" w:eastAsia="方正楷体_GBK" w:hAnsi="Times New Roman" w:cs="Times New Roman"/>
          <w:kern w:val="0"/>
          <w:sz w:val="28"/>
          <w:szCs w:val="28"/>
        </w:rPr>
        <w:t xml:space="preserve"> </w:t>
      </w:r>
      <w:r w:rsidRPr="00DB42F3">
        <w:rPr>
          <w:rFonts w:ascii="Times New Roman" w:eastAsia="方正楷体_GBK" w:hAnsi="Times New Roman" w:cs="Times New Roman"/>
          <w:kern w:val="0"/>
          <w:sz w:val="28"/>
          <w:szCs w:val="28"/>
        </w:rPr>
        <w:t>各项指标基本要求和满分要求</w:t>
      </w:r>
    </w:p>
    <w:p w:rsidR="00AB45B6" w:rsidRPr="00DB42F3" w:rsidRDefault="00AB45B6">
      <w:pPr>
        <w:widowControl/>
        <w:spacing w:line="179" w:lineRule="exact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66"/>
        <w:gridCol w:w="565"/>
        <w:gridCol w:w="4189"/>
        <w:gridCol w:w="840"/>
        <w:gridCol w:w="504"/>
        <w:gridCol w:w="850"/>
        <w:gridCol w:w="709"/>
      </w:tblGrid>
      <w:tr w:rsidR="00AB45B6" w:rsidRPr="00DB42F3">
        <w:trPr>
          <w:trHeight w:val="45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一级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二级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三级指标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基本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要求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满分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要求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投入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经费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研发人员人均研发经费支出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2.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研发经费支出占主营业务收入的比重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创新人才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3.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研发人员占企业职工总数的比重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4.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技术中心拥有的高级专家和博士人数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人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5.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来技术中心从事研发工作的外聘专家人数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人月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条件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技术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积累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6.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企业拥有的全部有效专利数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50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7.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企业拥有的全部有效发明专利数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8.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企业全部研发项目数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9. 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研发周期三年以上的项目数占全部研发项目数的比重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平台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10.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企业技术开发仪器设备原值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2500</w:t>
            </w:r>
          </w:p>
        </w:tc>
      </w:tr>
      <w:tr w:rsidR="00AB45B6" w:rsidRPr="00DB42F3">
        <w:trPr>
          <w:trHeight w:val="41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11.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省级以上研发平台数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gramStart"/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分档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12.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通过国家（国际组织）、省认证的实验室和检测机构数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gramStart"/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绩效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技术</w:t>
            </w:r>
          </w:p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产出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13.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当年被受理的专利申请数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14.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当年被受理的发明专利申请数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15.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最近三年主持和参加制定的国际、国家、行业和团体标准数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创新效益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16.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新产品销售收入占主营业务收入的比重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17.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新产品销售利润占利润总额的比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AB45B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18.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销售利润率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</w:tr>
      <w:tr w:rsidR="00AB45B6" w:rsidRPr="00DB42F3">
        <w:trPr>
          <w:trHeight w:val="454"/>
          <w:jc w:val="center"/>
        </w:trPr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加分项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19.</w:t>
            </w: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获国家和省科技奖励项目数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≤2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45B6" w:rsidRPr="00DB42F3" w:rsidRDefault="005A01C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DB42F3">
              <w:rPr>
                <w:rFonts w:ascii="Times New Roman" w:eastAsia="宋体" w:hAnsi="Times New Roman" w:cs="Times New Roman"/>
                <w:kern w:val="0"/>
                <w:sz w:val="22"/>
              </w:rPr>
              <w:t>分档</w:t>
            </w:r>
          </w:p>
        </w:tc>
      </w:tr>
    </w:tbl>
    <w:p w:rsidR="00AB45B6" w:rsidRPr="00DB42F3" w:rsidRDefault="00AB45B6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  <w:sectPr w:rsidR="00AB45B6" w:rsidRPr="00DB42F3" w:rsidSect="00DB42F3">
          <w:pgSz w:w="11900" w:h="16838"/>
          <w:pgMar w:top="1440" w:right="1700" w:bottom="1440" w:left="1620" w:header="0" w:footer="454" w:gutter="0"/>
          <w:cols w:space="720" w:equalWidth="0">
            <w:col w:w="8580"/>
          </w:cols>
          <w:docGrid w:linePitch="286"/>
        </w:sectPr>
      </w:pPr>
    </w:p>
    <w:p w:rsidR="00AB45B6" w:rsidRPr="00DB42F3" w:rsidRDefault="005A01CF">
      <w:pPr>
        <w:overflowPunct w:val="0"/>
        <w:snapToGrid w:val="0"/>
        <w:ind w:firstLine="482"/>
        <w:jc w:val="left"/>
        <w:rPr>
          <w:rFonts w:ascii="Times New Roman" w:eastAsia="方正仿宋_GBK" w:hAnsi="Times New Roman" w:cs="Times New Roman"/>
          <w:b/>
          <w:sz w:val="24"/>
          <w:szCs w:val="44"/>
        </w:rPr>
      </w:pPr>
      <w:r w:rsidRPr="00DB42F3">
        <w:rPr>
          <w:rFonts w:ascii="Times New Roman" w:eastAsia="方正仿宋_GBK" w:hAnsi="Times New Roman" w:cs="Times New Roman"/>
          <w:b/>
          <w:sz w:val="24"/>
          <w:szCs w:val="44"/>
        </w:rPr>
        <w:lastRenderedPageBreak/>
        <w:t>指标说明：</w:t>
      </w:r>
    </w:p>
    <w:p w:rsidR="00AB45B6" w:rsidRPr="00DB42F3" w:rsidRDefault="005A01CF">
      <w:pPr>
        <w:overflowPunct w:val="0"/>
        <w:snapToGrid w:val="0"/>
        <w:ind w:firstLine="482"/>
        <w:jc w:val="left"/>
        <w:rPr>
          <w:rFonts w:ascii="Times New Roman" w:eastAsia="方正楷体_GBK" w:hAnsi="Times New Roman" w:cs="Times New Roman"/>
          <w:b/>
          <w:kern w:val="0"/>
          <w:sz w:val="24"/>
          <w:szCs w:val="28"/>
        </w:rPr>
      </w:pP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11.</w:t>
      </w: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省级以上研发平台数：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企业获国家级研发平台数，每个加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2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分；获江苏省级研发平台数，每个加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1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分。</w:t>
      </w:r>
    </w:p>
    <w:p w:rsidR="00AB45B6" w:rsidRPr="00DB42F3" w:rsidRDefault="005A01CF">
      <w:pPr>
        <w:overflowPunct w:val="0"/>
        <w:snapToGrid w:val="0"/>
        <w:ind w:firstLine="482"/>
        <w:rPr>
          <w:rFonts w:ascii="Times New Roman" w:eastAsia="方正仿宋_GBK" w:hAnsi="Times New Roman" w:cs="Times New Roman"/>
          <w:kern w:val="0"/>
          <w:sz w:val="24"/>
          <w:szCs w:val="28"/>
        </w:rPr>
      </w:pP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17.</w:t>
      </w: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新产品销售利润占利润总额的比重：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当新产品销售利润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≤0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时，该项得分为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0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分；当新产品销售利润＞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0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且利润总额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≤0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时，该项得分为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6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分；其他情况按照指标得分计算规则评分。</w:t>
      </w:r>
    </w:p>
    <w:p w:rsidR="00AB45B6" w:rsidRPr="00DB42F3" w:rsidRDefault="005A01CF">
      <w:pPr>
        <w:overflowPunct w:val="0"/>
        <w:snapToGrid w:val="0"/>
        <w:ind w:firstLine="482"/>
        <w:rPr>
          <w:rFonts w:ascii="Times New Roman" w:eastAsia="方正仿宋_GBK" w:hAnsi="Times New Roman" w:cs="Times New Roman"/>
          <w:kern w:val="0"/>
          <w:sz w:val="24"/>
          <w:szCs w:val="28"/>
        </w:rPr>
      </w:pP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18.</w:t>
      </w: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销售利润率：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当利润总额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≤0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时，该项得分为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0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分；其他情况按照指标得分计算规则评分。</w:t>
      </w:r>
    </w:p>
    <w:p w:rsidR="00AB45B6" w:rsidRPr="00DB42F3" w:rsidRDefault="005A01CF">
      <w:pPr>
        <w:overflowPunct w:val="0"/>
        <w:snapToGrid w:val="0"/>
        <w:ind w:firstLine="482"/>
        <w:rPr>
          <w:rFonts w:ascii="Times New Roman" w:eastAsia="方正仿宋_GBK" w:hAnsi="Times New Roman" w:cs="Times New Roman"/>
          <w:kern w:val="0"/>
          <w:sz w:val="24"/>
          <w:szCs w:val="28"/>
        </w:rPr>
      </w:pP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19.</w:t>
      </w:r>
      <w:r w:rsidRPr="00DB42F3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获国家和省科技奖励项目数：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企业作为主要完成单位或企业员工作为主要完成人获国家科技奖励，加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2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分；获江苏省科技奖励，每项加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1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8"/>
        </w:rPr>
        <w:t>分。</w:t>
      </w:r>
    </w:p>
    <w:p w:rsidR="00AB45B6" w:rsidRPr="00DB42F3" w:rsidRDefault="00AB45B6">
      <w:pPr>
        <w:widowControl/>
        <w:rPr>
          <w:rFonts w:ascii="Times New Roman" w:eastAsia="宋体" w:hAnsi="Times New Roman" w:cs="Times New Roman"/>
        </w:rPr>
      </w:pPr>
    </w:p>
    <w:p w:rsidR="00AB45B6" w:rsidRPr="00DB42F3" w:rsidRDefault="005A01CF">
      <w:pPr>
        <w:widowControl/>
        <w:spacing w:line="239" w:lineRule="auto"/>
        <w:ind w:left="600"/>
        <w:jc w:val="left"/>
        <w:rPr>
          <w:rFonts w:ascii="Times New Roman" w:eastAsia="方正楷体_GBK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（</w:t>
      </w: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二</w:t>
      </w: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）</w:t>
      </w: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指标得分计算规则</w:t>
      </w:r>
    </w:p>
    <w:p w:rsidR="00AB45B6" w:rsidRPr="00DB42F3" w:rsidRDefault="00AB45B6">
      <w:pPr>
        <w:widowControl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AB45B6" w:rsidRPr="00DB42F3" w:rsidRDefault="005A01CF">
      <w:pPr>
        <w:widowControl/>
        <w:snapToGrid w:val="0"/>
        <w:jc w:val="center"/>
        <w:rPr>
          <w:rFonts w:ascii="Times New Roman" w:eastAsia="宋体" w:hAnsi="Times New Roman" w:cs="Times New Roman"/>
          <w:b/>
          <w:szCs w:val="21"/>
        </w:rPr>
      </w:pPr>
      <w:r w:rsidRPr="00DB42F3">
        <w:rPr>
          <w:rFonts w:ascii="Times New Roman" w:eastAsia="宋体" w:hAnsi="Times New Roman" w:cs="Times New Roman"/>
          <w:b/>
          <w:noProof/>
          <w:szCs w:val="21"/>
        </w:rPr>
        <w:drawing>
          <wp:inline distT="0" distB="0" distL="0" distR="0">
            <wp:extent cx="4648200" cy="2649855"/>
            <wp:effectExtent l="0" t="0" r="0" b="0"/>
            <wp:docPr id="1" name="图片 1" descr="C:\Users\ZhangHui\AppData\Local\Temp\15691626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ngHui\AppData\Local\Temp\156916262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951" cy="265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5B6" w:rsidRPr="00DB42F3" w:rsidRDefault="005A01CF">
      <w:pPr>
        <w:widowControl/>
        <w:snapToGrid w:val="0"/>
        <w:jc w:val="center"/>
        <w:rPr>
          <w:rFonts w:ascii="Times New Roman" w:eastAsia="方正黑体_GBK" w:hAnsi="Times New Roman" w:cs="Times New Roman"/>
          <w:b/>
          <w:sz w:val="28"/>
          <w:szCs w:val="28"/>
        </w:rPr>
      </w:pPr>
      <w:r w:rsidRPr="00DB42F3">
        <w:rPr>
          <w:rFonts w:ascii="Times New Roman" w:eastAsia="方正黑体_GBK" w:hAnsi="Times New Roman" w:cs="Times New Roman"/>
          <w:kern w:val="0"/>
          <w:sz w:val="28"/>
          <w:szCs w:val="28"/>
        </w:rPr>
        <w:t>分段线性插值算法示意图</w:t>
      </w:r>
    </w:p>
    <w:p w:rsidR="00AB45B6" w:rsidRPr="00DB42F3" w:rsidRDefault="005A01CF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1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．指标数值大于或等于满分要求时，指标得分为满分，即指标得分等于上表中的权重；</w:t>
      </w:r>
    </w:p>
    <w:p w:rsidR="00AB45B6" w:rsidRPr="00DB42F3" w:rsidRDefault="005A01CF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2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．指标数值等于基本要求时，指标得分为权重的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60%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；</w:t>
      </w:r>
    </w:p>
    <w:p w:rsidR="00AB45B6" w:rsidRPr="00DB42F3" w:rsidRDefault="005A01CF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3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．指标数值为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 xml:space="preserve">0 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时，指标得分为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0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；</w:t>
      </w:r>
    </w:p>
    <w:p w:rsidR="00AB45B6" w:rsidRPr="00DB42F3" w:rsidRDefault="005A01CF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4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．指标数值处于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 xml:space="preserve">0 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和基本要求之间时，指标得分按线性插值的方法计算，具体计算公式为：</w:t>
      </w:r>
    </w:p>
    <w:p w:rsidR="00AB45B6" w:rsidRPr="00DB42F3" w:rsidRDefault="005A01CF">
      <w:pPr>
        <w:widowControl/>
        <w:snapToGrid w:val="0"/>
        <w:jc w:val="center"/>
        <w:rPr>
          <w:rFonts w:ascii="Times New Roman" w:eastAsia="方正黑体_GBK" w:hAnsi="Times New Roman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w:lastRenderedPageBreak/>
            <m:t>指标得分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指标数值</m:t>
              </m:r>
            </m:num>
            <m:den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基本要求</m:t>
              </m:r>
            </m:den>
          </m:f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权重的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60%</m:t>
          </m:r>
        </m:oMath>
      </m:oMathPara>
    </w:p>
    <w:p w:rsidR="00AB45B6" w:rsidRPr="00DB42F3" w:rsidRDefault="005A01CF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5</w:t>
      </w:r>
      <w:r w:rsidRPr="00DB42F3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．指标数值处于基本要求和满分要求之间时，指标得分按线性插值的方法计算，具体计算公式为：</w:t>
      </w:r>
    </w:p>
    <w:p w:rsidR="00AB45B6" w:rsidRPr="00DB42F3" w:rsidRDefault="005A01CF">
      <w:pPr>
        <w:widowControl/>
        <w:snapToGrid w:val="0"/>
        <w:jc w:val="center"/>
        <w:rPr>
          <w:rFonts w:ascii="Times New Roman" w:eastAsia="方正仿宋_GBK" w:hAnsi="Times New Roman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指标得分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指标数值</m:t>
              </m:r>
              <m:r>
                <m:rPr>
                  <m:sty m:val="p"/>
                </m:rPr>
                <w:rPr>
                  <w:rFonts w:ascii="Cambria Math" w:eastAsia="微软雅黑" w:hAnsi="Cambria Math" w:cs="Times New Roman"/>
                  <w:kern w:val="0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基本要求</m:t>
              </m:r>
            </m:num>
            <m:den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满分要求</m:t>
              </m:r>
              <m:r>
                <m:rPr>
                  <m:sty m:val="p"/>
                </m:rPr>
                <w:rPr>
                  <w:rFonts w:ascii="Cambria Math" w:eastAsia="微软雅黑" w:hAnsi="Cambria Math" w:cs="Times New Roman"/>
                  <w:kern w:val="0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基本要求</m:t>
              </m:r>
            </m:den>
          </m:f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权重的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40%+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权重的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60%</m:t>
          </m:r>
        </m:oMath>
      </m:oMathPara>
    </w:p>
    <w:p w:rsidR="00AB45B6" w:rsidRPr="00DB42F3" w:rsidRDefault="00AB45B6">
      <w:pPr>
        <w:widowControl/>
        <w:snapToGrid w:val="0"/>
        <w:spacing w:line="360" w:lineRule="auto"/>
        <w:ind w:leftChars="271" w:left="944" w:hangingChars="134" w:hanging="375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AB45B6" w:rsidRPr="00DB42F3" w:rsidRDefault="005A01CF">
      <w:pPr>
        <w:widowControl/>
        <w:spacing w:line="239" w:lineRule="auto"/>
        <w:ind w:left="600"/>
        <w:jc w:val="left"/>
        <w:rPr>
          <w:rFonts w:ascii="Times New Roman" w:eastAsia="方正楷体_GBK" w:hAnsi="Times New Roman" w:cs="Times New Roman"/>
          <w:kern w:val="0"/>
          <w:sz w:val="30"/>
          <w:szCs w:val="30"/>
        </w:rPr>
      </w:pP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（</w:t>
      </w: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三</w:t>
      </w: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）</w:t>
      </w:r>
      <w:r w:rsidRPr="00DB42F3">
        <w:rPr>
          <w:rFonts w:ascii="Times New Roman" w:eastAsia="方正楷体_GBK" w:hAnsi="Times New Roman" w:cs="Times New Roman"/>
          <w:kern w:val="0"/>
          <w:sz w:val="30"/>
          <w:szCs w:val="30"/>
        </w:rPr>
        <w:t>《评价指标体系》行业系数</w:t>
      </w:r>
    </w:p>
    <w:p w:rsidR="00AB45B6" w:rsidRPr="00DB42F3" w:rsidRDefault="005A01CF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bCs/>
          <w:kern w:val="0"/>
          <w:sz w:val="28"/>
          <w:szCs w:val="28"/>
        </w:rPr>
      </w:pPr>
      <w:r w:rsidRPr="00DB42F3">
        <w:rPr>
          <w:rFonts w:ascii="Times New Roman" w:eastAsia="方正仿宋_GBK" w:hAnsi="Times New Roman" w:cs="Times New Roman"/>
          <w:bCs/>
          <w:kern w:val="0"/>
          <w:sz w:val="28"/>
          <w:szCs w:val="28"/>
        </w:rPr>
        <w:t>当前行业系数见下表：</w:t>
      </w:r>
    </w:p>
    <w:tbl>
      <w:tblPr>
        <w:tblW w:w="8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3690"/>
        <w:gridCol w:w="1515"/>
        <w:gridCol w:w="1500"/>
        <w:gridCol w:w="1382"/>
      </w:tblGrid>
      <w:tr w:rsidR="00AB45B6" w:rsidRPr="00DB42F3">
        <w:trPr>
          <w:trHeight w:val="1463"/>
          <w:tblHeader/>
          <w:jc w:val="center"/>
        </w:trPr>
        <w:tc>
          <w:tcPr>
            <w:tcW w:w="732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行业</w:t>
            </w:r>
          </w:p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代码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行业名称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研发经费支出占主营业务收入的比重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新产品销售收入占主营业务收入的比重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B42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新产品销售利润占利润总额的比重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农副食品加工业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1.2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</w:rPr>
              <w:t>14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</w:rPr>
              <w:t>食品制造业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1.2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17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纺织业、</w:t>
            </w: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服饰业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20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木材加工和</w:t>
            </w:r>
            <w:proofErr w:type="gramStart"/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木、</w:t>
            </w:r>
            <w:proofErr w:type="gramEnd"/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竹、藤、棕、草制品业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1.2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22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造纸和纸制品业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</w:rPr>
              <w:t>24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</w:rPr>
              <w:t>文教、工美、体育和娱乐用品制造业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1.2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26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化学原料和化学制品制造业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27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医药制造业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28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化学纤维制造业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29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橡胶和塑料制品业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非金属矿物制品业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31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黑色金属冶炼和压延加工业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1.5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32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有色金属冶炼和压延加工业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</w:rPr>
              <w:t>1.4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1.4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33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金属制品业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34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通用设备制造业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35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专用设备制造业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36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汽车制造业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37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铁路、船舶、航空航天和其他运输设备制造业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38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电气机械和器材制造业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39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计算机、通信和其他电子设备制造业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lastRenderedPageBreak/>
              <w:t>40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仪器仪表制造业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65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color w:val="000000"/>
                <w:kern w:val="0"/>
                <w:sz w:val="22"/>
                <w:lang w:bidi="ar"/>
              </w:rPr>
              <w:t>软件和信息技术服务业、专业技术服务业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77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生态保护和环境</w:t>
            </w:r>
            <w:proofErr w:type="gramStart"/>
            <w:r w:rsidRPr="00DB42F3">
              <w:rPr>
                <w:rFonts w:ascii="Times New Roman" w:eastAsia="方正仿宋_GBK" w:hAnsi="Times New Roman" w:cs="Times New Roman"/>
                <w:kern w:val="0"/>
                <w:sz w:val="22"/>
                <w:lang w:bidi="ar"/>
              </w:rPr>
              <w:t>治理业</w:t>
            </w:r>
            <w:proofErr w:type="gramEnd"/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  <w:tr w:rsidR="00AB45B6" w:rsidRPr="00DB42F3">
        <w:trPr>
          <w:trHeight w:val="340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szCs w:val="21"/>
              </w:rPr>
              <w:t>100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AB45B6" w:rsidRPr="00DB42F3" w:rsidRDefault="005A01CF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</w:pPr>
            <w:r w:rsidRPr="00DB42F3">
              <w:rPr>
                <w:rFonts w:ascii="Times New Roman" w:eastAsia="方正仿宋_GBK" w:hAnsi="Times New Roman" w:cs="Times New Roman"/>
                <w:kern w:val="0"/>
                <w:szCs w:val="21"/>
                <w:lang w:bidi="ar"/>
              </w:rPr>
              <w:t>1</w:t>
            </w:r>
          </w:p>
        </w:tc>
      </w:tr>
    </w:tbl>
    <w:p w:rsidR="00AB45B6" w:rsidRPr="00DB42F3" w:rsidRDefault="00AB45B6">
      <w:pPr>
        <w:widowControl/>
        <w:snapToGrid w:val="0"/>
        <w:rPr>
          <w:rFonts w:ascii="Times New Roman" w:eastAsia="宋体" w:hAnsi="Times New Roman" w:cs="Times New Roman"/>
          <w:b/>
          <w:kern w:val="0"/>
          <w:sz w:val="11"/>
          <w:szCs w:val="11"/>
        </w:rPr>
      </w:pPr>
    </w:p>
    <w:p w:rsidR="00AB45B6" w:rsidRPr="00DB42F3" w:rsidRDefault="005A01CF">
      <w:pPr>
        <w:widowControl/>
        <w:snapToGrid w:val="0"/>
        <w:ind w:firstLineChars="200" w:firstLine="482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DB42F3">
        <w:rPr>
          <w:rFonts w:ascii="Times New Roman" w:eastAsia="宋体" w:hAnsi="Times New Roman" w:cs="Times New Roman"/>
          <w:b/>
          <w:kern w:val="0"/>
          <w:sz w:val="24"/>
          <w:szCs w:val="24"/>
        </w:rPr>
        <w:t>说明：</w:t>
      </w:r>
    </w:p>
    <w:p w:rsidR="00AB45B6" w:rsidRPr="00DB42F3" w:rsidRDefault="005A01CF">
      <w:pPr>
        <w:widowControl/>
        <w:snapToGrid w:val="0"/>
        <w:ind w:firstLineChars="200" w:firstLine="480"/>
        <w:rPr>
          <w:rFonts w:ascii="Times New Roman" w:eastAsia="方正仿宋_GBK" w:hAnsi="Times New Roman" w:cs="Times New Roman"/>
          <w:kern w:val="0"/>
          <w:sz w:val="24"/>
          <w:szCs w:val="24"/>
        </w:rPr>
      </w:pP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1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．由于不同行业在研发投入与产出方面存在较大差异，技术中心评价时，对不同行业企业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研发经费支出占主营业务收入的比重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、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新产品销售收入占主营业务收入的比重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、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新产品销售利润占利润总额的比重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三个指标引入行业系数加以调节。</w:t>
      </w:r>
    </w:p>
    <w:p w:rsidR="00AB45B6" w:rsidRPr="00DB42F3" w:rsidRDefault="005A01CF">
      <w:pPr>
        <w:widowControl/>
        <w:snapToGrid w:val="0"/>
        <w:ind w:firstLineChars="200" w:firstLine="480"/>
        <w:rPr>
          <w:rFonts w:ascii="Times New Roman" w:eastAsia="方正仿宋_GBK" w:hAnsi="Times New Roman" w:cs="Times New Roman"/>
          <w:color w:val="FF0000"/>
          <w:kern w:val="0"/>
          <w:sz w:val="24"/>
          <w:szCs w:val="24"/>
        </w:rPr>
      </w:pP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2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．企业填报数据表时无需考虑行业系数，按实际数据填报。评价时，根据企业填报的实际数据计算得出上述指标的比重，再乘以行业系数，得出指标的评价值。</w:t>
      </w:r>
    </w:p>
    <w:p w:rsidR="00AB45B6" w:rsidRPr="00DB42F3" w:rsidRDefault="005A01CF">
      <w:pPr>
        <w:widowControl/>
        <w:snapToGrid w:val="0"/>
        <w:ind w:firstLineChars="200" w:firstLine="480"/>
        <w:rPr>
          <w:rFonts w:ascii="Times New Roman" w:eastAsia="方正仿宋_GBK" w:hAnsi="Times New Roman" w:cs="Times New Roman"/>
          <w:kern w:val="0"/>
          <w:sz w:val="24"/>
          <w:szCs w:val="24"/>
        </w:rPr>
      </w:pP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3</w:t>
      </w:r>
      <w:r w:rsidRPr="00DB42F3">
        <w:rPr>
          <w:rFonts w:ascii="Times New Roman" w:eastAsia="方正仿宋_GBK" w:hAnsi="Times New Roman" w:cs="Times New Roman"/>
          <w:kern w:val="0"/>
          <w:sz w:val="24"/>
          <w:szCs w:val="24"/>
        </w:rPr>
        <w:t>．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行业系数表中的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其他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行业包括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交通运输、仓储和邮政业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、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煤炭开采和洗选业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、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石油和天然气开采业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、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废弃资源综合利用业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、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“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建筑装饰、装修和其他建筑业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”</w:t>
      </w:r>
      <w:r w:rsidRPr="00DB42F3">
        <w:rPr>
          <w:rFonts w:ascii="Times New Roman" w:eastAsia="方正仿宋_GBK" w:hAnsi="Times New Roman" w:cs="Times New Roman"/>
          <w:bCs/>
          <w:kern w:val="0"/>
          <w:sz w:val="24"/>
          <w:szCs w:val="24"/>
        </w:rPr>
        <w:t>等行业。</w:t>
      </w:r>
      <w:r w:rsidRPr="00DB42F3">
        <w:rPr>
          <w:rFonts w:ascii="Times New Roman" w:eastAsia="方正仿宋_GBK" w:hAnsi="Times New Roman" w:cs="Times New Roman"/>
          <w:b/>
          <w:kern w:val="0"/>
          <w:sz w:val="24"/>
          <w:szCs w:val="24"/>
        </w:rPr>
        <w:t xml:space="preserve"> </w:t>
      </w:r>
    </w:p>
    <w:sectPr w:rsidR="00AB45B6" w:rsidRPr="00DB42F3" w:rsidSect="00DB4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1CF" w:rsidRDefault="005A01CF">
      <w:r>
        <w:separator/>
      </w:r>
    </w:p>
  </w:endnote>
  <w:endnote w:type="continuationSeparator" w:id="0">
    <w:p w:rsidR="005A01CF" w:rsidRDefault="005A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556773543"/>
    </w:sdtPr>
    <w:sdtEndPr/>
    <w:sdtContent>
      <w:p w:rsidR="00AB45B6" w:rsidRDefault="00DB42F3" w:rsidP="00DB42F3">
        <w:pPr>
          <w:pStyle w:val="a4"/>
          <w:numPr>
            <w:ilvl w:val="0"/>
            <w:numId w:val="1"/>
          </w:numPr>
          <w:ind w:right="840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3189">
          <w:rPr>
            <w:rFonts w:ascii="Times New Roman" w:hAnsi="Times New Roman" w:cs="Times New Roman"/>
            <w:noProof/>
            <w:sz w:val="24"/>
            <w:szCs w:val="24"/>
          </w:rPr>
          <w:t>10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—</w:t>
        </w:r>
      </w:p>
    </w:sdtContent>
  </w:sdt>
  <w:p w:rsidR="00AB45B6" w:rsidRDefault="00AB45B6">
    <w:pPr>
      <w:pStyle w:val="a4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980589"/>
    </w:sdtPr>
    <w:sdtEndPr>
      <w:rPr>
        <w:rFonts w:ascii="Times New Roman" w:eastAsia="方正仿宋_GBK" w:hAnsi="Times New Roman" w:cs="Times New Roman"/>
        <w:sz w:val="24"/>
        <w:szCs w:val="24"/>
      </w:rPr>
    </w:sdtEndPr>
    <w:sdtContent>
      <w:p w:rsidR="00AB45B6" w:rsidRPr="00DB42F3" w:rsidRDefault="00DB42F3">
        <w:pPr>
          <w:pStyle w:val="a4"/>
          <w:ind w:right="360"/>
          <w:jc w:val="right"/>
          <w:rPr>
            <w:rFonts w:ascii="Times New Roman" w:eastAsia="方正仿宋_GBK" w:hAnsi="Times New Roman" w:cs="Times New Roman"/>
            <w:sz w:val="24"/>
            <w:szCs w:val="24"/>
          </w:rPr>
        </w:pPr>
        <w:r w:rsidRPr="00DB42F3">
          <w:rPr>
            <w:rFonts w:ascii="Times New Roman" w:eastAsia="方正仿宋_GBK" w:hAnsi="Times New Roman" w:cs="Times New Roman"/>
            <w:sz w:val="24"/>
            <w:szCs w:val="24"/>
          </w:rPr>
          <w:t xml:space="preserve">— </w:t>
        </w:r>
        <w:r w:rsidRPr="00DB42F3">
          <w:rPr>
            <w:rFonts w:ascii="Times New Roman" w:eastAsia="方正仿宋_GBK" w:hAnsi="Times New Roman" w:cs="Times New Roman"/>
            <w:sz w:val="24"/>
            <w:szCs w:val="24"/>
          </w:rPr>
          <w:fldChar w:fldCharType="begin"/>
        </w:r>
        <w:r w:rsidRPr="00DB42F3">
          <w:rPr>
            <w:rFonts w:ascii="Times New Roman" w:eastAsia="方正仿宋_GBK" w:hAnsi="Times New Roman" w:cs="Times New Roman"/>
            <w:sz w:val="24"/>
            <w:szCs w:val="24"/>
          </w:rPr>
          <w:instrText>PAGE   \* MERGEFORMAT</w:instrText>
        </w:r>
        <w:r w:rsidRPr="00DB42F3">
          <w:rPr>
            <w:rFonts w:ascii="Times New Roman" w:eastAsia="方正仿宋_GBK" w:hAnsi="Times New Roman" w:cs="Times New Roman"/>
            <w:sz w:val="24"/>
            <w:szCs w:val="24"/>
          </w:rPr>
          <w:fldChar w:fldCharType="separate"/>
        </w:r>
        <w:r w:rsidR="00E83189">
          <w:rPr>
            <w:rFonts w:ascii="Times New Roman" w:eastAsia="方正仿宋_GBK" w:hAnsi="Times New Roman" w:cs="Times New Roman"/>
            <w:noProof/>
            <w:sz w:val="24"/>
            <w:szCs w:val="24"/>
          </w:rPr>
          <w:t>9</w:t>
        </w:r>
        <w:r w:rsidRPr="00DB42F3">
          <w:rPr>
            <w:rFonts w:ascii="Times New Roman" w:eastAsia="方正仿宋_GBK" w:hAnsi="Times New Roman" w:cs="Times New Roman"/>
            <w:sz w:val="24"/>
            <w:szCs w:val="24"/>
          </w:rPr>
          <w:fldChar w:fldCharType="end"/>
        </w:r>
        <w:r w:rsidRPr="00DB42F3">
          <w:rPr>
            <w:rFonts w:ascii="Times New Roman" w:eastAsia="方正仿宋_GBK" w:hAnsi="Times New Roman" w:cs="Times New Roman"/>
            <w:sz w:val="24"/>
            <w:szCs w:val="24"/>
          </w:rPr>
          <w:t xml:space="preserve"> —</w:t>
        </w:r>
      </w:p>
    </w:sdtContent>
  </w:sdt>
  <w:p w:rsidR="00AB45B6" w:rsidRDefault="00AB45B6">
    <w:pPr>
      <w:pStyle w:val="a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5B6" w:rsidRDefault="005A01CF">
    <w:pPr>
      <w:pStyle w:val="a4"/>
      <w:tabs>
        <w:tab w:val="center" w:pos="4410"/>
        <w:tab w:val="left" w:pos="6236"/>
      </w:tabs>
    </w:pPr>
    <w:r>
      <w:tab/>
    </w:r>
    <w:r>
      <w:tab/>
    </w:r>
    <w:sdt>
      <w:sdtPr>
        <w:id w:val="492923372"/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sdtContent>
    </w:sdt>
    <w:r>
      <w:tab/>
    </w:r>
  </w:p>
  <w:p w:rsidR="00AB45B6" w:rsidRDefault="00AB45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1CF" w:rsidRDefault="005A01CF">
      <w:r>
        <w:separator/>
      </w:r>
    </w:p>
  </w:footnote>
  <w:footnote w:type="continuationSeparator" w:id="0">
    <w:p w:rsidR="005A01CF" w:rsidRDefault="005A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80908"/>
    <w:multiLevelType w:val="hybridMultilevel"/>
    <w:tmpl w:val="AC245F26"/>
    <w:lvl w:ilvl="0" w:tplc="7C949788"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94"/>
    <w:rsid w:val="99DEB7B8"/>
    <w:rsid w:val="DEFFEFD5"/>
    <w:rsid w:val="EFF37F0E"/>
    <w:rsid w:val="000227AF"/>
    <w:rsid w:val="000E6162"/>
    <w:rsid w:val="0012573A"/>
    <w:rsid w:val="00226B68"/>
    <w:rsid w:val="00247D5E"/>
    <w:rsid w:val="00272D48"/>
    <w:rsid w:val="002D563F"/>
    <w:rsid w:val="00505442"/>
    <w:rsid w:val="00534C17"/>
    <w:rsid w:val="00557F64"/>
    <w:rsid w:val="0056191E"/>
    <w:rsid w:val="005926FA"/>
    <w:rsid w:val="005A01CF"/>
    <w:rsid w:val="00670AB6"/>
    <w:rsid w:val="006C59EA"/>
    <w:rsid w:val="006E7810"/>
    <w:rsid w:val="006F4179"/>
    <w:rsid w:val="00773F9C"/>
    <w:rsid w:val="008C2416"/>
    <w:rsid w:val="008F1FA4"/>
    <w:rsid w:val="0098429B"/>
    <w:rsid w:val="009C5A6C"/>
    <w:rsid w:val="00A266DF"/>
    <w:rsid w:val="00A51B02"/>
    <w:rsid w:val="00AB45B6"/>
    <w:rsid w:val="00AE4F14"/>
    <w:rsid w:val="00B02153"/>
    <w:rsid w:val="00B14A04"/>
    <w:rsid w:val="00C302A1"/>
    <w:rsid w:val="00C43B69"/>
    <w:rsid w:val="00D67407"/>
    <w:rsid w:val="00DB42F3"/>
    <w:rsid w:val="00E263B4"/>
    <w:rsid w:val="00E279A7"/>
    <w:rsid w:val="00E32194"/>
    <w:rsid w:val="00E83189"/>
    <w:rsid w:val="00F542CA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DE0D55-D188-488B-B8F0-101B746F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491</Words>
  <Characters>2804</Characters>
  <Application>Microsoft Office Word</Application>
  <DocSecurity>0</DocSecurity>
  <Lines>23</Lines>
  <Paragraphs>6</Paragraphs>
  <ScaleCrop>false</ScaleCrop>
  <Company>Microsoft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2022-03-21T19:48:00Z</cp:lastPrinted>
  <dcterms:created xsi:type="dcterms:W3CDTF">2022-03-21T06:19:00Z</dcterms:created>
  <dcterms:modified xsi:type="dcterms:W3CDTF">2022-08-11T06:36:00Z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