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0C559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0"/>
        <w:jc w:val="center"/>
        <w:rPr>
          <w:rFonts w:hint="eastAsia" w:ascii="方正小标宋_GBK" w:hAnsi="方正小标宋_GBK" w:eastAsia="方正小标宋_GBK" w:cs="方正小标宋_GBK"/>
          <w:i w:val="0"/>
          <w:iCs w:val="0"/>
          <w:caps w:val="0"/>
          <w:color w:val="auto"/>
          <w:spacing w:val="0"/>
          <w:sz w:val="44"/>
          <w:szCs w:val="44"/>
        </w:rPr>
      </w:pPr>
      <w:bookmarkStart w:id="0" w:name="_GoBack"/>
      <w:bookmarkEnd w:id="0"/>
      <w:r>
        <w:rPr>
          <w:rFonts w:hint="eastAsia" w:ascii="方正小标宋_GBK" w:hAnsi="方正小标宋_GBK" w:eastAsia="方正小标宋_GBK" w:cs="方正小标宋_GBK"/>
          <w:i w:val="0"/>
          <w:iCs w:val="0"/>
          <w:caps w:val="0"/>
          <w:color w:val="auto"/>
          <w:spacing w:val="0"/>
          <w:sz w:val="44"/>
          <w:szCs w:val="44"/>
          <w:shd w:val="clear" w:fill="FFFFFF"/>
          <w:lang w:val="en-US" w:eastAsia="zh-CN"/>
        </w:rPr>
        <w:t>江苏省工业和信息化厅</w:t>
      </w:r>
      <w:r>
        <w:rPr>
          <w:rFonts w:hint="eastAsia" w:ascii="方正小标宋_GBK" w:hAnsi="方正小标宋_GBK" w:eastAsia="方正小标宋_GBK" w:cs="方正小标宋_GBK"/>
          <w:i w:val="0"/>
          <w:iCs w:val="0"/>
          <w:caps w:val="0"/>
          <w:color w:val="auto"/>
          <w:spacing w:val="0"/>
          <w:sz w:val="44"/>
          <w:szCs w:val="44"/>
          <w:shd w:val="clear" w:fill="FFFFFF"/>
        </w:rPr>
        <w:t>节能领域行政处罚裁量基准（试行）</w:t>
      </w:r>
    </w:p>
    <w:p w14:paraId="6D126FD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0"/>
        <w:jc w:val="center"/>
        <w:rPr>
          <w:rFonts w:hint="default" w:ascii="仿宋_GB2312" w:eastAsia="仿宋_GB2312" w:cs="仿宋_GB2312"/>
          <w:i w:val="0"/>
          <w:iCs w:val="0"/>
          <w:caps w:val="0"/>
          <w:color w:val="auto"/>
          <w:spacing w:val="0"/>
          <w:sz w:val="25"/>
          <w:szCs w:val="25"/>
        </w:rPr>
      </w:pPr>
    </w:p>
    <w:p w14:paraId="5CB412E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黑体_GBK" w:hAnsi="方正黑体_GBK" w:eastAsia="方正黑体_GBK" w:cs="方正黑体_GBK"/>
          <w:i w:val="0"/>
          <w:iCs w:val="0"/>
          <w:caps w:val="0"/>
          <w:color w:val="auto"/>
          <w:spacing w:val="0"/>
          <w:sz w:val="32"/>
          <w:szCs w:val="32"/>
          <w:shd w:val="clear" w:fill="FFFFFF"/>
        </w:rPr>
        <w:t>第一条</w:t>
      </w:r>
      <w:r>
        <w:rPr>
          <w:rFonts w:hint="eastAsia" w:ascii="方正黑体_GBK" w:hAnsi="方正黑体_GBK" w:eastAsia="方正黑体_GBK" w:cs="方正黑体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为规范</w:t>
      </w:r>
      <w:r>
        <w:rPr>
          <w:rFonts w:hint="eastAsia" w:ascii="方正仿宋_GBK" w:hAnsi="方正仿宋_GBK" w:eastAsia="方正仿宋_GBK" w:cs="方正仿宋_GBK"/>
          <w:i w:val="0"/>
          <w:iCs w:val="0"/>
          <w:caps w:val="0"/>
          <w:color w:val="auto"/>
          <w:spacing w:val="0"/>
          <w:sz w:val="32"/>
          <w:szCs w:val="32"/>
          <w:shd w:val="clear" w:fill="FFFFFF"/>
          <w:lang w:val="en-US" w:eastAsia="zh-CN"/>
        </w:rPr>
        <w:t>行使</w:t>
      </w:r>
      <w:r>
        <w:rPr>
          <w:rFonts w:hint="eastAsia" w:ascii="方正仿宋_GBK" w:hAnsi="方正仿宋_GBK" w:eastAsia="方正仿宋_GBK" w:cs="方正仿宋_GBK"/>
          <w:i w:val="0"/>
          <w:iCs w:val="0"/>
          <w:caps w:val="0"/>
          <w:color w:val="auto"/>
          <w:spacing w:val="0"/>
          <w:sz w:val="32"/>
          <w:szCs w:val="32"/>
          <w:shd w:val="clear" w:fill="FFFFFF"/>
        </w:rPr>
        <w:t>节能领域行政处罚裁量权，保护公民、法人或者其他组织的合法权益，根据《中华人民共和国行政处罚法》《中华人民共和国节约能源法》《</w:t>
      </w:r>
      <w:r>
        <w:rPr>
          <w:rFonts w:hint="eastAsia" w:ascii="方正仿宋_GBK" w:hAnsi="方正仿宋_GBK" w:eastAsia="方正仿宋_GBK" w:cs="方正仿宋_GBK"/>
          <w:i w:val="0"/>
          <w:iCs w:val="0"/>
          <w:caps w:val="0"/>
          <w:color w:val="auto"/>
          <w:spacing w:val="0"/>
          <w:sz w:val="32"/>
          <w:szCs w:val="32"/>
          <w:shd w:val="clear" w:fill="FFFFFF"/>
          <w:lang w:val="en-US" w:eastAsia="zh-CN"/>
        </w:rPr>
        <w:t>江苏省</w:t>
      </w:r>
      <w:r>
        <w:rPr>
          <w:rFonts w:hint="eastAsia" w:ascii="方正仿宋_GBK" w:hAnsi="方正仿宋_GBK" w:eastAsia="方正仿宋_GBK" w:cs="方正仿宋_GBK"/>
          <w:i w:val="0"/>
          <w:iCs w:val="0"/>
          <w:caps w:val="0"/>
          <w:color w:val="auto"/>
          <w:spacing w:val="0"/>
          <w:sz w:val="32"/>
          <w:szCs w:val="32"/>
          <w:shd w:val="clear" w:fill="FFFFFF"/>
        </w:rPr>
        <w:t>节约能源条例》等法律法规规章文件规定，结合工作实际，制定本基准。</w:t>
      </w:r>
    </w:p>
    <w:p w14:paraId="337DB77A">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黑体_GBK" w:hAnsi="方正黑体_GBK" w:eastAsia="方正黑体_GBK" w:cs="方正黑体_GBK"/>
          <w:i w:val="0"/>
          <w:iCs w:val="0"/>
          <w:caps w:val="0"/>
          <w:color w:val="auto"/>
          <w:spacing w:val="0"/>
          <w:sz w:val="32"/>
          <w:szCs w:val="32"/>
          <w:shd w:val="clear" w:fill="FFFFFF"/>
        </w:rPr>
        <w:t>第二条</w:t>
      </w:r>
      <w:r>
        <w:rPr>
          <w:rFonts w:hint="eastAsia" w:ascii="方正黑体_GBK" w:hAnsi="方正黑体_GBK" w:eastAsia="方正黑体_GBK" w:cs="方正黑体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lang w:val="en-US" w:eastAsia="zh-CN"/>
        </w:rPr>
        <w:t>全省工业和信息化部门</w:t>
      </w:r>
      <w:r>
        <w:rPr>
          <w:rFonts w:hint="eastAsia" w:ascii="方正仿宋_GBK" w:hAnsi="方正仿宋_GBK" w:eastAsia="方正仿宋_GBK" w:cs="方正仿宋_GBK"/>
          <w:i w:val="0"/>
          <w:iCs w:val="0"/>
          <w:caps w:val="0"/>
          <w:color w:val="auto"/>
          <w:spacing w:val="0"/>
          <w:sz w:val="32"/>
          <w:szCs w:val="32"/>
          <w:shd w:val="clear" w:fill="FFFFFF"/>
        </w:rPr>
        <w:t>实施节能领域行政处罚应当适用本基准。</w:t>
      </w:r>
    </w:p>
    <w:p w14:paraId="5A38CD7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黑体_GBK" w:hAnsi="方正黑体_GBK" w:eastAsia="方正黑体_GBK" w:cs="方正黑体_GBK"/>
          <w:i w:val="0"/>
          <w:iCs w:val="0"/>
          <w:caps w:val="0"/>
          <w:color w:val="auto"/>
          <w:spacing w:val="0"/>
          <w:sz w:val="32"/>
          <w:szCs w:val="32"/>
          <w:shd w:val="clear" w:fill="FFFFFF"/>
        </w:rPr>
        <w:t>第三条</w:t>
      </w:r>
      <w:r>
        <w:rPr>
          <w:rFonts w:hint="eastAsia" w:ascii="方正黑体_GBK" w:hAnsi="方正黑体_GBK" w:eastAsia="方正黑体_GBK" w:cs="方正黑体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本基准所称行政处罚裁量权，是指在实施行政处罚时，根据法律、法规、规章规定，综合考虑违法行为的事实、性质、情节、社会危害程度、当事人主观过错等因素，决定是否给予行政处罚、给予行政处罚种类和幅度的权限。</w:t>
      </w:r>
    </w:p>
    <w:p w14:paraId="6E1D7F8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shd w:val="clear" w:fill="FFFFFF"/>
        </w:rPr>
      </w:pPr>
      <w:r>
        <w:rPr>
          <w:rFonts w:hint="eastAsia" w:ascii="方正黑体_GBK" w:hAnsi="方正黑体_GBK" w:eastAsia="方正黑体_GBK" w:cs="方正黑体_GBK"/>
          <w:i w:val="0"/>
          <w:iCs w:val="0"/>
          <w:caps w:val="0"/>
          <w:color w:val="auto"/>
          <w:spacing w:val="0"/>
          <w:sz w:val="32"/>
          <w:szCs w:val="32"/>
          <w:shd w:val="clear" w:fill="FFFFFF"/>
        </w:rPr>
        <w:t>第四条</w:t>
      </w:r>
      <w:r>
        <w:rPr>
          <w:rFonts w:hint="eastAsia" w:ascii="方正黑体_GBK" w:hAnsi="方正黑体_GBK" w:eastAsia="方正黑体_GBK" w:cs="方正黑体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行使行政处罚裁量权，应当坚持公平公正、过罚相当、宽严相济、处罚与教育相结合的原则</w:t>
      </w:r>
      <w:r>
        <w:rPr>
          <w:rFonts w:hint="eastAsia" w:ascii="方正仿宋_GBK" w:hAnsi="方正仿宋_GBK" w:eastAsia="方正仿宋_GBK" w:cs="方正仿宋_GBK"/>
          <w:i w:val="0"/>
          <w:iCs w:val="0"/>
          <w:caps w:val="0"/>
          <w:color w:val="auto"/>
          <w:spacing w:val="0"/>
          <w:sz w:val="32"/>
          <w:szCs w:val="32"/>
          <w:shd w:val="clear" w:fill="FFFFFF"/>
          <w:lang w:eastAsia="zh-CN"/>
        </w:rPr>
        <w:t>，</w:t>
      </w:r>
      <w:r>
        <w:rPr>
          <w:rFonts w:hint="eastAsia" w:ascii="方正仿宋_GBK" w:hAnsi="方正仿宋_GBK" w:eastAsia="方正仿宋_GBK" w:cs="方正仿宋_GBK"/>
          <w:i w:val="0"/>
          <w:iCs w:val="0"/>
          <w:caps w:val="0"/>
          <w:color w:val="auto"/>
          <w:spacing w:val="0"/>
          <w:sz w:val="32"/>
          <w:szCs w:val="32"/>
          <w:shd w:val="clear" w:fill="FFFFFF"/>
        </w:rPr>
        <w:t>行政处罚的种类、幅度应当与违法行为的事实、性质、情节以及社会危害程度相当。</w:t>
      </w:r>
    </w:p>
    <w:p w14:paraId="350AF59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shd w:val="clear" w:fill="FFFFFF"/>
        </w:rPr>
      </w:pPr>
      <w:r>
        <w:rPr>
          <w:rFonts w:hint="eastAsia" w:ascii="方正黑体_GBK" w:hAnsi="方正黑体_GBK" w:eastAsia="方正黑体_GBK" w:cs="方正黑体_GBK"/>
          <w:i w:val="0"/>
          <w:iCs w:val="0"/>
          <w:caps w:val="0"/>
          <w:color w:val="auto"/>
          <w:spacing w:val="0"/>
          <w:sz w:val="32"/>
          <w:szCs w:val="32"/>
          <w:shd w:val="clear" w:fill="FFFFFF"/>
        </w:rPr>
        <w:t>第五条</w:t>
      </w:r>
      <w:r>
        <w:rPr>
          <w:rFonts w:hint="eastAsia" w:ascii="方正仿宋_GBK" w:hAnsi="方正仿宋_GBK" w:eastAsia="方正仿宋_GBK" w:cs="方正仿宋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行政处罚</w:t>
      </w:r>
      <w:r>
        <w:rPr>
          <w:rFonts w:hint="eastAsia" w:ascii="方正仿宋_GBK" w:hAnsi="方正仿宋_GBK" w:eastAsia="方正仿宋_GBK" w:cs="方正仿宋_GBK"/>
          <w:i w:val="0"/>
          <w:iCs w:val="0"/>
          <w:caps w:val="0"/>
          <w:color w:val="auto"/>
          <w:spacing w:val="0"/>
          <w:sz w:val="32"/>
          <w:szCs w:val="32"/>
          <w:shd w:val="clear" w:fill="FFFFFF"/>
          <w:lang w:val="en-US" w:eastAsia="zh-CN"/>
        </w:rPr>
        <w:t>违法程度</w:t>
      </w:r>
      <w:r>
        <w:rPr>
          <w:rFonts w:hint="eastAsia" w:ascii="方正仿宋_GBK" w:hAnsi="方正仿宋_GBK" w:eastAsia="方正仿宋_GBK" w:cs="方正仿宋_GBK"/>
          <w:i w:val="0"/>
          <w:iCs w:val="0"/>
          <w:caps w:val="0"/>
          <w:color w:val="auto"/>
          <w:spacing w:val="0"/>
          <w:sz w:val="32"/>
          <w:szCs w:val="32"/>
          <w:shd w:val="clear" w:fill="FFFFFF"/>
        </w:rPr>
        <w:t>原则上</w:t>
      </w:r>
      <w:r>
        <w:rPr>
          <w:rFonts w:hint="eastAsia" w:ascii="方正仿宋_GBK" w:hAnsi="方正仿宋_GBK" w:eastAsia="方正仿宋_GBK" w:cs="方正仿宋_GBK"/>
          <w:i w:val="0"/>
          <w:iCs w:val="0"/>
          <w:caps w:val="0"/>
          <w:color w:val="auto"/>
          <w:spacing w:val="0"/>
          <w:sz w:val="32"/>
          <w:szCs w:val="32"/>
          <w:shd w:val="clear" w:fill="FFFFFF"/>
          <w:lang w:val="en-US" w:eastAsia="zh-CN"/>
        </w:rPr>
        <w:t>包括轻微、一般、严重三个等级</w:t>
      </w:r>
      <w:r>
        <w:rPr>
          <w:rFonts w:hint="eastAsia" w:ascii="方正仿宋_GBK" w:hAnsi="方正仿宋_GBK" w:eastAsia="方正仿宋_GBK" w:cs="方正仿宋_GBK"/>
          <w:i w:val="0"/>
          <w:iCs w:val="0"/>
          <w:caps w:val="0"/>
          <w:color w:val="auto"/>
          <w:spacing w:val="0"/>
          <w:sz w:val="32"/>
          <w:szCs w:val="32"/>
          <w:shd w:val="clear" w:fill="FFFFFF"/>
        </w:rPr>
        <w:t>。具体</w:t>
      </w:r>
      <w:r>
        <w:rPr>
          <w:rFonts w:hint="eastAsia" w:ascii="方正仿宋_GBK" w:hAnsi="方正仿宋_GBK" w:eastAsia="方正仿宋_GBK" w:cs="方正仿宋_GBK"/>
          <w:i w:val="0"/>
          <w:iCs w:val="0"/>
          <w:caps w:val="0"/>
          <w:color w:val="auto"/>
          <w:spacing w:val="0"/>
          <w:sz w:val="32"/>
          <w:szCs w:val="32"/>
          <w:shd w:val="clear" w:fill="FFFFFF"/>
          <w:lang w:val="en-US" w:eastAsia="zh-CN"/>
        </w:rPr>
        <w:t>划分</w:t>
      </w:r>
      <w:r>
        <w:rPr>
          <w:rFonts w:hint="eastAsia" w:ascii="方正仿宋_GBK" w:hAnsi="方正仿宋_GBK" w:eastAsia="方正仿宋_GBK" w:cs="方正仿宋_GBK"/>
          <w:i w:val="0"/>
          <w:iCs w:val="0"/>
          <w:caps w:val="0"/>
          <w:color w:val="auto"/>
          <w:spacing w:val="0"/>
          <w:sz w:val="32"/>
          <w:szCs w:val="32"/>
          <w:shd w:val="clear" w:fill="FFFFFF"/>
        </w:rPr>
        <w:t>基准详见《</w:t>
      </w:r>
      <w:r>
        <w:rPr>
          <w:rFonts w:hint="eastAsia" w:ascii="方正仿宋_GBK" w:hAnsi="方正仿宋_GBK" w:eastAsia="方正仿宋_GBK" w:cs="方正仿宋_GBK"/>
          <w:i w:val="0"/>
          <w:iCs w:val="0"/>
          <w:caps w:val="0"/>
          <w:color w:val="auto"/>
          <w:spacing w:val="0"/>
          <w:sz w:val="32"/>
          <w:szCs w:val="32"/>
          <w:shd w:val="clear" w:fill="FFFFFF"/>
          <w:lang w:val="en-US" w:eastAsia="zh-CN"/>
        </w:rPr>
        <w:t>江苏省工业和信息化厅节能</w:t>
      </w:r>
      <w:r>
        <w:rPr>
          <w:rFonts w:hint="eastAsia" w:ascii="方正仿宋_GBK" w:hAnsi="方正仿宋_GBK" w:eastAsia="方正仿宋_GBK" w:cs="方正仿宋_GBK"/>
          <w:i w:val="0"/>
          <w:iCs w:val="0"/>
          <w:caps w:val="0"/>
          <w:color w:val="auto"/>
          <w:spacing w:val="0"/>
          <w:sz w:val="32"/>
          <w:szCs w:val="32"/>
          <w:shd w:val="clear" w:fill="FFFFFF"/>
        </w:rPr>
        <w:t>领域行政处罚裁量基准表》。</w:t>
      </w:r>
    </w:p>
    <w:p w14:paraId="20F6D2A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黑体_GBK" w:hAnsi="方正黑体_GBK" w:eastAsia="方正黑体_GBK" w:cs="方正黑体_GBK"/>
          <w:i w:val="0"/>
          <w:iCs w:val="0"/>
          <w:caps w:val="0"/>
          <w:color w:val="auto"/>
          <w:spacing w:val="0"/>
          <w:sz w:val="32"/>
          <w:szCs w:val="32"/>
          <w:shd w:val="clear" w:fill="FFFFFF"/>
        </w:rPr>
        <w:t>第</w:t>
      </w:r>
      <w:r>
        <w:rPr>
          <w:rFonts w:hint="eastAsia" w:ascii="方正黑体_GBK" w:hAnsi="方正黑体_GBK" w:eastAsia="方正黑体_GBK" w:cs="方正黑体_GBK"/>
          <w:i w:val="0"/>
          <w:iCs w:val="0"/>
          <w:caps w:val="0"/>
          <w:color w:val="auto"/>
          <w:spacing w:val="0"/>
          <w:sz w:val="32"/>
          <w:szCs w:val="32"/>
          <w:shd w:val="clear" w:fill="FFFFFF"/>
          <w:lang w:val="en-US" w:eastAsia="zh-CN"/>
        </w:rPr>
        <w:t>六</w:t>
      </w:r>
      <w:r>
        <w:rPr>
          <w:rFonts w:hint="eastAsia" w:ascii="方正黑体_GBK" w:hAnsi="方正黑体_GBK" w:eastAsia="方正黑体_GBK" w:cs="方正黑体_GBK"/>
          <w:i w:val="0"/>
          <w:iCs w:val="0"/>
          <w:caps w:val="0"/>
          <w:color w:val="auto"/>
          <w:spacing w:val="0"/>
          <w:sz w:val="32"/>
          <w:szCs w:val="32"/>
          <w:shd w:val="clear" w:fill="FFFFFF"/>
        </w:rPr>
        <w:t>条</w:t>
      </w:r>
      <w:r>
        <w:rPr>
          <w:rFonts w:hint="eastAsia" w:ascii="方正黑体_GBK" w:hAnsi="方正黑体_GBK" w:eastAsia="方正黑体_GBK" w:cs="方正黑体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行政处罚裁量基准原则上</w:t>
      </w:r>
      <w:r>
        <w:rPr>
          <w:rFonts w:hint="eastAsia" w:ascii="方正仿宋_GBK" w:hAnsi="方正仿宋_GBK" w:eastAsia="方正仿宋_GBK" w:cs="方正仿宋_GBK"/>
          <w:i w:val="0"/>
          <w:iCs w:val="0"/>
          <w:caps w:val="0"/>
          <w:color w:val="auto"/>
          <w:spacing w:val="0"/>
          <w:sz w:val="32"/>
          <w:szCs w:val="32"/>
          <w:shd w:val="clear" w:fill="FFFFFF"/>
          <w:lang w:val="en-US" w:eastAsia="zh-CN"/>
        </w:rPr>
        <w:t>包括不予处罚、</w:t>
      </w:r>
      <w:r>
        <w:rPr>
          <w:rFonts w:hint="eastAsia" w:ascii="方正仿宋_GBK" w:hAnsi="方正仿宋_GBK" w:eastAsia="方正仿宋_GBK" w:cs="方正仿宋_GBK"/>
          <w:i w:val="0"/>
          <w:iCs w:val="0"/>
          <w:caps w:val="0"/>
          <w:color w:val="auto"/>
          <w:spacing w:val="0"/>
          <w:sz w:val="32"/>
          <w:szCs w:val="32"/>
          <w:shd w:val="clear" w:fill="FFFFFF"/>
        </w:rPr>
        <w:t>从轻、一般</w:t>
      </w:r>
      <w:r>
        <w:rPr>
          <w:rFonts w:hint="eastAsia" w:ascii="方正仿宋_GBK" w:hAnsi="方正仿宋_GBK" w:eastAsia="方正仿宋_GBK" w:cs="方正仿宋_GBK"/>
          <w:i w:val="0"/>
          <w:iCs w:val="0"/>
          <w:caps w:val="0"/>
          <w:color w:val="auto"/>
          <w:spacing w:val="0"/>
          <w:sz w:val="32"/>
          <w:szCs w:val="32"/>
          <w:shd w:val="clear" w:fill="FFFFFF"/>
          <w:lang w:val="en-US" w:eastAsia="zh-CN"/>
        </w:rPr>
        <w:t>和</w:t>
      </w:r>
      <w:r>
        <w:rPr>
          <w:rFonts w:hint="eastAsia" w:ascii="方正仿宋_GBK" w:hAnsi="方正仿宋_GBK" w:eastAsia="方正仿宋_GBK" w:cs="方正仿宋_GBK"/>
          <w:i w:val="0"/>
          <w:iCs w:val="0"/>
          <w:caps w:val="0"/>
          <w:color w:val="auto"/>
          <w:spacing w:val="0"/>
          <w:sz w:val="32"/>
          <w:szCs w:val="32"/>
          <w:shd w:val="clear" w:fill="FFFFFF"/>
        </w:rPr>
        <w:t>从重</w:t>
      </w:r>
      <w:r>
        <w:rPr>
          <w:rFonts w:hint="eastAsia" w:ascii="方正仿宋_GBK" w:hAnsi="方正仿宋_GBK" w:eastAsia="方正仿宋_GBK" w:cs="方正仿宋_GBK"/>
          <w:i w:val="0"/>
          <w:iCs w:val="0"/>
          <w:caps w:val="0"/>
          <w:color w:val="auto"/>
          <w:spacing w:val="0"/>
          <w:sz w:val="32"/>
          <w:szCs w:val="32"/>
          <w:shd w:val="clear" w:fill="FFFFFF"/>
          <w:lang w:val="en-US" w:eastAsia="zh-CN"/>
        </w:rPr>
        <w:t>四</w:t>
      </w:r>
      <w:r>
        <w:rPr>
          <w:rFonts w:hint="eastAsia" w:ascii="方正仿宋_GBK" w:hAnsi="方正仿宋_GBK" w:eastAsia="方正仿宋_GBK" w:cs="方正仿宋_GBK"/>
          <w:i w:val="0"/>
          <w:iCs w:val="0"/>
          <w:caps w:val="0"/>
          <w:color w:val="auto"/>
          <w:spacing w:val="0"/>
          <w:sz w:val="32"/>
          <w:szCs w:val="32"/>
          <w:shd w:val="clear" w:fill="FFFFFF"/>
        </w:rPr>
        <w:t>个裁量阶次。具体裁量基准详见《</w:t>
      </w:r>
      <w:r>
        <w:rPr>
          <w:rFonts w:hint="eastAsia" w:ascii="方正仿宋_GBK" w:hAnsi="方正仿宋_GBK" w:eastAsia="方正仿宋_GBK" w:cs="方正仿宋_GBK"/>
          <w:i w:val="0"/>
          <w:iCs w:val="0"/>
          <w:caps w:val="0"/>
          <w:color w:val="auto"/>
          <w:spacing w:val="0"/>
          <w:sz w:val="32"/>
          <w:szCs w:val="32"/>
          <w:shd w:val="clear" w:fill="FFFFFF"/>
          <w:lang w:val="en-US" w:eastAsia="zh-CN"/>
        </w:rPr>
        <w:t>江苏省工业和信息化厅节能</w:t>
      </w:r>
      <w:r>
        <w:rPr>
          <w:rFonts w:hint="eastAsia" w:ascii="方正仿宋_GBK" w:hAnsi="方正仿宋_GBK" w:eastAsia="方正仿宋_GBK" w:cs="方正仿宋_GBK"/>
          <w:i w:val="0"/>
          <w:iCs w:val="0"/>
          <w:caps w:val="0"/>
          <w:color w:val="auto"/>
          <w:spacing w:val="0"/>
          <w:sz w:val="32"/>
          <w:szCs w:val="32"/>
          <w:shd w:val="clear" w:fill="FFFFFF"/>
        </w:rPr>
        <w:t>领域行政处罚裁量基准表》。</w:t>
      </w:r>
    </w:p>
    <w:p w14:paraId="2F87E42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黑体_GBK" w:hAnsi="方正黑体_GBK" w:eastAsia="方正黑体_GBK" w:cs="方正黑体_GBK"/>
          <w:i w:val="0"/>
          <w:iCs w:val="0"/>
          <w:caps w:val="0"/>
          <w:color w:val="auto"/>
          <w:spacing w:val="0"/>
          <w:sz w:val="32"/>
          <w:szCs w:val="32"/>
          <w:shd w:val="clear" w:fill="FFFFFF"/>
        </w:rPr>
        <w:t>第</w:t>
      </w:r>
      <w:r>
        <w:rPr>
          <w:rFonts w:hint="eastAsia" w:ascii="方正黑体_GBK" w:hAnsi="方正黑体_GBK" w:eastAsia="方正黑体_GBK" w:cs="方正黑体_GBK"/>
          <w:i w:val="0"/>
          <w:iCs w:val="0"/>
          <w:caps w:val="0"/>
          <w:color w:val="auto"/>
          <w:spacing w:val="0"/>
          <w:sz w:val="32"/>
          <w:szCs w:val="32"/>
          <w:shd w:val="clear" w:fill="FFFFFF"/>
          <w:lang w:val="en-US" w:eastAsia="zh-CN"/>
        </w:rPr>
        <w:t>七</w:t>
      </w:r>
      <w:r>
        <w:rPr>
          <w:rFonts w:hint="eastAsia" w:ascii="方正黑体_GBK" w:hAnsi="方正黑体_GBK" w:eastAsia="方正黑体_GBK" w:cs="方正黑体_GBK"/>
          <w:i w:val="0"/>
          <w:iCs w:val="0"/>
          <w:caps w:val="0"/>
          <w:color w:val="auto"/>
          <w:spacing w:val="0"/>
          <w:sz w:val="32"/>
          <w:szCs w:val="32"/>
          <w:shd w:val="clear" w:fill="FFFFFF"/>
        </w:rPr>
        <w:t>条</w:t>
      </w:r>
      <w:r>
        <w:rPr>
          <w:rFonts w:hint="eastAsia" w:ascii="方正仿宋_GBK" w:hAnsi="方正仿宋_GBK" w:eastAsia="方正仿宋_GBK" w:cs="方正仿宋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有下列情形之一的，依法不予行政处罚：</w:t>
      </w:r>
    </w:p>
    <w:p w14:paraId="072A2E0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（一）违法行为轻微并及时改正，没有造成危害后果的；</w:t>
      </w:r>
    </w:p>
    <w:p w14:paraId="77CC996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（二）当事人有证据足以证明没有主观过错的，但是法律、行政法规另有规定的除外；</w:t>
      </w:r>
    </w:p>
    <w:p w14:paraId="656BC43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（三）其他依法不予行政处罚情形。</w:t>
      </w:r>
    </w:p>
    <w:p w14:paraId="4D17BDB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初次违法且危害后果轻微并及时改正的，可以依法不予行政处罚。</w:t>
      </w:r>
    </w:p>
    <w:p w14:paraId="2272A6A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黑体_GBK" w:hAnsi="方正黑体_GBK" w:eastAsia="方正黑体_GBK" w:cs="方正黑体_GBK"/>
          <w:i w:val="0"/>
          <w:iCs w:val="0"/>
          <w:caps w:val="0"/>
          <w:color w:val="auto"/>
          <w:spacing w:val="0"/>
          <w:sz w:val="32"/>
          <w:szCs w:val="32"/>
          <w:shd w:val="clear" w:fill="FFFFFF"/>
        </w:rPr>
        <w:t>第</w:t>
      </w:r>
      <w:r>
        <w:rPr>
          <w:rFonts w:hint="eastAsia" w:ascii="方正黑体_GBK" w:hAnsi="方正黑体_GBK" w:eastAsia="方正黑体_GBK" w:cs="方正黑体_GBK"/>
          <w:i w:val="0"/>
          <w:iCs w:val="0"/>
          <w:caps w:val="0"/>
          <w:color w:val="auto"/>
          <w:spacing w:val="0"/>
          <w:sz w:val="32"/>
          <w:szCs w:val="32"/>
          <w:shd w:val="clear" w:fill="FFFFFF"/>
          <w:lang w:val="en-US" w:eastAsia="zh-CN"/>
        </w:rPr>
        <w:t>八</w:t>
      </w:r>
      <w:r>
        <w:rPr>
          <w:rFonts w:hint="eastAsia" w:ascii="方正黑体_GBK" w:hAnsi="方正黑体_GBK" w:eastAsia="方正黑体_GBK" w:cs="方正黑体_GBK"/>
          <w:i w:val="0"/>
          <w:iCs w:val="0"/>
          <w:caps w:val="0"/>
          <w:color w:val="auto"/>
          <w:spacing w:val="0"/>
          <w:sz w:val="32"/>
          <w:szCs w:val="32"/>
          <w:shd w:val="clear" w:fill="FFFFFF"/>
        </w:rPr>
        <w:t>条</w:t>
      </w:r>
      <w:r>
        <w:rPr>
          <w:rFonts w:hint="eastAsia" w:ascii="方正仿宋_GBK" w:hAnsi="方正仿宋_GBK" w:eastAsia="方正仿宋_GBK" w:cs="方正仿宋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有下列情形之一的，依法从轻或者减轻行政处罚：</w:t>
      </w:r>
    </w:p>
    <w:p w14:paraId="2FAB6E1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（一）主动消除或者减轻违法行为危害后果的；</w:t>
      </w:r>
    </w:p>
    <w:p w14:paraId="12C3B8F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（二）受他人胁迫或者诱骗实施违法行为的；</w:t>
      </w:r>
    </w:p>
    <w:p w14:paraId="064BB3F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（三）主动供述行政机关尚未掌握的违法行为的；</w:t>
      </w:r>
    </w:p>
    <w:p w14:paraId="5744B85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（四）配合行政机关查处违法行为有立功表现的；</w:t>
      </w:r>
    </w:p>
    <w:p w14:paraId="01127546">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（五）法律、法规、规章规定其他应当从轻或者减轻行政处罚的。</w:t>
      </w:r>
    </w:p>
    <w:p w14:paraId="72D31EE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黑体_GBK" w:hAnsi="方正黑体_GBK" w:eastAsia="方正黑体_GBK" w:cs="方正黑体_GBK"/>
          <w:i w:val="0"/>
          <w:iCs w:val="0"/>
          <w:caps w:val="0"/>
          <w:color w:val="auto"/>
          <w:spacing w:val="0"/>
          <w:sz w:val="32"/>
          <w:szCs w:val="32"/>
          <w:shd w:val="clear" w:fill="FFFFFF"/>
        </w:rPr>
        <w:t>第</w:t>
      </w:r>
      <w:r>
        <w:rPr>
          <w:rFonts w:hint="eastAsia" w:ascii="方正黑体_GBK" w:hAnsi="方正黑体_GBK" w:eastAsia="方正黑体_GBK" w:cs="方正黑体_GBK"/>
          <w:i w:val="0"/>
          <w:iCs w:val="0"/>
          <w:caps w:val="0"/>
          <w:color w:val="auto"/>
          <w:spacing w:val="0"/>
          <w:sz w:val="32"/>
          <w:szCs w:val="32"/>
          <w:shd w:val="clear" w:fill="FFFFFF"/>
          <w:lang w:val="en-US" w:eastAsia="zh-CN"/>
        </w:rPr>
        <w:t>九</w:t>
      </w:r>
      <w:r>
        <w:rPr>
          <w:rFonts w:hint="eastAsia" w:ascii="方正黑体_GBK" w:hAnsi="方正黑体_GBK" w:eastAsia="方正黑体_GBK" w:cs="方正黑体_GBK"/>
          <w:i w:val="0"/>
          <w:iCs w:val="0"/>
          <w:caps w:val="0"/>
          <w:color w:val="auto"/>
          <w:spacing w:val="0"/>
          <w:sz w:val="32"/>
          <w:szCs w:val="32"/>
          <w:shd w:val="clear" w:fill="FFFFFF"/>
        </w:rPr>
        <w:t>条</w:t>
      </w:r>
      <w:r>
        <w:rPr>
          <w:rFonts w:hint="eastAsia" w:ascii="方正仿宋_GBK" w:hAnsi="方正仿宋_GBK" w:eastAsia="方正仿宋_GBK" w:cs="方正仿宋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有下列情形之一的，依法从重行政处罚：</w:t>
      </w:r>
    </w:p>
    <w:p w14:paraId="78954E0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（一）违法行为造成严重危害后果或者社会影响恶劣的；</w:t>
      </w:r>
    </w:p>
    <w:p w14:paraId="113B21F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（二）不配合</w:t>
      </w:r>
      <w:r>
        <w:rPr>
          <w:rFonts w:hint="eastAsia" w:ascii="方正仿宋_GBK" w:hAnsi="方正仿宋_GBK" w:eastAsia="方正仿宋_GBK" w:cs="方正仿宋_GBK"/>
          <w:i w:val="0"/>
          <w:iCs w:val="0"/>
          <w:caps w:val="0"/>
          <w:color w:val="auto"/>
          <w:spacing w:val="0"/>
          <w:sz w:val="32"/>
          <w:szCs w:val="32"/>
          <w:shd w:val="clear" w:fill="FFFFFF"/>
          <w:lang w:eastAsia="zh-CN"/>
        </w:rPr>
        <w:t>本省工业和信息化部门</w:t>
      </w:r>
      <w:r>
        <w:rPr>
          <w:rFonts w:hint="eastAsia" w:ascii="方正仿宋_GBK" w:hAnsi="方正仿宋_GBK" w:eastAsia="方正仿宋_GBK" w:cs="方正仿宋_GBK"/>
          <w:i w:val="0"/>
          <w:iCs w:val="0"/>
          <w:caps w:val="0"/>
          <w:color w:val="auto"/>
          <w:spacing w:val="0"/>
          <w:sz w:val="32"/>
          <w:szCs w:val="32"/>
          <w:shd w:val="clear" w:fill="FFFFFF"/>
        </w:rPr>
        <w:t>执法活动的；</w:t>
      </w:r>
    </w:p>
    <w:p w14:paraId="2CF1996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（三）隐匿、毁损、伪造、篡改证据的；</w:t>
      </w:r>
    </w:p>
    <w:p w14:paraId="6967179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highlight w:val="none"/>
          <w:shd w:val="clear" w:fill="FFFFFF"/>
        </w:rPr>
        <w:t>（四）对举报投诉人、</w:t>
      </w:r>
      <w:r>
        <w:rPr>
          <w:rFonts w:hint="eastAsia" w:ascii="方正仿宋_GBK" w:hAnsi="方正仿宋_GBK" w:eastAsia="方正仿宋_GBK" w:cs="方正仿宋_GBK"/>
          <w:i w:val="0"/>
          <w:iCs w:val="0"/>
          <w:caps w:val="0"/>
          <w:color w:val="auto"/>
          <w:spacing w:val="0"/>
          <w:sz w:val="32"/>
          <w:szCs w:val="32"/>
          <w:shd w:val="clear" w:fill="FFFFFF"/>
        </w:rPr>
        <w:t>证人</w:t>
      </w:r>
      <w:r>
        <w:rPr>
          <w:rFonts w:hint="eastAsia" w:ascii="方正仿宋_GBK" w:hAnsi="方正仿宋_GBK" w:eastAsia="方正仿宋_GBK" w:cs="方正仿宋_GBK"/>
          <w:i w:val="0"/>
          <w:iCs w:val="0"/>
          <w:caps w:val="0"/>
          <w:color w:val="auto"/>
          <w:spacing w:val="0"/>
          <w:sz w:val="32"/>
          <w:szCs w:val="32"/>
          <w:shd w:val="clear" w:fill="FFFFFF"/>
          <w:lang w:val="en-US" w:eastAsia="zh-CN"/>
        </w:rPr>
        <w:t>及相关</w:t>
      </w:r>
      <w:r>
        <w:rPr>
          <w:rFonts w:hint="eastAsia" w:ascii="方正仿宋_GBK" w:hAnsi="方正仿宋_GBK" w:eastAsia="方正仿宋_GBK" w:cs="方正仿宋_GBK"/>
          <w:i w:val="0"/>
          <w:iCs w:val="0"/>
          <w:caps w:val="0"/>
          <w:color w:val="auto"/>
          <w:spacing w:val="0"/>
          <w:sz w:val="32"/>
          <w:szCs w:val="32"/>
          <w:shd w:val="clear" w:fill="FFFFFF"/>
        </w:rPr>
        <w:t>工作人员进行打击报复的；</w:t>
      </w:r>
    </w:p>
    <w:p w14:paraId="745C05F2">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仿宋_GBK" w:hAnsi="方正仿宋_GBK" w:eastAsia="方正仿宋_GBK" w:cs="方正仿宋_GBK"/>
          <w:i w:val="0"/>
          <w:iCs w:val="0"/>
          <w:caps w:val="0"/>
          <w:color w:val="auto"/>
          <w:spacing w:val="0"/>
          <w:sz w:val="32"/>
          <w:szCs w:val="32"/>
          <w:shd w:val="clear" w:fill="FFFFFF"/>
        </w:rPr>
        <w:t>（五）性质恶劣、情节严重，社会危害性较大的其他情形。</w:t>
      </w:r>
    </w:p>
    <w:p w14:paraId="48B135F3">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rPr>
      </w:pPr>
      <w:r>
        <w:rPr>
          <w:rFonts w:hint="eastAsia" w:ascii="方正黑体_GBK" w:hAnsi="方正黑体_GBK" w:eastAsia="方正黑体_GBK" w:cs="方正黑体_GBK"/>
          <w:i w:val="0"/>
          <w:iCs w:val="0"/>
          <w:caps w:val="0"/>
          <w:color w:val="auto"/>
          <w:spacing w:val="0"/>
          <w:sz w:val="32"/>
          <w:szCs w:val="32"/>
          <w:shd w:val="clear" w:fill="FFFFFF"/>
        </w:rPr>
        <w:t>第</w:t>
      </w:r>
      <w:r>
        <w:rPr>
          <w:rFonts w:hint="eastAsia" w:ascii="方正黑体_GBK" w:hAnsi="方正黑体_GBK" w:eastAsia="方正黑体_GBK" w:cs="方正黑体_GBK"/>
          <w:i w:val="0"/>
          <w:iCs w:val="0"/>
          <w:caps w:val="0"/>
          <w:color w:val="auto"/>
          <w:spacing w:val="0"/>
          <w:sz w:val="32"/>
          <w:szCs w:val="32"/>
          <w:shd w:val="clear" w:fill="FFFFFF"/>
          <w:lang w:val="en-US" w:eastAsia="zh-CN"/>
        </w:rPr>
        <w:t>十</w:t>
      </w:r>
      <w:r>
        <w:rPr>
          <w:rFonts w:hint="eastAsia" w:ascii="方正黑体_GBK" w:hAnsi="方正黑体_GBK" w:eastAsia="方正黑体_GBK" w:cs="方正黑体_GBK"/>
          <w:i w:val="0"/>
          <w:iCs w:val="0"/>
          <w:caps w:val="0"/>
          <w:color w:val="auto"/>
          <w:spacing w:val="0"/>
          <w:sz w:val="32"/>
          <w:szCs w:val="32"/>
          <w:shd w:val="clear" w:fill="FFFFFF"/>
        </w:rPr>
        <w:t>条</w:t>
      </w:r>
      <w:r>
        <w:rPr>
          <w:rFonts w:hint="eastAsia" w:ascii="方正仿宋_GBK" w:hAnsi="方正仿宋_GBK" w:eastAsia="方正仿宋_GBK" w:cs="方正仿宋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w:t>
      </w:r>
      <w:r>
        <w:rPr>
          <w:rFonts w:hint="eastAsia" w:ascii="方正仿宋_GBK" w:hAnsi="方正仿宋_GBK" w:eastAsia="方正仿宋_GBK" w:cs="方正仿宋_GBK"/>
          <w:i w:val="0"/>
          <w:iCs w:val="0"/>
          <w:caps w:val="0"/>
          <w:color w:val="auto"/>
          <w:spacing w:val="0"/>
          <w:sz w:val="32"/>
          <w:szCs w:val="32"/>
          <w:shd w:val="clear" w:fill="FFFFFF"/>
          <w:lang w:val="en-US" w:eastAsia="zh-CN"/>
        </w:rPr>
        <w:t>江苏省工业和信息化厅节能</w:t>
      </w:r>
      <w:r>
        <w:rPr>
          <w:rFonts w:hint="eastAsia" w:ascii="方正仿宋_GBK" w:hAnsi="方正仿宋_GBK" w:eastAsia="方正仿宋_GBK" w:cs="方正仿宋_GBK"/>
          <w:i w:val="0"/>
          <w:iCs w:val="0"/>
          <w:caps w:val="0"/>
          <w:color w:val="auto"/>
          <w:spacing w:val="0"/>
          <w:sz w:val="32"/>
          <w:szCs w:val="32"/>
          <w:shd w:val="clear" w:fill="FFFFFF"/>
        </w:rPr>
        <w:t>节能领域行政处罚裁量基准表》中各裁量阶次罚款数额中的</w:t>
      </w:r>
      <w:r>
        <w:rPr>
          <w:rFonts w:hint="eastAsia" w:ascii="方正仿宋_GBK" w:hAnsi="方正仿宋_GBK" w:eastAsia="方正仿宋_GBK" w:cs="方正仿宋_GBK"/>
          <w:i w:val="0"/>
          <w:iCs w:val="0"/>
          <w:caps w:val="0"/>
          <w:color w:val="auto"/>
          <w:spacing w:val="0"/>
          <w:sz w:val="32"/>
          <w:szCs w:val="32"/>
          <w:shd w:val="clear" w:fill="FFFFFF"/>
          <w:lang w:eastAsia="zh-CN"/>
        </w:rPr>
        <w:t>“</w:t>
      </w:r>
      <w:r>
        <w:rPr>
          <w:rFonts w:hint="eastAsia" w:ascii="方正仿宋_GBK" w:hAnsi="方正仿宋_GBK" w:eastAsia="方正仿宋_GBK" w:cs="方正仿宋_GBK"/>
          <w:i w:val="0"/>
          <w:iCs w:val="0"/>
          <w:caps w:val="0"/>
          <w:color w:val="auto"/>
          <w:spacing w:val="0"/>
          <w:sz w:val="32"/>
          <w:szCs w:val="32"/>
          <w:shd w:val="clear" w:fill="FFFFFF"/>
        </w:rPr>
        <w:t>以上</w:t>
      </w:r>
      <w:r>
        <w:rPr>
          <w:rFonts w:hint="eastAsia" w:ascii="方正仿宋_GBK" w:hAnsi="方正仿宋_GBK" w:eastAsia="方正仿宋_GBK" w:cs="方正仿宋_GBK"/>
          <w:i w:val="0"/>
          <w:iCs w:val="0"/>
          <w:caps w:val="0"/>
          <w:color w:val="auto"/>
          <w:spacing w:val="0"/>
          <w:sz w:val="32"/>
          <w:szCs w:val="32"/>
          <w:shd w:val="clear" w:fill="FFFFFF"/>
          <w:lang w:eastAsia="zh-CN"/>
        </w:rPr>
        <w:t>”</w:t>
      </w:r>
      <w:r>
        <w:rPr>
          <w:rFonts w:hint="eastAsia" w:ascii="方正仿宋_GBK" w:hAnsi="方正仿宋_GBK" w:eastAsia="方正仿宋_GBK" w:cs="方正仿宋_GBK"/>
          <w:i w:val="0"/>
          <w:iCs w:val="0"/>
          <w:caps w:val="0"/>
          <w:color w:val="auto"/>
          <w:spacing w:val="0"/>
          <w:sz w:val="32"/>
          <w:szCs w:val="32"/>
          <w:shd w:val="clear" w:fill="FFFFFF"/>
        </w:rPr>
        <w:t>除第一阶次包含所述罚款数额本数外，其余均不包含所述罚款数额本数。</w:t>
      </w:r>
      <w:r>
        <w:rPr>
          <w:rFonts w:hint="eastAsia" w:ascii="方正仿宋_GBK" w:hAnsi="方正仿宋_GBK" w:eastAsia="方正仿宋_GBK" w:cs="方正仿宋_GBK"/>
          <w:i w:val="0"/>
          <w:iCs w:val="0"/>
          <w:caps w:val="0"/>
          <w:color w:val="auto"/>
          <w:spacing w:val="0"/>
          <w:sz w:val="32"/>
          <w:szCs w:val="32"/>
          <w:shd w:val="clear" w:fill="FFFFFF"/>
          <w:lang w:eastAsia="zh-CN"/>
        </w:rPr>
        <w:t>“</w:t>
      </w:r>
      <w:r>
        <w:rPr>
          <w:rFonts w:hint="eastAsia" w:ascii="方正仿宋_GBK" w:hAnsi="方正仿宋_GBK" w:eastAsia="方正仿宋_GBK" w:cs="方正仿宋_GBK"/>
          <w:i w:val="0"/>
          <w:iCs w:val="0"/>
          <w:caps w:val="0"/>
          <w:color w:val="auto"/>
          <w:spacing w:val="0"/>
          <w:sz w:val="32"/>
          <w:szCs w:val="32"/>
          <w:shd w:val="clear" w:fill="FFFFFF"/>
        </w:rPr>
        <w:t>以下</w:t>
      </w:r>
      <w:r>
        <w:rPr>
          <w:rFonts w:hint="eastAsia" w:ascii="方正仿宋_GBK" w:hAnsi="方正仿宋_GBK" w:eastAsia="方正仿宋_GBK" w:cs="方正仿宋_GBK"/>
          <w:i w:val="0"/>
          <w:iCs w:val="0"/>
          <w:caps w:val="0"/>
          <w:color w:val="auto"/>
          <w:spacing w:val="0"/>
          <w:sz w:val="32"/>
          <w:szCs w:val="32"/>
          <w:shd w:val="clear" w:fill="FFFFFF"/>
          <w:lang w:eastAsia="zh-CN"/>
        </w:rPr>
        <w:t>”</w:t>
      </w:r>
      <w:r>
        <w:rPr>
          <w:rFonts w:hint="eastAsia" w:ascii="方正仿宋_GBK" w:hAnsi="方正仿宋_GBK" w:eastAsia="方正仿宋_GBK" w:cs="方正仿宋_GBK"/>
          <w:i w:val="0"/>
          <w:iCs w:val="0"/>
          <w:caps w:val="0"/>
          <w:color w:val="auto"/>
          <w:spacing w:val="0"/>
          <w:sz w:val="32"/>
          <w:szCs w:val="32"/>
          <w:shd w:val="clear" w:fill="FFFFFF"/>
        </w:rPr>
        <w:t>均包含所述罚款数额本数。</w:t>
      </w:r>
    </w:p>
    <w:p w14:paraId="7876482E">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shd w:val="clear" w:fill="FFFFFF"/>
        </w:rPr>
        <w:sectPr>
          <w:pgSz w:w="11906" w:h="16838"/>
          <w:pgMar w:top="1440" w:right="1800" w:bottom="1440" w:left="1800" w:header="851" w:footer="992" w:gutter="0"/>
          <w:cols w:space="425" w:num="1"/>
          <w:docGrid w:type="lines" w:linePitch="312" w:charSpace="0"/>
        </w:sectPr>
      </w:pPr>
      <w:r>
        <w:rPr>
          <w:rFonts w:hint="eastAsia" w:ascii="方正黑体_GBK" w:hAnsi="方正黑体_GBK" w:eastAsia="方正黑体_GBK" w:cs="方正黑体_GBK"/>
          <w:i w:val="0"/>
          <w:iCs w:val="0"/>
          <w:caps w:val="0"/>
          <w:color w:val="auto"/>
          <w:spacing w:val="0"/>
          <w:sz w:val="32"/>
          <w:szCs w:val="32"/>
          <w:shd w:val="clear" w:fill="FFFFFF"/>
        </w:rPr>
        <w:t>第十</w:t>
      </w:r>
      <w:r>
        <w:rPr>
          <w:rFonts w:hint="eastAsia" w:ascii="方正黑体_GBK" w:hAnsi="方正黑体_GBK" w:eastAsia="方正黑体_GBK" w:cs="方正黑体_GBK"/>
          <w:i w:val="0"/>
          <w:iCs w:val="0"/>
          <w:caps w:val="0"/>
          <w:color w:val="auto"/>
          <w:spacing w:val="0"/>
          <w:sz w:val="32"/>
          <w:szCs w:val="32"/>
          <w:shd w:val="clear" w:fill="FFFFFF"/>
          <w:lang w:val="en-US" w:eastAsia="zh-CN"/>
        </w:rPr>
        <w:t>一</w:t>
      </w:r>
      <w:r>
        <w:rPr>
          <w:rFonts w:hint="eastAsia" w:ascii="方正黑体_GBK" w:hAnsi="方正黑体_GBK" w:eastAsia="方正黑体_GBK" w:cs="方正黑体_GBK"/>
          <w:i w:val="0"/>
          <w:iCs w:val="0"/>
          <w:caps w:val="0"/>
          <w:color w:val="auto"/>
          <w:spacing w:val="0"/>
          <w:sz w:val="32"/>
          <w:szCs w:val="32"/>
          <w:shd w:val="clear" w:fill="FFFFFF"/>
        </w:rPr>
        <w:t>条</w:t>
      </w:r>
      <w:r>
        <w:rPr>
          <w:rFonts w:hint="eastAsia" w:ascii="方正仿宋_GBK" w:hAnsi="方正仿宋_GBK" w:eastAsia="方正仿宋_GBK" w:cs="方正仿宋_GBK"/>
          <w:i w:val="0"/>
          <w:iCs w:val="0"/>
          <w:caps w:val="0"/>
          <w:color w:val="auto"/>
          <w:spacing w:val="0"/>
          <w:sz w:val="32"/>
          <w:szCs w:val="32"/>
          <w:shd w:val="clear" w:fill="FFFFFF"/>
          <w:lang w:val="en-US" w:eastAsia="zh-CN"/>
        </w:rPr>
        <w:t xml:space="preserve"> </w:t>
      </w:r>
      <w:r>
        <w:rPr>
          <w:rFonts w:hint="eastAsia" w:ascii="方正仿宋_GBK" w:hAnsi="方正仿宋_GBK" w:eastAsia="方正仿宋_GBK" w:cs="方正仿宋_GBK"/>
          <w:i w:val="0"/>
          <w:iCs w:val="0"/>
          <w:caps w:val="0"/>
          <w:color w:val="auto"/>
          <w:spacing w:val="0"/>
          <w:sz w:val="32"/>
          <w:szCs w:val="32"/>
          <w:shd w:val="clear" w:fill="FFFFFF"/>
        </w:rPr>
        <w:t>本基准自</w:t>
      </w:r>
      <w:r>
        <w:rPr>
          <w:rFonts w:hint="eastAsia" w:ascii="方正仿宋_GBK" w:hAnsi="方正仿宋_GBK" w:eastAsia="方正仿宋_GBK" w:cs="方正仿宋_GBK"/>
          <w:i w:val="0"/>
          <w:iCs w:val="0"/>
          <w:caps w:val="0"/>
          <w:color w:val="auto"/>
          <w:spacing w:val="0"/>
          <w:sz w:val="32"/>
          <w:szCs w:val="32"/>
          <w:shd w:val="clear" w:fill="FFFFFF"/>
          <w:lang w:val="en-US" w:eastAsia="zh-CN"/>
        </w:rPr>
        <w:t>XX年XX月XX日</w:t>
      </w:r>
      <w:r>
        <w:rPr>
          <w:rFonts w:hint="eastAsia" w:ascii="方正仿宋_GBK" w:hAnsi="方正仿宋_GBK" w:eastAsia="方正仿宋_GBK" w:cs="方正仿宋_GBK"/>
          <w:i w:val="0"/>
          <w:iCs w:val="0"/>
          <w:caps w:val="0"/>
          <w:color w:val="auto"/>
          <w:spacing w:val="0"/>
          <w:sz w:val="32"/>
          <w:szCs w:val="32"/>
          <w:shd w:val="clear" w:fill="FFFFFF"/>
        </w:rPr>
        <w:t>起施行，有效期</w:t>
      </w:r>
      <w:r>
        <w:rPr>
          <w:rFonts w:hint="eastAsia" w:ascii="方正仿宋_GBK" w:hAnsi="方正仿宋_GBK" w:eastAsia="方正仿宋_GBK" w:cs="方正仿宋_GBK"/>
          <w:i w:val="0"/>
          <w:iCs w:val="0"/>
          <w:caps w:val="0"/>
          <w:color w:val="auto"/>
          <w:spacing w:val="0"/>
          <w:sz w:val="32"/>
          <w:szCs w:val="32"/>
          <w:shd w:val="clear" w:fill="FFFFFF"/>
          <w:lang w:val="en-US" w:eastAsia="zh-CN"/>
        </w:rPr>
        <w:t>至XX年XX月XX日</w:t>
      </w:r>
      <w:r>
        <w:rPr>
          <w:rFonts w:hint="eastAsia" w:ascii="方正仿宋_GBK" w:hAnsi="方正仿宋_GBK" w:eastAsia="方正仿宋_GBK" w:cs="方正仿宋_GBK"/>
          <w:i w:val="0"/>
          <w:iCs w:val="0"/>
          <w:caps w:val="0"/>
          <w:color w:val="auto"/>
          <w:spacing w:val="0"/>
          <w:sz w:val="32"/>
          <w:szCs w:val="32"/>
          <w:shd w:val="clear" w:fill="FFFFFF"/>
        </w:rPr>
        <w:t>。</w:t>
      </w:r>
    </w:p>
    <w:p w14:paraId="328C89AB">
      <w:pPr>
        <w:keepNext w:val="0"/>
        <w:keepLines w:val="0"/>
        <w:pageBreakBefore w:val="0"/>
        <w:widowControl/>
        <w:suppressLineNumbers w:val="0"/>
        <w:kinsoku/>
        <w:overflowPunct/>
        <w:topLinePunct w:val="0"/>
        <w:autoSpaceDE/>
        <w:autoSpaceDN/>
        <w:bidi w:val="0"/>
        <w:adjustRightInd/>
        <w:snapToGrid/>
        <w:spacing w:line="590" w:lineRule="exact"/>
        <w:jc w:val="center"/>
        <w:rPr>
          <w:rFonts w:hint="eastAsia" w:ascii="方正小标宋_GBK" w:hAnsi="方正小标宋_GBK" w:eastAsia="方正小标宋_GBK" w:cs="方正小标宋_GBK"/>
          <w:sz w:val="44"/>
          <w:szCs w:val="44"/>
          <w:lang w:val="en-US"/>
        </w:rPr>
      </w:pPr>
      <w:r>
        <w:rPr>
          <w:rFonts w:hint="eastAsia" w:ascii="方正小标宋_GBK" w:hAnsi="方正小标宋_GBK" w:eastAsia="方正小标宋_GBK" w:cs="方正小标宋_GBK"/>
          <w:color w:val="000000"/>
          <w:kern w:val="0"/>
          <w:sz w:val="44"/>
          <w:szCs w:val="44"/>
          <w:lang w:val="en-US" w:eastAsia="zh-CN" w:bidi="ar"/>
        </w:rPr>
        <w:t>江苏省工业和信息化厅节能领域行政处罚裁量基准表</w:t>
      </w:r>
    </w:p>
    <w:tbl>
      <w:tblPr>
        <w:tblStyle w:val="4"/>
        <w:tblW w:w="154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2"/>
        <w:gridCol w:w="1296"/>
        <w:gridCol w:w="3244"/>
        <w:gridCol w:w="3398"/>
        <w:gridCol w:w="715"/>
        <w:gridCol w:w="3959"/>
        <w:gridCol w:w="653"/>
        <w:gridCol w:w="1685"/>
      </w:tblGrid>
      <w:tr w14:paraId="11A65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blHeader/>
          <w:jc w:val="center"/>
        </w:trPr>
        <w:tc>
          <w:tcPr>
            <w:tcW w:w="512" w:type="dxa"/>
            <w:vMerge w:val="restart"/>
            <w:vAlign w:val="center"/>
          </w:tcPr>
          <w:p w14:paraId="0E00397F">
            <w:pPr>
              <w:keepNext w:val="0"/>
              <w:keepLines w:val="0"/>
              <w:pageBreakBefore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r>
              <w:rPr>
                <w:rFonts w:hint="default" w:ascii="Times New Roman" w:hAnsi="Times New Roman" w:eastAsia="方正仿宋_GBK" w:cs="Times New Roman"/>
                <w:b/>
                <w:bCs/>
                <w:sz w:val="21"/>
                <w:szCs w:val="21"/>
                <w:highlight w:val="none"/>
                <w:vertAlign w:val="baseline"/>
                <w:lang w:val="en-US" w:eastAsia="zh-CN"/>
              </w:rPr>
              <w:t>序号</w:t>
            </w:r>
          </w:p>
        </w:tc>
        <w:tc>
          <w:tcPr>
            <w:tcW w:w="1296" w:type="dxa"/>
            <w:vMerge w:val="restart"/>
            <w:vAlign w:val="center"/>
          </w:tcPr>
          <w:p w14:paraId="1D0FE812">
            <w:pPr>
              <w:keepNext w:val="0"/>
              <w:keepLines w:val="0"/>
              <w:pageBreakBefore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r>
              <w:rPr>
                <w:rFonts w:hint="default" w:ascii="Times New Roman" w:hAnsi="Times New Roman" w:eastAsia="方正仿宋_GBK" w:cs="Times New Roman"/>
                <w:b/>
                <w:bCs/>
                <w:sz w:val="21"/>
                <w:szCs w:val="21"/>
                <w:highlight w:val="none"/>
                <w:vertAlign w:val="baseline"/>
                <w:lang w:val="en-US" w:eastAsia="zh-CN"/>
              </w:rPr>
              <w:t>违法行为</w:t>
            </w:r>
          </w:p>
        </w:tc>
        <w:tc>
          <w:tcPr>
            <w:tcW w:w="6642" w:type="dxa"/>
            <w:gridSpan w:val="2"/>
            <w:vAlign w:val="center"/>
          </w:tcPr>
          <w:p w14:paraId="354861BC">
            <w:pPr>
              <w:keepNext w:val="0"/>
              <w:keepLines w:val="0"/>
              <w:pageBreakBefore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r>
              <w:rPr>
                <w:rFonts w:hint="default" w:ascii="Times New Roman" w:hAnsi="Times New Roman" w:eastAsia="方正仿宋_GBK" w:cs="Times New Roman"/>
                <w:b/>
                <w:bCs/>
                <w:sz w:val="21"/>
                <w:szCs w:val="21"/>
                <w:highlight w:val="none"/>
                <w:vertAlign w:val="baseline"/>
                <w:lang w:val="en-US" w:eastAsia="zh-CN"/>
              </w:rPr>
              <w:t>行政处罚依据</w:t>
            </w:r>
          </w:p>
        </w:tc>
        <w:tc>
          <w:tcPr>
            <w:tcW w:w="7012" w:type="dxa"/>
            <w:gridSpan w:val="4"/>
            <w:vAlign w:val="center"/>
          </w:tcPr>
          <w:p w14:paraId="6C0B50EB">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r>
              <w:rPr>
                <w:rFonts w:hint="default" w:ascii="Times New Roman" w:hAnsi="Times New Roman" w:eastAsia="方正仿宋_GBK" w:cs="Times New Roman"/>
                <w:b/>
                <w:bCs/>
                <w:sz w:val="21"/>
                <w:szCs w:val="21"/>
                <w:highlight w:val="none"/>
                <w:vertAlign w:val="baseline"/>
                <w:lang w:val="en-US" w:eastAsia="zh-CN"/>
              </w:rPr>
              <w:t>裁量基准</w:t>
            </w:r>
          </w:p>
        </w:tc>
      </w:tr>
      <w:tr w14:paraId="074350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 w:hRule="atLeast"/>
          <w:tblHeader/>
          <w:jc w:val="center"/>
        </w:trPr>
        <w:tc>
          <w:tcPr>
            <w:tcW w:w="512" w:type="dxa"/>
            <w:vMerge w:val="continue"/>
            <w:vAlign w:val="center"/>
          </w:tcPr>
          <w:p w14:paraId="12FDDDA2">
            <w:pPr>
              <w:keepNext w:val="0"/>
              <w:keepLines w:val="0"/>
              <w:pageBreakBefore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p>
        </w:tc>
        <w:tc>
          <w:tcPr>
            <w:tcW w:w="1296" w:type="dxa"/>
            <w:vMerge w:val="continue"/>
            <w:vAlign w:val="center"/>
          </w:tcPr>
          <w:p w14:paraId="0CA4EF1F">
            <w:pPr>
              <w:keepNext w:val="0"/>
              <w:keepLines w:val="0"/>
              <w:pageBreakBefore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b/>
                <w:bCs/>
                <w:sz w:val="21"/>
                <w:szCs w:val="21"/>
                <w:highlight w:val="none"/>
                <w:vertAlign w:val="baseline"/>
                <w:lang w:val="en-US" w:eastAsia="zh-CN"/>
              </w:rPr>
            </w:pPr>
          </w:p>
        </w:tc>
        <w:tc>
          <w:tcPr>
            <w:tcW w:w="3244" w:type="dxa"/>
            <w:vAlign w:val="center"/>
          </w:tcPr>
          <w:p w14:paraId="3D97F090">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r>
              <w:rPr>
                <w:rFonts w:hint="eastAsia" w:ascii="Times New Roman" w:hAnsi="Times New Roman" w:eastAsia="方正仿宋_GBK" w:cs="Times New Roman"/>
                <w:b/>
                <w:bCs/>
                <w:sz w:val="21"/>
                <w:szCs w:val="21"/>
                <w:highlight w:val="none"/>
                <w:vertAlign w:val="baseline"/>
                <w:lang w:val="en-US" w:eastAsia="zh-CN"/>
              </w:rPr>
              <w:t>违法行为认定</w:t>
            </w:r>
          </w:p>
        </w:tc>
        <w:tc>
          <w:tcPr>
            <w:tcW w:w="3398" w:type="dxa"/>
            <w:vAlign w:val="center"/>
          </w:tcPr>
          <w:p w14:paraId="488E0BFC">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r>
              <w:rPr>
                <w:rFonts w:hint="eastAsia" w:ascii="Times New Roman" w:hAnsi="Times New Roman" w:eastAsia="方正仿宋_GBK" w:cs="Times New Roman"/>
                <w:b/>
                <w:bCs/>
                <w:sz w:val="21"/>
                <w:szCs w:val="21"/>
                <w:highlight w:val="none"/>
                <w:vertAlign w:val="baseline"/>
                <w:lang w:val="en-US" w:eastAsia="zh-CN"/>
              </w:rPr>
              <w:t>处罚依据</w:t>
            </w:r>
          </w:p>
        </w:tc>
        <w:tc>
          <w:tcPr>
            <w:tcW w:w="715" w:type="dxa"/>
            <w:vAlign w:val="center"/>
          </w:tcPr>
          <w:p w14:paraId="10F00ED6">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r>
              <w:rPr>
                <w:rFonts w:hint="default" w:ascii="Times New Roman" w:hAnsi="Times New Roman" w:eastAsia="方正仿宋_GBK" w:cs="Times New Roman"/>
                <w:b/>
                <w:bCs/>
                <w:sz w:val="21"/>
                <w:szCs w:val="21"/>
                <w:highlight w:val="none"/>
                <w:vertAlign w:val="baseline"/>
                <w:lang w:val="en-US" w:eastAsia="zh-CN"/>
              </w:rPr>
              <w:t>违法程度</w:t>
            </w:r>
          </w:p>
        </w:tc>
        <w:tc>
          <w:tcPr>
            <w:tcW w:w="3959" w:type="dxa"/>
            <w:vAlign w:val="center"/>
          </w:tcPr>
          <w:p w14:paraId="43FA60E8">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r>
              <w:rPr>
                <w:rFonts w:hint="default" w:ascii="Times New Roman" w:hAnsi="Times New Roman" w:eastAsia="方正仿宋_GBK" w:cs="Times New Roman"/>
                <w:b/>
                <w:bCs/>
                <w:sz w:val="21"/>
                <w:szCs w:val="21"/>
                <w:highlight w:val="none"/>
                <w:vertAlign w:val="baseline"/>
                <w:lang w:val="en-US" w:eastAsia="zh-CN"/>
              </w:rPr>
              <w:t>违法情形</w:t>
            </w:r>
          </w:p>
        </w:tc>
        <w:tc>
          <w:tcPr>
            <w:tcW w:w="653" w:type="dxa"/>
            <w:vAlign w:val="center"/>
          </w:tcPr>
          <w:p w14:paraId="0EA5BF31">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b/>
                <w:bCs/>
                <w:sz w:val="21"/>
                <w:szCs w:val="21"/>
                <w:highlight w:val="none"/>
                <w:vertAlign w:val="baseline"/>
                <w:lang w:val="en-US" w:eastAsia="zh-CN"/>
              </w:rPr>
            </w:pPr>
            <w:r>
              <w:rPr>
                <w:rFonts w:hint="default" w:ascii="Times New Roman" w:hAnsi="Times New Roman" w:eastAsia="方正仿宋_GBK" w:cs="Times New Roman"/>
                <w:b/>
                <w:bCs/>
                <w:sz w:val="21"/>
                <w:szCs w:val="21"/>
                <w:highlight w:val="none"/>
                <w:vertAlign w:val="baseline"/>
                <w:lang w:val="en-US" w:eastAsia="zh-CN"/>
              </w:rPr>
              <w:t>裁量阶次</w:t>
            </w:r>
          </w:p>
        </w:tc>
        <w:tc>
          <w:tcPr>
            <w:tcW w:w="1685" w:type="dxa"/>
            <w:shd w:val="clear" w:color="auto" w:fill="auto"/>
            <w:vAlign w:val="center"/>
          </w:tcPr>
          <w:p w14:paraId="1A76B8B8">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小标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b/>
                <w:bCs/>
                <w:i w:val="0"/>
                <w:iCs w:val="0"/>
                <w:kern w:val="2"/>
                <w:sz w:val="21"/>
                <w:szCs w:val="21"/>
                <w:highlight w:val="none"/>
                <w:u w:val="none"/>
                <w:lang w:val="en-US" w:eastAsia="zh-CN" w:bidi="ar"/>
              </w:rPr>
              <w:t>行政处罚标准</w:t>
            </w:r>
          </w:p>
        </w:tc>
      </w:tr>
      <w:tr w14:paraId="45E040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5" w:hRule="atLeast"/>
          <w:jc w:val="center"/>
        </w:trPr>
        <w:tc>
          <w:tcPr>
            <w:tcW w:w="512" w:type="dxa"/>
            <w:vMerge w:val="restart"/>
            <w:vAlign w:val="center"/>
          </w:tcPr>
          <w:p w14:paraId="2EDB53EA">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K" w:cs="Times New Roman"/>
                <w:sz w:val="21"/>
                <w:szCs w:val="21"/>
                <w:highlight w:val="none"/>
                <w:vertAlign w:val="baseline"/>
                <w:lang w:val="en-US" w:eastAsia="zh-CN"/>
              </w:rPr>
              <w:t>1</w:t>
            </w:r>
          </w:p>
        </w:tc>
        <w:tc>
          <w:tcPr>
            <w:tcW w:w="1296" w:type="dxa"/>
            <w:vMerge w:val="restart"/>
            <w:vAlign w:val="center"/>
          </w:tcPr>
          <w:p w14:paraId="60B23208">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r>
              <w:rPr>
                <w:rFonts w:hint="default" w:ascii="Times New Roman" w:hAnsi="Times New Roman" w:eastAsia="方正仿宋_GB2312" w:cs="Times New Roman"/>
                <w:i w:val="0"/>
                <w:iCs w:val="0"/>
                <w:caps w:val="0"/>
                <w:color w:val="000000"/>
                <w:spacing w:val="0"/>
                <w:sz w:val="21"/>
                <w:szCs w:val="21"/>
                <w:highlight w:val="none"/>
                <w:shd w:val="clear" w:fill="FFFFFF"/>
              </w:rPr>
              <w:t>对生产单位超过单位产品能耗限额标准用能的处罚</w:t>
            </w:r>
          </w:p>
        </w:tc>
        <w:tc>
          <w:tcPr>
            <w:tcW w:w="3244" w:type="dxa"/>
            <w:vMerge w:val="restart"/>
            <w:vAlign w:val="center"/>
          </w:tcPr>
          <w:p w14:paraId="270B0BFF">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r>
              <w:rPr>
                <w:rFonts w:hint="default" w:ascii="Times New Roman" w:hAnsi="Times New Roman" w:eastAsia="方正仿宋_GB2312" w:cs="Times New Roman"/>
                <w:i w:val="0"/>
                <w:iCs w:val="0"/>
                <w:caps w:val="0"/>
                <w:color w:val="000000"/>
                <w:spacing w:val="0"/>
                <w:sz w:val="21"/>
                <w:szCs w:val="21"/>
                <w:highlight w:val="none"/>
                <w:shd w:val="clear" w:fill="FFFFFF"/>
              </w:rPr>
              <w:br w:type="textWrapping"/>
            </w:r>
            <w:r>
              <w:rPr>
                <w:rFonts w:hint="default" w:ascii="Times New Roman" w:hAnsi="Times New Roman" w:eastAsia="方正仿宋_GB2312" w:cs="Times New Roman"/>
                <w:b/>
                <w:bCs/>
                <w:i w:val="0"/>
                <w:iCs w:val="0"/>
                <w:caps w:val="0"/>
                <w:color w:val="000000"/>
                <w:spacing w:val="0"/>
                <w:sz w:val="21"/>
                <w:szCs w:val="21"/>
                <w:highlight w:val="none"/>
                <w:shd w:val="clear" w:fill="FFFFFF"/>
              </w:rPr>
              <w:t>第十六条第二款</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生产过程中耗能高的产品的生产单位，应当执行单位产品能耗限额标准。对超过单位产品能耗限额标准用能的生产单位，由管理节能工作的部门按照国务院规定的权限责令限期治理。</w:t>
            </w:r>
          </w:p>
          <w:p w14:paraId="69B92AE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【部门规章】《重点用能单位节能管理办法》</w:t>
            </w:r>
          </w:p>
          <w:p w14:paraId="6BBA7B01">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w:t>
            </w: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 xml:space="preserve">十七条第一款 </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重点用能单位应当执行单位产品能耗限额强制性国家标准和能源效率强制性国家标准。鼓励重点用能单位制定严于国家标准、行业标准、地方标准的企业节能标准。</w:t>
            </w: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 xml:space="preserve"> </w:t>
            </w:r>
          </w:p>
          <w:p w14:paraId="049FC843">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【部门规章】《</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工业</w:t>
            </w:r>
            <w:r>
              <w:rPr>
                <w:rFonts w:hint="default" w:ascii="Times New Roman" w:hAnsi="Times New Roman" w:eastAsia="方正仿宋_GB2312" w:cs="Times New Roman"/>
                <w:i w:val="0"/>
                <w:iCs w:val="0"/>
                <w:caps w:val="0"/>
                <w:color w:val="000000"/>
                <w:spacing w:val="0"/>
                <w:sz w:val="21"/>
                <w:szCs w:val="21"/>
                <w:highlight w:val="none"/>
                <w:shd w:val="clear" w:fill="FFFFFF"/>
              </w:rPr>
              <w:t>节能</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管理</w:t>
            </w:r>
            <w:r>
              <w:rPr>
                <w:rFonts w:hint="default" w:ascii="Times New Roman" w:hAnsi="Times New Roman" w:eastAsia="方正仿宋_GB2312" w:cs="Times New Roman"/>
                <w:i w:val="0"/>
                <w:iCs w:val="0"/>
                <w:caps w:val="0"/>
                <w:color w:val="000000"/>
                <w:spacing w:val="0"/>
                <w:sz w:val="21"/>
                <w:szCs w:val="21"/>
                <w:highlight w:val="none"/>
                <w:shd w:val="clear" w:fill="FFFFFF"/>
              </w:rPr>
              <w:t>办法》</w:t>
            </w:r>
          </w:p>
          <w:p w14:paraId="24A105ED">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w:t>
            </w: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二十六</w:t>
            </w:r>
            <w:r>
              <w:rPr>
                <w:rFonts w:hint="default" w:ascii="Times New Roman" w:hAnsi="Times New Roman" w:eastAsia="方正仿宋_GB2312" w:cs="Times New Roman"/>
                <w:b/>
                <w:bCs/>
                <w:i w:val="0"/>
                <w:iCs w:val="0"/>
                <w:caps w:val="0"/>
                <w:color w:val="000000"/>
                <w:spacing w:val="0"/>
                <w:sz w:val="21"/>
                <w:szCs w:val="21"/>
                <w:highlight w:val="none"/>
                <w:shd w:val="clear" w:fill="FFFFFF"/>
              </w:rPr>
              <w:t>条</w:t>
            </w: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t>工业企业应当严格执行国家用能设备（产品）能效标准及单位产品能耗限额标准等强制性标准，禁止购买、使用和生产国家明令淘汰的用能设备（产品），不得将国家明令淘汰的用能工艺、设备（产品）转让或者租借他人使用。</w:t>
            </w:r>
          </w:p>
          <w:p w14:paraId="212B3D90">
            <w:pPr>
              <w:keepNext w:val="0"/>
              <w:keepLines w:val="0"/>
              <w:pageBreakBefore w:val="0"/>
              <w:numPr>
                <w:ilvl w:val="0"/>
                <w:numId w:val="0"/>
              </w:numPr>
              <w:kinsoku/>
              <w:wordWrap/>
              <w:overflowPunct/>
              <w:topLinePunct w:val="0"/>
              <w:autoSpaceDE/>
              <w:autoSpaceDN/>
              <w:bidi w:val="0"/>
              <w:adjustRightInd/>
              <w:snapToGrid/>
              <w:spacing w:beforeLines="0" w:afterLines="0" w:line="370" w:lineRule="exact"/>
              <w:ind w:leftChars="0"/>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地方性法规</w:t>
            </w:r>
            <w:r>
              <w:rPr>
                <w:rFonts w:hint="default" w:ascii="Times New Roman" w:hAnsi="Times New Roman" w:eastAsia="方正仿宋_GB2312" w:cs="Times New Roman"/>
                <w:i w:val="0"/>
                <w:iCs w:val="0"/>
                <w:caps w:val="0"/>
                <w:color w:val="000000"/>
                <w:spacing w:val="0"/>
                <w:sz w:val="21"/>
                <w:szCs w:val="21"/>
                <w:highlight w:val="none"/>
                <w:shd w:val="clear" w:fill="FFFFFF"/>
              </w:rPr>
              <w:t>】《江苏省节约能源条例》</w:t>
            </w:r>
          </w:p>
          <w:p w14:paraId="4E3328D7">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第三十六条</w:t>
            </w:r>
            <w:r>
              <w:rPr>
                <w:rFonts w:hint="default" w:ascii="Times New Roman" w:hAnsi="Times New Roman" w:eastAsia="方正仿宋_GB2312" w:cs="Times New Roman"/>
                <w:i w:val="0"/>
                <w:iCs w:val="0"/>
                <w:caps w:val="0"/>
                <w:color w:val="000000"/>
                <w:spacing w:val="0"/>
                <w:sz w:val="21"/>
                <w:szCs w:val="21"/>
                <w:highlight w:val="none"/>
                <w:shd w:val="clear" w:fill="FFFFFF"/>
              </w:rPr>
              <w:t xml:space="preserve"> 生产能耗较高产品的单位应当遵守国家和省制定的单位产品能耗限额。重点用能单位应当根据能耗定额指标，完善能耗定额管理制度，加强内部考核和能源消耗成本管理。</w:t>
            </w:r>
          </w:p>
          <w:p w14:paraId="390E8A9A">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第三十九条</w:t>
            </w:r>
            <w:r>
              <w:rPr>
                <w:rFonts w:hint="default" w:ascii="Times New Roman" w:hAnsi="Times New Roman" w:eastAsia="方正仿宋_GB2312" w:cs="Times New Roman"/>
                <w:i w:val="0"/>
                <w:iCs w:val="0"/>
                <w:caps w:val="0"/>
                <w:color w:val="000000"/>
                <w:spacing w:val="0"/>
                <w:sz w:val="21"/>
                <w:szCs w:val="21"/>
                <w:highlight w:val="none"/>
                <w:shd w:val="clear" w:fill="FFFFFF"/>
              </w:rPr>
              <w:t xml:space="preserve"> 用能单位和个人应当依法履行节能义务，不得有下列行为：</w:t>
            </w:r>
            <w:r>
              <w:rPr>
                <w:rFonts w:hint="eastAsia" w:ascii="Times New Roman" w:hAnsi="Times New Roman" w:eastAsia="方正仿宋_GB2312" w:cs="Times New Roman"/>
                <w:i w:val="0"/>
                <w:iCs w:val="0"/>
                <w:caps w:val="0"/>
                <w:color w:val="000000"/>
                <w:spacing w:val="0"/>
                <w:sz w:val="21"/>
                <w:szCs w:val="21"/>
                <w:highlight w:val="none"/>
                <w:shd w:val="clear" w:fill="FFFFFF"/>
                <w:lang w:eastAsia="zh-CN"/>
              </w:rPr>
              <w:t>（</w:t>
            </w:r>
            <w:r>
              <w:rPr>
                <w:rFonts w:hint="eastAsia" w:ascii="Times New Roman" w:hAnsi="Times New Roman" w:eastAsia="方正仿宋_GB2312" w:cs="Times New Roman"/>
                <w:i w:val="0"/>
                <w:iCs w:val="0"/>
                <w:caps w:val="0"/>
                <w:color w:val="000000"/>
                <w:spacing w:val="0"/>
                <w:sz w:val="21"/>
                <w:szCs w:val="21"/>
                <w:highlight w:val="none"/>
                <w:shd w:val="clear" w:fill="FFFFFF"/>
                <w:lang w:val="en-US" w:eastAsia="zh-CN"/>
              </w:rPr>
              <w:t>三</w:t>
            </w:r>
            <w:r>
              <w:rPr>
                <w:rFonts w:hint="eastAsia" w:ascii="Times New Roman" w:hAnsi="Times New Roman" w:eastAsia="方正仿宋_GB2312" w:cs="Times New Roman"/>
                <w:i w:val="0"/>
                <w:iCs w:val="0"/>
                <w:caps w:val="0"/>
                <w:color w:val="000000"/>
                <w:spacing w:val="0"/>
                <w:sz w:val="21"/>
                <w:szCs w:val="21"/>
                <w:highlight w:val="none"/>
                <w:shd w:val="clear" w:fill="FFFFFF"/>
                <w:lang w:eastAsia="zh-CN"/>
              </w:rPr>
              <w:t>）</w:t>
            </w:r>
            <w:r>
              <w:rPr>
                <w:rFonts w:hint="default" w:ascii="Times New Roman" w:hAnsi="Times New Roman" w:eastAsia="方正仿宋_GB2312" w:cs="Times New Roman"/>
                <w:i w:val="0"/>
                <w:iCs w:val="0"/>
                <w:caps w:val="0"/>
                <w:color w:val="000000"/>
                <w:spacing w:val="0"/>
                <w:sz w:val="21"/>
                <w:szCs w:val="21"/>
                <w:highlight w:val="none"/>
                <w:shd w:val="clear" w:fill="FFFFFF"/>
              </w:rPr>
              <w:t>超过单位产品能耗限额用能</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w:t>
            </w:r>
          </w:p>
        </w:tc>
        <w:tc>
          <w:tcPr>
            <w:tcW w:w="3398" w:type="dxa"/>
            <w:vMerge w:val="restart"/>
            <w:vAlign w:val="center"/>
          </w:tcPr>
          <w:p w14:paraId="65B9BBFF">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r>
              <w:rPr>
                <w:rFonts w:hint="default" w:ascii="Times New Roman" w:hAnsi="Times New Roman" w:eastAsia="方正仿宋_GB2312" w:cs="Times New Roman"/>
                <w:i w:val="0"/>
                <w:iCs w:val="0"/>
                <w:caps w:val="0"/>
                <w:color w:val="000000"/>
                <w:spacing w:val="0"/>
                <w:sz w:val="21"/>
                <w:szCs w:val="21"/>
                <w:highlight w:val="none"/>
                <w:shd w:val="clear" w:fill="FFFFFF"/>
              </w:rPr>
              <w:br w:type="textWrapping"/>
            </w:r>
            <w:r>
              <w:rPr>
                <w:rFonts w:hint="default" w:ascii="Times New Roman" w:hAnsi="Times New Roman" w:eastAsia="方正仿宋_GB2312" w:cs="Times New Roman"/>
                <w:b/>
                <w:bCs/>
                <w:i w:val="0"/>
                <w:iCs w:val="0"/>
                <w:caps w:val="0"/>
                <w:color w:val="000000"/>
                <w:spacing w:val="0"/>
                <w:sz w:val="21"/>
                <w:szCs w:val="21"/>
                <w:highlight w:val="none"/>
                <w:shd w:val="clear" w:fill="FFFFFF"/>
              </w:rPr>
              <w:t>第七十二条</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生产单位超过单位产品能耗限额标准用能，情节严重，经限期治理逾期不治理或者没有达到治理要求的，可以由管理节能工作的部门提出意见，报请本级人民政府按照国务院规定的权限责令停业整顿或者关闭。</w:t>
            </w:r>
          </w:p>
          <w:p w14:paraId="2A645DC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【部门规章】《重点用能单位节能管理办法》</w:t>
            </w:r>
          </w:p>
          <w:p w14:paraId="7249E00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pP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 xml:space="preserve">第二十六条 </w:t>
            </w:r>
            <w:r>
              <w:rPr>
                <w:rFonts w:hint="default"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t>对节能管理制度不健全、节能措施不</w:t>
            </w:r>
            <w:r>
              <w:rPr>
                <w:rFonts w:hint="eastAsia"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t>落</w:t>
            </w:r>
            <w:r>
              <w:rPr>
                <w:rFonts w:hint="default"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t>实、能源利用效率低的重点用能单位，管理节能工作的部门应当开展现场调查，组织实施用能设备能源效率检测，责令实施能源审计，并提出书面整改要求，限期整</w:t>
            </w:r>
            <w:r>
              <w:rPr>
                <w:rFonts w:hint="default" w:ascii="Times New Roman" w:hAnsi="Times New Roman" w:eastAsia="方正仿宋_GB2312" w:cs="Times New Roman"/>
                <w:b w:val="0"/>
                <w:bCs w:val="0"/>
                <w:i w:val="0"/>
                <w:iCs w:val="0"/>
                <w:caps w:val="0"/>
                <w:color w:val="000000" w:themeColor="text1"/>
                <w:spacing w:val="0"/>
                <w:sz w:val="21"/>
                <w:szCs w:val="21"/>
                <w:highlight w:val="none"/>
                <w:shd w:val="clear" w:fill="FFFFFF"/>
                <w:lang w:val="en-US" w:eastAsia="zh-CN"/>
                <w14:textFill>
                  <w14:solidFill>
                    <w14:schemeClr w14:val="tx1"/>
                  </w14:solidFill>
                </w14:textFill>
              </w:rPr>
              <w:t>改。重点用能单位无正当理由拒不落实整改要求或者整改没有达到要求的，由管理节能工作的部门处十万元以上三十万元以下罚款。</w:t>
            </w:r>
          </w:p>
          <w:p w14:paraId="7998CD0B">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第三十二条</w:t>
            </w: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重点用能单位超过单位产品能耗限额标准用能，限期治理，逾期不治理或者没有达到治理要求的，由管理节能工作的部门提请执行惩罚性电价。</w:t>
            </w:r>
          </w:p>
          <w:p w14:paraId="2934CD64">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【部门规章】《</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工业</w:t>
            </w:r>
            <w:r>
              <w:rPr>
                <w:rFonts w:hint="default" w:ascii="Times New Roman" w:hAnsi="Times New Roman" w:eastAsia="方正仿宋_GB2312" w:cs="Times New Roman"/>
                <w:i w:val="0"/>
                <w:iCs w:val="0"/>
                <w:caps w:val="0"/>
                <w:color w:val="000000"/>
                <w:spacing w:val="0"/>
                <w:sz w:val="21"/>
                <w:szCs w:val="21"/>
                <w:highlight w:val="none"/>
                <w:shd w:val="clear" w:fill="FFFFFF"/>
              </w:rPr>
              <w:t>节能</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管理</w:t>
            </w:r>
            <w:r>
              <w:rPr>
                <w:rFonts w:hint="default" w:ascii="Times New Roman" w:hAnsi="Times New Roman" w:eastAsia="方正仿宋_GB2312" w:cs="Times New Roman"/>
                <w:i w:val="0"/>
                <w:iCs w:val="0"/>
                <w:caps w:val="0"/>
                <w:color w:val="000000"/>
                <w:spacing w:val="0"/>
                <w:sz w:val="21"/>
                <w:szCs w:val="21"/>
                <w:highlight w:val="none"/>
                <w:shd w:val="clear" w:fill="FFFFFF"/>
              </w:rPr>
              <w:t>办法》</w:t>
            </w:r>
          </w:p>
          <w:p w14:paraId="5D900574">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pP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 xml:space="preserve">第三十九条第一款 </w:t>
            </w:r>
            <w:r>
              <w:rPr>
                <w:rFonts w:hint="default"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t>各级工业和信息化主管部门和相关部门依据职权，对有下列情形之一的工业企业，依照《中华人民共和国节约能源法》等法律法规予以责令限期改正、责令停用相关设备、警告、罚款等，并向社会公开：</w:t>
            </w:r>
          </w:p>
          <w:p w14:paraId="387787E9">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pPr>
            <w:r>
              <w:rPr>
                <w:rFonts w:hint="default" w:ascii="Times New Roman" w:hAnsi="Times New Roman" w:eastAsia="方正仿宋_GB2312" w:cs="Times New Roman"/>
                <w:b w:val="0"/>
                <w:bCs w:val="0"/>
                <w:i w:val="0"/>
                <w:iCs w:val="0"/>
                <w:caps w:val="0"/>
                <w:color w:val="000000"/>
                <w:spacing w:val="0"/>
                <w:sz w:val="21"/>
                <w:szCs w:val="21"/>
                <w:highlight w:val="none"/>
                <w:shd w:val="clear" w:fill="FFFFFF"/>
                <w:lang w:val="en-US" w:eastAsia="zh-CN"/>
              </w:rPr>
              <w:t>（一）用能不符合强制性能耗限额和能效标准的。</w:t>
            </w:r>
          </w:p>
          <w:p w14:paraId="57590BA8">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b/>
                <w:bCs/>
                <w:i w:val="0"/>
                <w:iCs w:val="0"/>
                <w:caps w:val="0"/>
                <w:color w:val="000000"/>
                <w:spacing w:val="0"/>
                <w:sz w:val="21"/>
                <w:szCs w:val="21"/>
                <w:highlight w:val="none"/>
                <w:shd w:val="clear" w:fill="FFFFFF"/>
              </w:rPr>
            </w:pPr>
          </w:p>
        </w:tc>
        <w:tc>
          <w:tcPr>
            <w:tcW w:w="715" w:type="dxa"/>
            <w:vMerge w:val="restart"/>
            <w:vAlign w:val="center"/>
          </w:tcPr>
          <w:p w14:paraId="774F28E0">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轻微</w:t>
            </w:r>
          </w:p>
        </w:tc>
        <w:tc>
          <w:tcPr>
            <w:tcW w:w="3959" w:type="dxa"/>
            <w:vAlign w:val="center"/>
          </w:tcPr>
          <w:p w14:paraId="2729428D">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spacing w:val="-2"/>
                <w:w w:val="105"/>
                <w:sz w:val="21"/>
                <w:szCs w:val="21"/>
                <w:highlight w:val="none"/>
              </w:rPr>
            </w:pP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生产</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单位超过单位产品能耗限额标准</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用能</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内完成整改的。</w:t>
            </w:r>
          </w:p>
        </w:tc>
        <w:tc>
          <w:tcPr>
            <w:tcW w:w="653" w:type="dxa"/>
            <w:vMerge w:val="restart"/>
            <w:vAlign w:val="center"/>
          </w:tcPr>
          <w:p w14:paraId="172B5E96">
            <w:pPr>
              <w:pStyle w:val="7"/>
              <w:keepNext w:val="0"/>
              <w:keepLines w:val="0"/>
              <w:pageBreakBefore w:val="0"/>
              <w:numPr>
                <w:ilvl w:val="-1"/>
                <w:numId w:val="0"/>
              </w:numPr>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K" w:cs="Times New Roman"/>
                <w:sz w:val="21"/>
                <w:szCs w:val="21"/>
                <w:highlight w:val="none"/>
                <w:vertAlign w:val="baseline"/>
                <w:lang w:val="en-US" w:eastAsia="zh-CN"/>
              </w:rPr>
              <w:t>从轻</w:t>
            </w:r>
          </w:p>
        </w:tc>
        <w:tc>
          <w:tcPr>
            <w:tcW w:w="1685" w:type="dxa"/>
            <w:vAlign w:val="center"/>
          </w:tcPr>
          <w:p w14:paraId="2E92B21E">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i w:val="0"/>
                <w:iCs w:val="0"/>
                <w:color w:val="000000"/>
                <w:kern w:val="0"/>
                <w:sz w:val="21"/>
                <w:szCs w:val="21"/>
                <w:u w:val="none"/>
                <w:lang w:val="en-US" w:eastAsia="zh-CN" w:bidi="ar"/>
              </w:rPr>
              <w:t>免予行政</w:t>
            </w:r>
            <w:r>
              <w:rPr>
                <w:rFonts w:hint="default" w:ascii="Times New Roman" w:hAnsi="Times New Roman" w:eastAsia="方正仿宋_GBK" w:cs="Times New Roman"/>
                <w:i w:val="0"/>
                <w:iCs w:val="0"/>
                <w:color w:val="000000"/>
                <w:kern w:val="0"/>
                <w:sz w:val="21"/>
                <w:szCs w:val="21"/>
                <w:u w:val="none"/>
                <w:lang w:val="en-US" w:eastAsia="zh-CN" w:bidi="ar"/>
              </w:rPr>
              <w:t>处罚</w:t>
            </w:r>
          </w:p>
        </w:tc>
      </w:tr>
      <w:tr w14:paraId="6D19B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2" w:hRule="atLeast"/>
          <w:jc w:val="center"/>
        </w:trPr>
        <w:tc>
          <w:tcPr>
            <w:tcW w:w="512" w:type="dxa"/>
            <w:vMerge w:val="continue"/>
            <w:vAlign w:val="center"/>
          </w:tcPr>
          <w:p w14:paraId="7B902004">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6EC95D80">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6ABDA334">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684212CD">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Merge w:val="continue"/>
            <w:vAlign w:val="center"/>
          </w:tcPr>
          <w:p w14:paraId="191E3C0F">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vAlign w:val="center"/>
          </w:tcPr>
          <w:p w14:paraId="3A0C02B4">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生产</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单位超过单位产品能耗限额标准</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用能</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超限</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10%以内，责令限期整改期届满</w:t>
            </w:r>
            <w:r>
              <w:rPr>
                <w:rFonts w:hint="default" w:ascii="Times New Roman" w:hAnsi="Times New Roman" w:eastAsia="方正仿宋_GB2312" w:cs="Times New Roman"/>
                <w:i w:val="0"/>
                <w:iCs w:val="0"/>
                <w:caps w:val="0"/>
                <w:color w:val="000000"/>
                <w:spacing w:val="0"/>
                <w:sz w:val="21"/>
                <w:szCs w:val="21"/>
                <w:highlight w:val="none"/>
                <w:shd w:val="clear" w:fill="FFFFFF"/>
              </w:rPr>
              <w:t>不治理或者没有达到治理要求的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w:t>
            </w:r>
          </w:p>
        </w:tc>
        <w:tc>
          <w:tcPr>
            <w:tcW w:w="653" w:type="dxa"/>
            <w:vMerge w:val="continue"/>
            <w:vAlign w:val="center"/>
          </w:tcPr>
          <w:p w14:paraId="2C24DF35">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Chars="0" w:right="0" w:rightChars="0"/>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685" w:type="dxa"/>
            <w:vAlign w:val="center"/>
          </w:tcPr>
          <w:p w14:paraId="50551C3B">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spacing w:val="-2"/>
                <w:w w:val="105"/>
                <w:sz w:val="21"/>
                <w:szCs w:val="21"/>
                <w:highlight w:val="none"/>
                <w:lang w:val="en-US" w:eastAsia="zh-CN"/>
              </w:rPr>
            </w:pPr>
            <w:r>
              <w:rPr>
                <w:rFonts w:hint="default" w:ascii="Times New Roman" w:hAnsi="Times New Roman" w:eastAsia="方正仿宋_GBK" w:cs="Times New Roman"/>
                <w:i w:val="0"/>
                <w:iCs w:val="0"/>
                <w:color w:val="000000"/>
                <w:kern w:val="0"/>
                <w:sz w:val="21"/>
                <w:szCs w:val="21"/>
                <w:u w:val="none"/>
                <w:lang w:val="en-US" w:eastAsia="zh-CN" w:bidi="ar"/>
              </w:rPr>
              <w:t>警</w:t>
            </w:r>
            <w:r>
              <w:rPr>
                <w:rFonts w:hint="eastAsia" w:ascii="Times New Roman" w:hAnsi="Times New Roman" w:eastAsia="方正仿宋_GBK" w:cs="Times New Roman"/>
                <w:i w:val="0"/>
                <w:iCs w:val="0"/>
                <w:color w:val="000000"/>
                <w:kern w:val="0"/>
                <w:sz w:val="21"/>
                <w:szCs w:val="21"/>
                <w:u w:val="none"/>
                <w:lang w:val="en-US" w:eastAsia="zh-CN" w:bidi="ar"/>
              </w:rPr>
              <w:t xml:space="preserve">  </w:t>
            </w:r>
            <w:r>
              <w:rPr>
                <w:rFonts w:hint="default" w:ascii="Times New Roman" w:hAnsi="Times New Roman" w:eastAsia="方正仿宋_GBK" w:cs="Times New Roman"/>
                <w:i w:val="0"/>
                <w:iCs w:val="0"/>
                <w:color w:val="000000"/>
                <w:kern w:val="0"/>
                <w:sz w:val="21"/>
                <w:szCs w:val="21"/>
                <w:u w:val="none"/>
                <w:lang w:val="en-US" w:eastAsia="zh-CN" w:bidi="ar"/>
              </w:rPr>
              <w:t>告</w:t>
            </w:r>
          </w:p>
        </w:tc>
      </w:tr>
      <w:tr w14:paraId="723B6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vAlign w:val="center"/>
          </w:tcPr>
          <w:p w14:paraId="534D1E71">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189CF452">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2E12CD53">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1D1E9DBF">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Merge w:val="restart"/>
            <w:vAlign w:val="center"/>
          </w:tcPr>
          <w:p w14:paraId="36B30F4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pacing w:val="-4"/>
                <w:sz w:val="21"/>
                <w:szCs w:val="21"/>
                <w:highlight w:val="none"/>
                <w:lang w:val="en-US" w:eastAsia="zh-CN"/>
              </w:rPr>
            </w:pPr>
          </w:p>
          <w:p w14:paraId="7ED19F8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K" w:cs="Times New Roman"/>
                <w:spacing w:val="-4"/>
                <w:sz w:val="21"/>
                <w:szCs w:val="21"/>
                <w:highlight w:val="none"/>
                <w:lang w:val="en-US" w:eastAsia="zh-CN"/>
              </w:rPr>
              <w:t>一般</w:t>
            </w:r>
          </w:p>
        </w:tc>
        <w:tc>
          <w:tcPr>
            <w:tcW w:w="3959" w:type="dxa"/>
            <w:vAlign w:val="center"/>
          </w:tcPr>
          <w:p w14:paraId="0015829A">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sz w:val="21"/>
                <w:szCs w:val="21"/>
                <w:highlight w:val="none"/>
                <w:vertAlign w:val="baseline"/>
              </w:rPr>
            </w:pPr>
            <w:r>
              <w:rPr>
                <w:rFonts w:hint="eastAsia" w:ascii="Times New Roman" w:hAnsi="Times New Roman" w:eastAsia="方正仿宋_GBK" w:cs="Times New Roman"/>
                <w:i w:val="0"/>
                <w:iCs w:val="0"/>
                <w:color w:val="000000"/>
                <w:kern w:val="0"/>
                <w:sz w:val="21"/>
                <w:szCs w:val="21"/>
                <w:u w:val="none"/>
                <w:lang w:val="en-US" w:eastAsia="zh-CN" w:bidi="ar"/>
              </w:rPr>
              <w:t>重点用能单位</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超过单位产品能耗限额标准</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用能，超限</w:t>
            </w:r>
            <w:r>
              <w:rPr>
                <w:rFonts w:hint="default" w:ascii="Times New Roman" w:hAnsi="Times New Roman" w:eastAsia="方正仿宋_GBK" w:cs="Times New Roman"/>
                <w:i w:val="0"/>
                <w:iCs w:val="0"/>
                <w:color w:val="000000"/>
                <w:kern w:val="0"/>
                <w:sz w:val="21"/>
                <w:szCs w:val="21"/>
                <w:u w:val="none"/>
                <w:lang w:val="en-US" w:eastAsia="zh-CN" w:bidi="ar"/>
              </w:rPr>
              <w:t>1</w:t>
            </w:r>
            <w:r>
              <w:rPr>
                <w:rFonts w:hint="eastAsia" w:ascii="Times New Roman" w:hAnsi="Times New Roman" w:eastAsia="方正仿宋_GBK" w:cs="Times New Roman"/>
                <w:i w:val="0"/>
                <w:iCs w:val="0"/>
                <w:color w:val="000000"/>
                <w:kern w:val="0"/>
                <w:sz w:val="21"/>
                <w:szCs w:val="21"/>
                <w:u w:val="none"/>
                <w:lang w:val="en-US" w:eastAsia="zh-CN" w:bidi="ar"/>
              </w:rPr>
              <w:t>0%以上且50%以内的</w:t>
            </w:r>
            <w:r>
              <w:rPr>
                <w:rFonts w:hint="default"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责令限期整改期届满</w:t>
            </w:r>
            <w:r>
              <w:rPr>
                <w:rFonts w:hint="default" w:ascii="Times New Roman" w:hAnsi="Times New Roman" w:eastAsia="方正仿宋_GB2312" w:cs="Times New Roman"/>
                <w:i w:val="0"/>
                <w:iCs w:val="0"/>
                <w:caps w:val="0"/>
                <w:color w:val="000000"/>
                <w:spacing w:val="0"/>
                <w:sz w:val="21"/>
                <w:szCs w:val="21"/>
                <w:highlight w:val="none"/>
                <w:shd w:val="clear" w:fill="FFFFFF"/>
              </w:rPr>
              <w:t>不治理或者没有达到治理要求的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restart"/>
            <w:vAlign w:val="center"/>
          </w:tcPr>
          <w:p w14:paraId="0275E6FB">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pacing w:val="-4"/>
                <w:sz w:val="21"/>
                <w:szCs w:val="21"/>
                <w:highlight w:val="none"/>
                <w:lang w:val="en-US" w:eastAsia="zh-CN"/>
              </w:rPr>
            </w:pPr>
          </w:p>
          <w:p w14:paraId="23639325">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pacing w:val="-4"/>
                <w:sz w:val="21"/>
                <w:szCs w:val="21"/>
                <w:highlight w:val="none"/>
                <w:lang w:val="en-US" w:eastAsia="zh-CN"/>
              </w:rPr>
            </w:pPr>
            <w:r>
              <w:rPr>
                <w:rFonts w:hint="default" w:ascii="Times New Roman" w:hAnsi="Times New Roman" w:eastAsia="方正仿宋_GBK" w:cs="Times New Roman"/>
                <w:spacing w:val="-4"/>
                <w:sz w:val="21"/>
                <w:szCs w:val="21"/>
                <w:highlight w:val="none"/>
                <w:lang w:val="en-US" w:eastAsia="zh-CN"/>
              </w:rPr>
              <w:t>一般</w:t>
            </w:r>
          </w:p>
        </w:tc>
        <w:tc>
          <w:tcPr>
            <w:tcW w:w="1685" w:type="dxa"/>
            <w:vAlign w:val="center"/>
          </w:tcPr>
          <w:p w14:paraId="7E238152">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sz w:val="21"/>
                <w:szCs w:val="21"/>
                <w:highlight w:val="none"/>
                <w:vertAlign w:val="baseline"/>
              </w:rPr>
            </w:pPr>
            <w:r>
              <w:rPr>
                <w:rFonts w:hint="default" w:ascii="Times New Roman" w:hAnsi="Times New Roman" w:eastAsia="方正仿宋_GBK" w:cs="Times New Roman"/>
                <w:i w:val="0"/>
                <w:iCs w:val="0"/>
                <w:color w:val="000000"/>
                <w:kern w:val="0"/>
                <w:sz w:val="21"/>
                <w:szCs w:val="21"/>
                <w:u w:val="none"/>
                <w:lang w:val="en-US" w:eastAsia="zh-CN" w:bidi="ar"/>
              </w:rPr>
              <w:t>处十万元</w:t>
            </w:r>
            <w:r>
              <w:rPr>
                <w:rFonts w:hint="eastAsia" w:ascii="Times New Roman" w:hAnsi="Times New Roman" w:eastAsia="方正仿宋_GBK" w:cs="Times New Roman"/>
                <w:i w:val="0"/>
                <w:iCs w:val="0"/>
                <w:color w:val="000000"/>
                <w:kern w:val="0"/>
                <w:sz w:val="21"/>
                <w:szCs w:val="21"/>
                <w:u w:val="none"/>
                <w:lang w:val="en-US" w:eastAsia="zh-CN" w:bidi="ar"/>
              </w:rPr>
              <w:t>及以上十五万元以下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66AD5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5" w:hRule="atLeast"/>
          <w:jc w:val="center"/>
        </w:trPr>
        <w:tc>
          <w:tcPr>
            <w:tcW w:w="512" w:type="dxa"/>
            <w:vMerge w:val="continue"/>
            <w:vAlign w:val="center"/>
          </w:tcPr>
          <w:p w14:paraId="02E05E95">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7D112109">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63D83EA8">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4FAE45CD">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Merge w:val="continue"/>
            <w:vAlign w:val="center"/>
          </w:tcPr>
          <w:p w14:paraId="293D3A35">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vAlign w:val="center"/>
          </w:tcPr>
          <w:p w14:paraId="25C3DCB8">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sz w:val="21"/>
                <w:szCs w:val="21"/>
                <w:highlight w:val="none"/>
              </w:rPr>
            </w:pPr>
            <w:r>
              <w:rPr>
                <w:rFonts w:hint="eastAsia" w:ascii="Times New Roman" w:hAnsi="Times New Roman" w:eastAsia="方正仿宋_GBK" w:cs="Times New Roman"/>
                <w:i w:val="0"/>
                <w:iCs w:val="0"/>
                <w:color w:val="000000"/>
                <w:kern w:val="0"/>
                <w:sz w:val="21"/>
                <w:szCs w:val="21"/>
                <w:u w:val="none"/>
                <w:lang w:val="en-US" w:eastAsia="zh-CN" w:bidi="ar"/>
              </w:rPr>
              <w:t>重点用能单位</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超过单位产品能耗限额标准</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用能，超限</w:t>
            </w:r>
            <w:r>
              <w:rPr>
                <w:rFonts w:hint="default" w:ascii="Times New Roman" w:hAnsi="Times New Roman" w:eastAsia="方正仿宋_GBK" w:cs="Times New Roman"/>
                <w:i w:val="0"/>
                <w:iCs w:val="0"/>
                <w:color w:val="000000"/>
                <w:kern w:val="0"/>
                <w:sz w:val="21"/>
                <w:szCs w:val="21"/>
                <w:u w:val="none"/>
                <w:lang w:val="en-US" w:eastAsia="zh-CN" w:bidi="ar"/>
              </w:rPr>
              <w:t>50%以上</w:t>
            </w:r>
            <w:r>
              <w:rPr>
                <w:rFonts w:hint="eastAsia" w:ascii="Times New Roman" w:hAnsi="Times New Roman" w:eastAsia="方正仿宋_GBK" w:cs="Times New Roman"/>
                <w:i w:val="0"/>
                <w:iCs w:val="0"/>
                <w:color w:val="000000"/>
                <w:kern w:val="0"/>
                <w:sz w:val="21"/>
                <w:szCs w:val="21"/>
                <w:u w:val="none"/>
                <w:lang w:val="en-US" w:eastAsia="zh-CN" w:bidi="ar"/>
              </w:rPr>
              <w:t>且1倍以内的</w:t>
            </w:r>
            <w:r>
              <w:rPr>
                <w:rFonts w:hint="default"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责令限期整改期届满</w:t>
            </w:r>
            <w:r>
              <w:rPr>
                <w:rFonts w:hint="default" w:ascii="Times New Roman" w:hAnsi="Times New Roman" w:eastAsia="方正仿宋_GB2312" w:cs="Times New Roman"/>
                <w:i w:val="0"/>
                <w:iCs w:val="0"/>
                <w:caps w:val="0"/>
                <w:color w:val="000000"/>
                <w:spacing w:val="0"/>
                <w:sz w:val="21"/>
                <w:szCs w:val="21"/>
                <w:highlight w:val="none"/>
                <w:shd w:val="clear" w:fill="FFFFFF"/>
              </w:rPr>
              <w:t>不治理或者没有达到治理要求的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15449993">
            <w:pPr>
              <w:keepNext w:val="0"/>
              <w:keepLines w:val="0"/>
              <w:pageBreakBefore w:val="0"/>
              <w:widowControl/>
              <w:numPr>
                <w:ilvl w:val="-1"/>
                <w:numId w:val="0"/>
              </w:numPr>
              <w:suppressLineNumbers w:val="0"/>
              <w:kinsoku/>
              <w:wordWrap/>
              <w:overflowPunct/>
              <w:topLinePunct w:val="0"/>
              <w:autoSpaceDE/>
              <w:autoSpaceDN/>
              <w:bidi w:val="0"/>
              <w:adjustRightInd/>
              <w:snapToGrid/>
              <w:spacing w:line="370" w:lineRule="exact"/>
              <w:ind w:left="0" w:leftChars="0" w:firstLine="0" w:firstLineChars="0"/>
              <w:jc w:val="center"/>
              <w:rPr>
                <w:rFonts w:hint="default" w:ascii="Times New Roman" w:hAnsi="Times New Roman" w:eastAsia="方正仿宋_GBK" w:cs="Times New Roman"/>
                <w:sz w:val="21"/>
                <w:szCs w:val="21"/>
                <w:highlight w:val="none"/>
              </w:rPr>
            </w:pPr>
          </w:p>
        </w:tc>
        <w:tc>
          <w:tcPr>
            <w:tcW w:w="1685" w:type="dxa"/>
            <w:vAlign w:val="center"/>
          </w:tcPr>
          <w:p w14:paraId="76F54A8B">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sz w:val="21"/>
                <w:szCs w:val="21"/>
                <w:highlight w:val="none"/>
              </w:rPr>
            </w:pPr>
            <w:r>
              <w:rPr>
                <w:rFonts w:hint="default" w:ascii="Times New Roman" w:hAnsi="Times New Roman" w:eastAsia="方正仿宋_GBK" w:cs="Times New Roman"/>
                <w:i w:val="0"/>
                <w:iCs w:val="0"/>
                <w:color w:val="000000"/>
                <w:kern w:val="0"/>
                <w:sz w:val="21"/>
                <w:szCs w:val="21"/>
                <w:u w:val="none"/>
                <w:lang w:val="en-US" w:eastAsia="zh-CN" w:bidi="ar"/>
              </w:rPr>
              <w:t>处</w:t>
            </w:r>
            <w:r>
              <w:rPr>
                <w:rFonts w:hint="eastAsia" w:ascii="Times New Roman" w:hAnsi="Times New Roman" w:eastAsia="方正仿宋_GBK" w:cs="Times New Roman"/>
                <w:i w:val="0"/>
                <w:iCs w:val="0"/>
                <w:color w:val="000000"/>
                <w:kern w:val="0"/>
                <w:sz w:val="21"/>
                <w:szCs w:val="21"/>
                <w:u w:val="none"/>
                <w:lang w:val="en-US" w:eastAsia="zh-CN" w:bidi="ar"/>
              </w:rPr>
              <w:t>十五万元及以上</w:t>
            </w:r>
            <w:r>
              <w:rPr>
                <w:rFonts w:hint="default" w:ascii="Times New Roman" w:hAnsi="Times New Roman" w:eastAsia="方正仿宋_GBK" w:cs="Times New Roman"/>
                <w:i w:val="0"/>
                <w:iCs w:val="0"/>
                <w:color w:val="000000"/>
                <w:kern w:val="0"/>
                <w:sz w:val="21"/>
                <w:szCs w:val="21"/>
                <w:u w:val="none"/>
                <w:lang w:val="en-US" w:eastAsia="zh-CN" w:bidi="ar"/>
              </w:rPr>
              <w:t>二十万元</w:t>
            </w:r>
            <w:r>
              <w:rPr>
                <w:rFonts w:hint="eastAsia" w:ascii="Times New Roman" w:hAnsi="Times New Roman" w:eastAsia="方正仿宋_GBK" w:cs="Times New Roman"/>
                <w:i w:val="0"/>
                <w:iCs w:val="0"/>
                <w:color w:val="000000"/>
                <w:kern w:val="0"/>
                <w:sz w:val="21"/>
                <w:szCs w:val="21"/>
                <w:u w:val="none"/>
                <w:lang w:val="en-US" w:eastAsia="zh-CN" w:bidi="ar"/>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415A84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jc w:val="center"/>
        </w:trPr>
        <w:tc>
          <w:tcPr>
            <w:tcW w:w="512" w:type="dxa"/>
            <w:vMerge w:val="continue"/>
            <w:vAlign w:val="center"/>
          </w:tcPr>
          <w:p w14:paraId="36488C5E">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2F598550">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4DFC999D">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73E1A1E6">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Merge w:val="continue"/>
            <w:vAlign w:val="center"/>
          </w:tcPr>
          <w:p w14:paraId="5642D059">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vAlign w:val="center"/>
          </w:tcPr>
          <w:p w14:paraId="4F1D96E2">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sz w:val="21"/>
                <w:szCs w:val="21"/>
                <w:highlight w:val="none"/>
              </w:rPr>
            </w:pPr>
            <w:r>
              <w:rPr>
                <w:rFonts w:hint="eastAsia" w:ascii="Times New Roman" w:hAnsi="Times New Roman" w:eastAsia="方正仿宋_GBK" w:cs="Times New Roman"/>
                <w:i w:val="0"/>
                <w:iCs w:val="0"/>
                <w:color w:val="000000"/>
                <w:kern w:val="0"/>
                <w:sz w:val="21"/>
                <w:szCs w:val="21"/>
                <w:u w:val="none"/>
                <w:lang w:val="en-US" w:eastAsia="zh-CN" w:bidi="ar"/>
              </w:rPr>
              <w:t>重点用能单位</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超过单位产品能耗限额标准</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用能，超限</w:t>
            </w:r>
            <w:r>
              <w:rPr>
                <w:rFonts w:hint="eastAsia" w:ascii="Times New Roman" w:hAnsi="Times New Roman" w:eastAsia="方正仿宋_GBK" w:cs="Times New Roman"/>
                <w:i w:val="0"/>
                <w:iCs w:val="0"/>
                <w:color w:val="000000"/>
                <w:kern w:val="0"/>
                <w:sz w:val="21"/>
                <w:szCs w:val="21"/>
                <w:u w:val="none"/>
                <w:lang w:val="en-US" w:eastAsia="zh-CN" w:bidi="ar"/>
              </w:rPr>
              <w:t>1倍以上的</w:t>
            </w:r>
            <w:r>
              <w:rPr>
                <w:rFonts w:hint="default"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责令限期整改期届满</w:t>
            </w:r>
            <w:r>
              <w:rPr>
                <w:rFonts w:hint="default" w:ascii="Times New Roman" w:hAnsi="Times New Roman" w:eastAsia="方正仿宋_GB2312" w:cs="Times New Roman"/>
                <w:i w:val="0"/>
                <w:iCs w:val="0"/>
                <w:caps w:val="0"/>
                <w:color w:val="000000"/>
                <w:spacing w:val="0"/>
                <w:sz w:val="21"/>
                <w:szCs w:val="21"/>
                <w:highlight w:val="none"/>
                <w:shd w:val="clear" w:fill="FFFFFF"/>
              </w:rPr>
              <w:t>不治理或者没有达到治理要求的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5A459CA3">
            <w:pPr>
              <w:keepNext w:val="0"/>
              <w:keepLines w:val="0"/>
              <w:pageBreakBefore w:val="0"/>
              <w:widowControl/>
              <w:numPr>
                <w:ilvl w:val="-1"/>
                <w:numId w:val="0"/>
              </w:numPr>
              <w:suppressLineNumbers w:val="0"/>
              <w:kinsoku/>
              <w:wordWrap/>
              <w:overflowPunct/>
              <w:topLinePunct w:val="0"/>
              <w:autoSpaceDE/>
              <w:autoSpaceDN/>
              <w:bidi w:val="0"/>
              <w:adjustRightInd/>
              <w:snapToGrid/>
              <w:spacing w:line="370" w:lineRule="exact"/>
              <w:ind w:left="0" w:leftChars="0" w:firstLine="0" w:firstLineChars="0"/>
              <w:jc w:val="center"/>
              <w:rPr>
                <w:rFonts w:hint="default" w:ascii="Times New Roman" w:hAnsi="Times New Roman" w:eastAsia="方正仿宋_GBK" w:cs="Times New Roman"/>
                <w:sz w:val="21"/>
                <w:szCs w:val="21"/>
                <w:highlight w:val="none"/>
              </w:rPr>
            </w:pPr>
          </w:p>
        </w:tc>
        <w:tc>
          <w:tcPr>
            <w:tcW w:w="1685" w:type="dxa"/>
            <w:vAlign w:val="center"/>
          </w:tcPr>
          <w:p w14:paraId="1C59B039">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sz w:val="21"/>
                <w:szCs w:val="21"/>
                <w:highlight w:val="none"/>
              </w:rPr>
            </w:pPr>
            <w:r>
              <w:rPr>
                <w:rFonts w:hint="default" w:ascii="Times New Roman" w:hAnsi="Times New Roman" w:eastAsia="方正仿宋_GBK" w:cs="Times New Roman"/>
                <w:i w:val="0"/>
                <w:iCs w:val="0"/>
                <w:color w:val="000000"/>
                <w:kern w:val="0"/>
                <w:sz w:val="21"/>
                <w:szCs w:val="21"/>
                <w:u w:val="none"/>
                <w:lang w:val="en-US" w:eastAsia="zh-CN" w:bidi="ar"/>
              </w:rPr>
              <w:t>处</w:t>
            </w:r>
            <w:r>
              <w:rPr>
                <w:rFonts w:hint="eastAsia" w:ascii="Times New Roman" w:hAnsi="Times New Roman" w:eastAsia="方正仿宋_GBK" w:cs="Times New Roman"/>
                <w:i w:val="0"/>
                <w:iCs w:val="0"/>
                <w:color w:val="000000"/>
                <w:kern w:val="0"/>
                <w:sz w:val="21"/>
                <w:szCs w:val="21"/>
                <w:u w:val="none"/>
                <w:lang w:val="en-US" w:eastAsia="zh-CN" w:bidi="ar"/>
              </w:rPr>
              <w:t>二十万元及以上</w:t>
            </w:r>
            <w:r>
              <w:rPr>
                <w:rFonts w:hint="default" w:ascii="Times New Roman" w:hAnsi="Times New Roman" w:eastAsia="方正仿宋_GBK" w:cs="Times New Roman"/>
                <w:i w:val="0"/>
                <w:iCs w:val="0"/>
                <w:color w:val="000000"/>
                <w:kern w:val="0"/>
                <w:sz w:val="21"/>
                <w:szCs w:val="21"/>
                <w:u w:val="none"/>
                <w:lang w:val="en-US" w:eastAsia="zh-CN" w:bidi="ar"/>
              </w:rPr>
              <w:t>三十万元</w:t>
            </w:r>
            <w:r>
              <w:rPr>
                <w:rFonts w:hint="eastAsia" w:ascii="Times New Roman" w:hAnsi="Times New Roman" w:eastAsia="方正仿宋_GBK" w:cs="Times New Roman"/>
                <w:i w:val="0"/>
                <w:iCs w:val="0"/>
                <w:color w:val="000000"/>
                <w:kern w:val="0"/>
                <w:sz w:val="21"/>
                <w:szCs w:val="21"/>
                <w:u w:val="none"/>
                <w:lang w:val="en-US" w:eastAsia="zh-CN" w:bidi="ar"/>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18656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2" w:type="dxa"/>
            <w:vMerge w:val="continue"/>
            <w:vAlign w:val="center"/>
          </w:tcPr>
          <w:p w14:paraId="74943C99">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7E1DB4C1">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056EFAB8">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553CF159">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Align w:val="center"/>
          </w:tcPr>
          <w:p w14:paraId="0A1425B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严重</w:t>
            </w:r>
          </w:p>
        </w:tc>
        <w:tc>
          <w:tcPr>
            <w:tcW w:w="3959" w:type="dxa"/>
            <w:shd w:val="clear" w:color="auto" w:fill="auto"/>
            <w:vAlign w:val="center"/>
          </w:tcPr>
          <w:p w14:paraId="7340D9ED">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生产</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单位超过单位产品能耗限额标准</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用能</w:t>
            </w:r>
            <w:r>
              <w:rPr>
                <w:rFonts w:hint="default"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责令限期整改期届满</w:t>
            </w:r>
            <w:r>
              <w:rPr>
                <w:rFonts w:hint="default" w:ascii="Times New Roman" w:hAnsi="Times New Roman" w:eastAsia="方正仿宋_GB2312" w:cs="Times New Roman"/>
                <w:i w:val="0"/>
                <w:iCs w:val="0"/>
                <w:caps w:val="0"/>
                <w:color w:val="000000"/>
                <w:spacing w:val="0"/>
                <w:sz w:val="21"/>
                <w:szCs w:val="21"/>
                <w:highlight w:val="none"/>
                <w:shd w:val="clear" w:fill="FFFFFF"/>
              </w:rPr>
              <w:t>不治理或者没有达到治理要求</w:t>
            </w:r>
            <w:r>
              <w:rPr>
                <w:rFonts w:hint="eastAsia" w:ascii="Times New Roman" w:hAnsi="Times New Roman" w:eastAsia="方正仿宋_GB2312" w:cs="Times New Roman"/>
                <w:i w:val="0"/>
                <w:iCs w:val="0"/>
                <w:caps w:val="0"/>
                <w:color w:val="000000"/>
                <w:spacing w:val="0"/>
                <w:sz w:val="21"/>
                <w:szCs w:val="21"/>
                <w:highlight w:val="none"/>
                <w:shd w:val="clear" w:fill="FFFFFF"/>
                <w:lang w:eastAsia="zh-CN"/>
              </w:rPr>
              <w:t>，</w:t>
            </w:r>
            <w:r>
              <w:rPr>
                <w:rFonts w:hint="eastAsia" w:ascii="Times New Roman" w:hAnsi="Times New Roman" w:eastAsia="方正仿宋_GB2312" w:cs="Times New Roman"/>
                <w:i w:val="0"/>
                <w:iCs w:val="0"/>
                <w:caps w:val="0"/>
                <w:color w:val="000000"/>
                <w:spacing w:val="0"/>
                <w:sz w:val="21"/>
                <w:szCs w:val="21"/>
                <w:highlight w:val="none"/>
                <w:shd w:val="clear" w:fill="FFFFFF"/>
                <w:lang w:val="en-US" w:eastAsia="zh-CN"/>
              </w:rPr>
              <w:t>满2年</w:t>
            </w:r>
            <w:r>
              <w:rPr>
                <w:rFonts w:hint="default" w:ascii="Times New Roman" w:hAnsi="Times New Roman" w:eastAsia="方正仿宋_GB2312" w:cs="Times New Roman"/>
                <w:i w:val="0"/>
                <w:iCs w:val="0"/>
                <w:caps w:val="0"/>
                <w:color w:val="000000"/>
                <w:spacing w:val="0"/>
                <w:sz w:val="21"/>
                <w:szCs w:val="21"/>
                <w:highlight w:val="none"/>
                <w:shd w:val="clear" w:fill="FFFFFF"/>
              </w:rPr>
              <w:t>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Align w:val="center"/>
          </w:tcPr>
          <w:p w14:paraId="4ED0C72A">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lang w:val="en-US" w:eastAsia="zh-CN"/>
              </w:rPr>
            </w:pPr>
            <w:r>
              <w:rPr>
                <w:rFonts w:hint="eastAsia" w:ascii="Times New Roman" w:hAnsi="Times New Roman" w:eastAsia="方正仿宋_GBK" w:cs="Times New Roman"/>
                <w:sz w:val="21"/>
                <w:szCs w:val="21"/>
                <w:highlight w:val="none"/>
                <w:vertAlign w:val="baseline"/>
                <w:lang w:val="en-US" w:eastAsia="zh-CN"/>
              </w:rPr>
              <w:t>从重</w:t>
            </w:r>
          </w:p>
        </w:tc>
        <w:tc>
          <w:tcPr>
            <w:tcW w:w="1685" w:type="dxa"/>
            <w:shd w:val="clear" w:color="auto" w:fill="auto"/>
            <w:vAlign w:val="center"/>
          </w:tcPr>
          <w:p w14:paraId="00559B6F">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eastAsia" w:ascii="Times New Roman" w:hAnsi="Times New Roman" w:eastAsia="方正仿宋_GBK" w:cs="Times New Roman"/>
                <w:i w:val="0"/>
                <w:iCs w:val="0"/>
                <w:color w:val="000000"/>
                <w:kern w:val="0"/>
                <w:sz w:val="21"/>
                <w:szCs w:val="21"/>
                <w:u w:val="none"/>
                <w:lang w:val="en-US" w:eastAsia="zh-CN" w:bidi="ar"/>
              </w:rPr>
              <w:t>报</w:t>
            </w:r>
            <w:r>
              <w:rPr>
                <w:rFonts w:hint="default" w:ascii="Times New Roman" w:hAnsi="Times New Roman" w:eastAsia="方正仿宋_GBK" w:cs="Times New Roman"/>
                <w:i w:val="0"/>
                <w:iCs w:val="0"/>
                <w:color w:val="000000"/>
                <w:kern w:val="0"/>
                <w:sz w:val="21"/>
                <w:szCs w:val="21"/>
                <w:u w:val="none"/>
                <w:lang w:val="en-US" w:eastAsia="zh-CN" w:bidi="ar"/>
              </w:rPr>
              <w:t>请本级人民政府责令停业整顿或者关闭</w:t>
            </w:r>
          </w:p>
        </w:tc>
      </w:tr>
      <w:tr w14:paraId="375F7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5" w:hRule="atLeast"/>
          <w:jc w:val="center"/>
        </w:trPr>
        <w:tc>
          <w:tcPr>
            <w:tcW w:w="512" w:type="dxa"/>
            <w:vMerge w:val="continue"/>
            <w:vAlign w:val="center"/>
          </w:tcPr>
          <w:p w14:paraId="35E425A5">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1296" w:type="dxa"/>
            <w:vMerge w:val="continue"/>
            <w:vAlign w:val="center"/>
          </w:tcPr>
          <w:p w14:paraId="4A622FC8">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3244" w:type="dxa"/>
            <w:vMerge w:val="continue"/>
          </w:tcPr>
          <w:p w14:paraId="47736C16">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3398" w:type="dxa"/>
            <w:vMerge w:val="continue"/>
          </w:tcPr>
          <w:p w14:paraId="1B412B1A">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715" w:type="dxa"/>
            <w:vAlign w:val="center"/>
          </w:tcPr>
          <w:p w14:paraId="54C82E8B">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1EAB95FD">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K" w:cs="Times New Roman"/>
                <w:sz w:val="21"/>
                <w:szCs w:val="21"/>
                <w:highlight w:val="none"/>
                <w:vertAlign w:val="baseline"/>
                <w:lang w:val="en-US" w:eastAsia="zh-CN"/>
              </w:rPr>
            </w:pPr>
          </w:p>
        </w:tc>
        <w:tc>
          <w:tcPr>
            <w:tcW w:w="653" w:type="dxa"/>
            <w:vAlign w:val="center"/>
          </w:tcPr>
          <w:p w14:paraId="6FA6543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K" w:cs="Times New Roman"/>
                <w:sz w:val="21"/>
                <w:szCs w:val="21"/>
                <w:highlight w:val="none"/>
                <w:vertAlign w:val="baseline"/>
                <w:lang w:val="en-US" w:eastAsia="zh-CN"/>
              </w:rPr>
            </w:pPr>
          </w:p>
        </w:tc>
        <w:tc>
          <w:tcPr>
            <w:tcW w:w="1685" w:type="dxa"/>
            <w:shd w:val="clear" w:color="auto" w:fill="auto"/>
            <w:vAlign w:val="center"/>
          </w:tcPr>
          <w:p w14:paraId="6C659B32">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K" w:cs="Times New Roman"/>
                <w:sz w:val="21"/>
                <w:szCs w:val="21"/>
                <w:highlight w:val="none"/>
                <w:vertAlign w:val="baseline"/>
                <w:lang w:val="en-US" w:eastAsia="zh-CN"/>
              </w:rPr>
            </w:pPr>
          </w:p>
        </w:tc>
      </w:tr>
      <w:tr w14:paraId="4D9A8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2" w:type="dxa"/>
            <w:vMerge w:val="restart"/>
            <w:vAlign w:val="center"/>
          </w:tcPr>
          <w:p w14:paraId="5DD9ECC6">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K" w:cs="Times New Roman"/>
                <w:sz w:val="21"/>
                <w:szCs w:val="21"/>
                <w:highlight w:val="none"/>
                <w:vertAlign w:val="baseline"/>
                <w:lang w:val="en-US" w:eastAsia="zh-CN"/>
              </w:rPr>
              <w:t>2</w:t>
            </w:r>
          </w:p>
        </w:tc>
        <w:tc>
          <w:tcPr>
            <w:tcW w:w="1296" w:type="dxa"/>
            <w:vMerge w:val="restart"/>
            <w:vAlign w:val="center"/>
          </w:tcPr>
          <w:p w14:paraId="3D186877">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r>
              <w:rPr>
                <w:rFonts w:hint="default" w:ascii="Times New Roman" w:hAnsi="Times New Roman" w:eastAsia="方正仿宋_GBK" w:cs="Times New Roman"/>
                <w:i w:val="0"/>
                <w:iCs w:val="0"/>
                <w:caps w:val="0"/>
                <w:color w:val="000000"/>
                <w:spacing w:val="0"/>
                <w:sz w:val="21"/>
                <w:szCs w:val="21"/>
                <w:highlight w:val="none"/>
                <w:shd w:val="clear" w:fill="FFFFFF"/>
              </w:rPr>
              <w:t>对使用国家明令淘汰的用能设备或者生产工艺的处罚</w:t>
            </w:r>
          </w:p>
        </w:tc>
        <w:tc>
          <w:tcPr>
            <w:tcW w:w="3244" w:type="dxa"/>
            <w:vMerge w:val="restart"/>
            <w:vAlign w:val="center"/>
          </w:tcPr>
          <w:p w14:paraId="63EC7F2D">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p>
          <w:p w14:paraId="3981CB63">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第十七条</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禁止生产、进口、销售国家明令淘汰或者不符合强制性能源效率标准的用能产品、设备；禁止使用国家明令淘汰的用能设备、生产工艺。</w:t>
            </w:r>
          </w:p>
          <w:p w14:paraId="6110BD7B">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】《中华人民共和国循环经济促进法》</w:t>
            </w:r>
          </w:p>
          <w:p w14:paraId="4A0736BB">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第十八条第二款</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禁止生产、进口、销售列入淘汰名录的设备、材料和产品，禁止使用列入淘汰名录的技术、工艺、设备和材料。</w:t>
            </w:r>
          </w:p>
          <w:p w14:paraId="6721DBB3">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【部门规章】《重点用能单位节能管理办法》</w:t>
            </w:r>
          </w:p>
          <w:p w14:paraId="1230CBBF">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第十六条第一款</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重点用能单位应当优先采用《国家重点节能低碳技术推广目录》以及地方发布的相关目录中的节能技术、生产工艺和用能设备，主动淘汰落后的和国家明令禁止使用的用能产品、设备和生产工艺。</w:t>
            </w:r>
          </w:p>
          <w:p w14:paraId="4B14DA4C">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FF0000"/>
                <w:spacing w:val="0"/>
                <w:sz w:val="21"/>
                <w:szCs w:val="21"/>
                <w:highlight w:val="none"/>
                <w:shd w:val="clear" w:fill="FFFFFF"/>
                <w:lang w:val="en-US" w:eastAsia="zh-CN"/>
              </w:rPr>
            </w:pPr>
            <w:r>
              <w:rPr>
                <w:rFonts w:hint="default" w:ascii="Times New Roman" w:hAnsi="Times New Roman" w:eastAsia="方正仿宋_GB2312" w:cs="Times New Roman"/>
                <w:i w:val="0"/>
                <w:iCs w:val="0"/>
                <w:caps w:val="0"/>
                <w:color w:val="000000" w:themeColor="text1"/>
                <w:spacing w:val="0"/>
                <w:sz w:val="21"/>
                <w:szCs w:val="21"/>
                <w:highlight w:val="none"/>
                <w:shd w:val="clear" w:fill="FFFFFF"/>
                <w14:textFill>
                  <w14:solidFill>
                    <w14:schemeClr w14:val="tx1"/>
                  </w14:solidFill>
                </w14:textFill>
              </w:rPr>
              <w:br w:type="textWrapping"/>
            </w:r>
          </w:p>
        </w:tc>
        <w:tc>
          <w:tcPr>
            <w:tcW w:w="3398" w:type="dxa"/>
            <w:vMerge w:val="restart"/>
            <w:vAlign w:val="center"/>
          </w:tcPr>
          <w:p w14:paraId="7366818C">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p>
          <w:p w14:paraId="1DBAF841">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themeColor="text1"/>
                <w:spacing w:val="0"/>
                <w:sz w:val="21"/>
                <w:szCs w:val="21"/>
                <w:highlight w:val="none"/>
                <w:shd w:val="clear" w:fill="FFFFFF"/>
                <w14:textFill>
                  <w14:solidFill>
                    <w14:schemeClr w14:val="tx1"/>
                  </w14:solidFill>
                </w14:textFill>
              </w:rPr>
            </w:pPr>
            <w:r>
              <w:rPr>
                <w:rFonts w:hint="default" w:ascii="Times New Roman" w:hAnsi="Times New Roman" w:eastAsia="方正仿宋_GB2312" w:cs="Times New Roman"/>
                <w:b/>
                <w:bCs/>
                <w:i w:val="0"/>
                <w:iCs w:val="0"/>
                <w:caps w:val="0"/>
                <w:color w:val="000000" w:themeColor="text1"/>
                <w:spacing w:val="0"/>
                <w:sz w:val="21"/>
                <w:szCs w:val="21"/>
                <w:highlight w:val="none"/>
                <w:shd w:val="clear" w:fill="FFFFFF"/>
                <w:lang w:val="en-US" w:eastAsia="zh-CN"/>
                <w14:textFill>
                  <w14:solidFill>
                    <w14:schemeClr w14:val="tx1"/>
                  </w14:solidFill>
                </w14:textFill>
              </w:rPr>
              <w:t>第七十一条</w:t>
            </w:r>
            <w:r>
              <w:rPr>
                <w:rFonts w:hint="default" w:ascii="Times New Roman" w:hAnsi="Times New Roman" w:eastAsia="方正仿宋_GB2312"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t xml:space="preserve"> </w:t>
            </w:r>
            <w:r>
              <w:rPr>
                <w:rFonts w:hint="default" w:ascii="Times New Roman" w:hAnsi="Times New Roman" w:eastAsia="方正仿宋_GB2312" w:cs="Times New Roman"/>
                <w:i w:val="0"/>
                <w:iCs w:val="0"/>
                <w:caps w:val="0"/>
                <w:color w:val="000000" w:themeColor="text1"/>
                <w:spacing w:val="0"/>
                <w:sz w:val="21"/>
                <w:szCs w:val="21"/>
                <w:highlight w:val="none"/>
                <w:shd w:val="clear" w:fill="FFFFFF"/>
                <w14:textFill>
                  <w14:solidFill>
                    <w14:schemeClr w14:val="tx1"/>
                  </w14:solidFill>
                </w14:textFill>
              </w:rPr>
              <w:t>使用国家明令淘汰的用能设备或者生产工艺的，由管理节能工作的部门责令停止使用，没收国家明令淘汰的用能设备；情节严重的，可以由管理节能工作的部门提出意见，报请本级人民政府按照国务院规定的权限责令停业整顿或者关闭。</w:t>
            </w:r>
          </w:p>
          <w:p w14:paraId="0FA6D59D">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】《中华人民共和国循环经济促进法》</w:t>
            </w:r>
          </w:p>
          <w:p w14:paraId="0FA45A9D">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第五十条第二款</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使用列入淘汰名录的技术、工艺、设备、材料的，由县级以上地方人民政府循环经济发展综合管理部门责令停止使用，</w:t>
            </w:r>
            <w:r>
              <w:rPr>
                <w:rFonts w:hint="default" w:ascii="Times New Roman" w:hAnsi="Times New Roman" w:eastAsia="方正仿宋_GB2312" w:cs="Times New Roman"/>
                <w:i w:val="0"/>
                <w:iCs w:val="0"/>
                <w:caps w:val="0"/>
                <w:color w:val="000000" w:themeColor="text1"/>
                <w:spacing w:val="0"/>
                <w:sz w:val="21"/>
                <w:szCs w:val="21"/>
                <w:highlight w:val="none"/>
                <w:shd w:val="clear" w:fill="FFFFFF"/>
                <w14:textFill>
                  <w14:solidFill>
                    <w14:schemeClr w14:val="tx1"/>
                  </w14:solidFill>
                </w14:textFill>
              </w:rPr>
              <w:t>没收违法使用的设备、材料，并处五万元以上二十万元以下的罚款；情</w:t>
            </w:r>
            <w:r>
              <w:rPr>
                <w:rFonts w:hint="default" w:ascii="Times New Roman" w:hAnsi="Times New Roman" w:eastAsia="方正仿宋_GB2312" w:cs="Times New Roman"/>
                <w:i w:val="0"/>
                <w:iCs w:val="0"/>
                <w:caps w:val="0"/>
                <w:color w:val="000000"/>
                <w:spacing w:val="0"/>
                <w:sz w:val="21"/>
                <w:szCs w:val="21"/>
                <w:highlight w:val="none"/>
                <w:shd w:val="clear" w:fill="FFFFFF"/>
              </w:rPr>
              <w:t>节严重的，由县级以上人民政府循环经济发展综合管理部门提出意见，报请本级人民政府按照国务院规定的权限责令停业或者关闭。</w:t>
            </w:r>
          </w:p>
          <w:p w14:paraId="0C07E40F">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【部门规章】《重点用能单位节能管理办法》</w:t>
            </w:r>
          </w:p>
          <w:p w14:paraId="02307665">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themeColor="text1"/>
                <w:spacing w:val="0"/>
                <w:sz w:val="21"/>
                <w:szCs w:val="21"/>
                <w:highlight w:val="none"/>
                <w:shd w:val="clear" w:fill="FFFFFF"/>
                <w:lang w:val="en-US" w:eastAsia="zh-CN"/>
                <w14:textFill>
                  <w14:solidFill>
                    <w14:schemeClr w14:val="tx1"/>
                  </w14:solidFill>
                </w14:textFill>
              </w:rPr>
            </w:pPr>
            <w:r>
              <w:rPr>
                <w:rFonts w:hint="default" w:ascii="Times New Roman" w:hAnsi="Times New Roman" w:eastAsia="方正仿宋_GB2312" w:cs="Times New Roman"/>
                <w:b/>
                <w:bCs/>
                <w:i w:val="0"/>
                <w:iCs w:val="0"/>
                <w:caps w:val="0"/>
                <w:color w:val="000000"/>
                <w:spacing w:val="0"/>
                <w:sz w:val="21"/>
                <w:szCs w:val="21"/>
                <w:highlight w:val="none"/>
                <w:shd w:val="clear" w:fill="FFFFFF"/>
                <w:lang w:val="en-US" w:eastAsia="zh-CN"/>
              </w:rPr>
              <w:t>第三十三条</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重点用能单位不按期淘汰落后生产工艺、用能设备和产品的，</w:t>
            </w:r>
            <w:r>
              <w:rPr>
                <w:rFonts w:hint="default" w:ascii="Times New Roman" w:hAnsi="Times New Roman" w:eastAsia="方正仿宋_GB2312" w:cs="Times New Roman"/>
                <w:i w:val="0"/>
                <w:iCs w:val="0"/>
                <w:caps w:val="0"/>
                <w:color w:val="000000" w:themeColor="text1"/>
                <w:spacing w:val="0"/>
                <w:sz w:val="21"/>
                <w:szCs w:val="21"/>
                <w:highlight w:val="none"/>
                <w:shd w:val="clear" w:fill="FFFFFF"/>
                <w14:textFill>
                  <w14:solidFill>
                    <w14:schemeClr w14:val="tx1"/>
                  </w14:solidFill>
                </w14:textFill>
              </w:rPr>
              <w:t>由管理节能工作的部门责令停止使用，没收国家明令淘汰的用能设备，并按照《中华人民共和国循环经济促进法》有关规定处以罚款；情节严重的，由管理节能工作的部门报请本级人民政府按照国务院规定的权限责令停业整顿或者关闭。</w:t>
            </w:r>
          </w:p>
        </w:tc>
        <w:tc>
          <w:tcPr>
            <w:tcW w:w="715" w:type="dxa"/>
            <w:vAlign w:val="center"/>
          </w:tcPr>
          <w:p w14:paraId="03C3D8E7">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轻微</w:t>
            </w:r>
          </w:p>
        </w:tc>
        <w:tc>
          <w:tcPr>
            <w:tcW w:w="3959" w:type="dxa"/>
            <w:shd w:val="clear" w:color="auto" w:fill="auto"/>
            <w:vAlign w:val="center"/>
          </w:tcPr>
          <w:p w14:paraId="590E29DF">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用能单位使用国家明令淘汰的用能设备和工艺的，</w:t>
            </w:r>
            <w:r>
              <w:rPr>
                <w:rFonts w:hint="eastAsia" w:ascii="Times New Roman" w:hAnsi="Times New Roman" w:eastAsia="方正仿宋_GBK" w:cs="Times New Roman"/>
                <w:i w:val="0"/>
                <w:iCs w:val="0"/>
                <w:color w:val="000000"/>
                <w:kern w:val="0"/>
                <w:sz w:val="21"/>
                <w:szCs w:val="21"/>
                <w:u w:val="none"/>
                <w:lang w:val="en-US" w:eastAsia="zh-CN" w:bidi="ar"/>
              </w:rPr>
              <w:t>主动自行淘汰的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Align w:val="center"/>
          </w:tcPr>
          <w:p w14:paraId="4EB0818D">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right="0" w:rightChars="0" w:firstLine="0"/>
              <w:jc w:val="center"/>
              <w:textAlignment w:val="auto"/>
              <w:rPr>
                <w:rFonts w:hint="default" w:ascii="Times New Roman" w:hAnsi="Times New Roman" w:eastAsia="方正仿宋_GBK" w:cs="Times New Roman"/>
                <w:spacing w:val="-2"/>
                <w:w w:val="105"/>
                <w:sz w:val="21"/>
                <w:szCs w:val="21"/>
                <w:highlight w:val="none"/>
                <w:lang w:val="en-US" w:eastAsia="zh-CN"/>
              </w:rPr>
            </w:pPr>
            <w:r>
              <w:rPr>
                <w:rFonts w:hint="default" w:ascii="Times New Roman" w:hAnsi="Times New Roman" w:eastAsia="方正仿宋_GBK" w:cs="Times New Roman"/>
                <w:spacing w:val="-2"/>
                <w:w w:val="105"/>
                <w:sz w:val="21"/>
                <w:szCs w:val="21"/>
                <w:highlight w:val="none"/>
                <w:lang w:val="en-US" w:eastAsia="zh-CN"/>
              </w:rPr>
              <w:t>从轻</w:t>
            </w:r>
          </w:p>
        </w:tc>
        <w:tc>
          <w:tcPr>
            <w:tcW w:w="1685" w:type="dxa"/>
            <w:shd w:val="clear" w:color="auto" w:fill="auto"/>
            <w:vAlign w:val="center"/>
          </w:tcPr>
          <w:p w14:paraId="686A33F2">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eastAsia" w:ascii="Times New Roman" w:hAnsi="Times New Roman" w:eastAsia="方正仿宋_GBK" w:cs="Times New Roman"/>
                <w:i w:val="0"/>
                <w:iCs w:val="0"/>
                <w:color w:val="000000"/>
                <w:kern w:val="0"/>
                <w:sz w:val="21"/>
                <w:szCs w:val="21"/>
                <w:u w:val="none"/>
                <w:lang w:val="en-US" w:eastAsia="zh-CN" w:bidi="ar"/>
              </w:rPr>
              <w:t>免于</w:t>
            </w:r>
            <w:r>
              <w:rPr>
                <w:rFonts w:hint="default" w:ascii="Times New Roman" w:hAnsi="Times New Roman" w:eastAsia="方正仿宋_GBK" w:cs="Times New Roman"/>
                <w:i w:val="0"/>
                <w:iCs w:val="0"/>
                <w:color w:val="000000"/>
                <w:kern w:val="0"/>
                <w:sz w:val="21"/>
                <w:szCs w:val="21"/>
                <w:u w:val="none"/>
                <w:lang w:val="en-US" w:eastAsia="zh-CN" w:bidi="ar"/>
              </w:rPr>
              <w:t>行政处罚</w:t>
            </w:r>
          </w:p>
        </w:tc>
      </w:tr>
      <w:tr w14:paraId="52193A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2" w:type="dxa"/>
            <w:vMerge w:val="continue"/>
            <w:vAlign w:val="center"/>
          </w:tcPr>
          <w:p w14:paraId="74F0F005">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102E727B">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vAlign w:val="center"/>
          </w:tcPr>
          <w:p w14:paraId="32774B17">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398" w:type="dxa"/>
            <w:vMerge w:val="continue"/>
            <w:vAlign w:val="center"/>
          </w:tcPr>
          <w:p w14:paraId="3BCB1C2E">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715" w:type="dxa"/>
            <w:vMerge w:val="restart"/>
            <w:vAlign w:val="center"/>
          </w:tcPr>
          <w:p w14:paraId="2A0F9AEC">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3959" w:type="dxa"/>
            <w:shd w:val="clear" w:color="auto" w:fill="auto"/>
            <w:vAlign w:val="center"/>
          </w:tcPr>
          <w:p w14:paraId="3B606018">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eastAsia" w:ascii="Times New Roman" w:hAnsi="Times New Roman" w:eastAsia="方正仿宋_GBK" w:cs="Times New Roman"/>
                <w:i w:val="0"/>
                <w:iCs w:val="0"/>
                <w:color w:val="000000"/>
                <w:kern w:val="0"/>
                <w:sz w:val="21"/>
                <w:szCs w:val="21"/>
                <w:u w:val="none"/>
                <w:lang w:val="en-US" w:eastAsia="zh-CN" w:bidi="ar"/>
              </w:rPr>
              <w:t>非重点用能</w:t>
            </w:r>
            <w:r>
              <w:rPr>
                <w:rFonts w:hint="default" w:ascii="Times New Roman" w:hAnsi="Times New Roman" w:eastAsia="方正仿宋_GBK" w:cs="Times New Roman"/>
                <w:i w:val="0"/>
                <w:iCs w:val="0"/>
                <w:color w:val="000000"/>
                <w:kern w:val="0"/>
                <w:sz w:val="21"/>
                <w:szCs w:val="21"/>
                <w:u w:val="none"/>
                <w:lang w:val="en-US" w:eastAsia="zh-CN" w:bidi="ar"/>
              </w:rPr>
              <w:t>单位使用国家明令淘汰的用能设备的</w:t>
            </w:r>
            <w:r>
              <w:rPr>
                <w:rFonts w:hint="eastAsia" w:ascii="Times New Roman" w:hAnsi="Times New Roman" w:eastAsia="方正仿宋_GBK" w:cs="Times New Roman"/>
                <w:i w:val="0"/>
                <w:iCs w:val="0"/>
                <w:color w:val="000000"/>
                <w:kern w:val="0"/>
                <w:sz w:val="21"/>
                <w:szCs w:val="21"/>
                <w:u w:val="none"/>
                <w:lang w:val="en-US" w:eastAsia="zh-CN" w:bidi="ar"/>
              </w:rPr>
              <w:t>。</w:t>
            </w:r>
          </w:p>
        </w:tc>
        <w:tc>
          <w:tcPr>
            <w:tcW w:w="653" w:type="dxa"/>
            <w:vAlign w:val="center"/>
          </w:tcPr>
          <w:p w14:paraId="359BDC82">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0" w:rightChars="0" w:firstLine="0" w:firstLineChars="0"/>
              <w:jc w:val="center"/>
              <w:textAlignment w:val="auto"/>
              <w:rPr>
                <w:rFonts w:hint="default" w:ascii="Times New Roman" w:hAnsi="Times New Roman" w:eastAsia="方正仿宋_GBK" w:cs="Times New Roman"/>
                <w:spacing w:val="-2"/>
                <w:sz w:val="21"/>
                <w:szCs w:val="21"/>
                <w:highlight w:val="none"/>
                <w:lang w:val="en-US" w:eastAsia="zh-CN"/>
              </w:rPr>
            </w:pPr>
          </w:p>
        </w:tc>
        <w:tc>
          <w:tcPr>
            <w:tcW w:w="1685" w:type="dxa"/>
            <w:shd w:val="clear" w:color="auto" w:fill="auto"/>
            <w:vAlign w:val="center"/>
          </w:tcPr>
          <w:p w14:paraId="1F0BF3C3">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i w:val="0"/>
                <w:iCs w:val="0"/>
                <w:color w:val="000000"/>
                <w:kern w:val="0"/>
                <w:sz w:val="21"/>
                <w:szCs w:val="21"/>
                <w:u w:val="none"/>
                <w:lang w:val="en-US" w:eastAsia="zh-CN" w:bidi="ar"/>
              </w:rPr>
              <w:t>没收</w:t>
            </w:r>
            <w:r>
              <w:rPr>
                <w:rFonts w:hint="default" w:ascii="Times New Roman" w:hAnsi="Times New Roman" w:eastAsia="方正仿宋_GB2312" w:cs="Times New Roman"/>
                <w:i w:val="0"/>
                <w:iCs w:val="0"/>
                <w:caps w:val="0"/>
                <w:color w:val="000000" w:themeColor="text1"/>
                <w:spacing w:val="0"/>
                <w:sz w:val="21"/>
                <w:szCs w:val="21"/>
                <w:highlight w:val="none"/>
                <w:shd w:val="clear" w:fill="FFFFFF"/>
                <w14:textFill>
                  <w14:solidFill>
                    <w14:schemeClr w14:val="tx1"/>
                  </w14:solidFill>
                </w14:textFill>
              </w:rPr>
              <w:t>国家明令淘汰的用能设备</w:t>
            </w:r>
          </w:p>
        </w:tc>
      </w:tr>
      <w:tr w14:paraId="00FEEC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2" w:type="dxa"/>
            <w:vMerge w:val="continue"/>
            <w:vAlign w:val="center"/>
          </w:tcPr>
          <w:p w14:paraId="7226AA9D">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0E0E715F">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vAlign w:val="center"/>
          </w:tcPr>
          <w:p w14:paraId="4334826D">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398" w:type="dxa"/>
            <w:vMerge w:val="continue"/>
            <w:vAlign w:val="center"/>
          </w:tcPr>
          <w:p w14:paraId="7B06FCEA">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715" w:type="dxa"/>
            <w:vMerge w:val="continue"/>
            <w:vAlign w:val="center"/>
          </w:tcPr>
          <w:p w14:paraId="13A3DF0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540366AE">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重点用能单位使用国家明令淘汰的用能设备，</w:t>
            </w:r>
            <w:r>
              <w:rPr>
                <w:rFonts w:hint="eastAsia" w:ascii="Times New Roman" w:hAnsi="Times New Roman" w:eastAsia="方正仿宋_GBK" w:cs="Times New Roman"/>
                <w:i w:val="0"/>
                <w:iCs w:val="0"/>
                <w:color w:val="000000"/>
                <w:kern w:val="0"/>
                <w:sz w:val="21"/>
                <w:szCs w:val="21"/>
                <w:u w:val="none"/>
                <w:lang w:val="en-US" w:eastAsia="zh-CN" w:bidi="ar"/>
              </w:rPr>
              <w:t>高耗能设备</w:t>
            </w:r>
            <w:r>
              <w:rPr>
                <w:rFonts w:hint="default" w:ascii="Times New Roman" w:hAnsi="Times New Roman" w:eastAsia="方正仿宋_GBK" w:cs="Times New Roman"/>
                <w:i w:val="0"/>
                <w:iCs w:val="0"/>
                <w:color w:val="000000"/>
                <w:kern w:val="0"/>
                <w:sz w:val="21"/>
                <w:szCs w:val="21"/>
                <w:u w:val="none"/>
                <w:lang w:val="en-US" w:eastAsia="zh-CN" w:bidi="ar"/>
              </w:rPr>
              <w:t>的总功率</w:t>
            </w:r>
            <w:r>
              <w:rPr>
                <w:rFonts w:hint="eastAsia" w:ascii="Times New Roman" w:hAnsi="Times New Roman" w:eastAsia="方正仿宋_GBK" w:cs="Times New Roman"/>
                <w:i w:val="0"/>
                <w:iCs w:val="0"/>
                <w:color w:val="000000"/>
                <w:kern w:val="0"/>
                <w:sz w:val="21"/>
                <w:szCs w:val="21"/>
                <w:u w:val="none"/>
                <w:lang w:val="en-US" w:eastAsia="zh-CN" w:bidi="ar"/>
              </w:rPr>
              <w:t>（总容量、总数量）占</w:t>
            </w:r>
            <w:r>
              <w:rPr>
                <w:rFonts w:hint="default" w:ascii="Times New Roman" w:hAnsi="Times New Roman" w:eastAsia="方正仿宋_GBK" w:cs="Times New Roman"/>
                <w:i w:val="0"/>
                <w:iCs w:val="0"/>
                <w:color w:val="000000"/>
                <w:kern w:val="0"/>
                <w:sz w:val="21"/>
                <w:szCs w:val="21"/>
                <w:u w:val="none"/>
                <w:lang w:val="en-US" w:eastAsia="zh-CN" w:bidi="ar"/>
              </w:rPr>
              <w:t>全厂</w:t>
            </w:r>
            <w:r>
              <w:rPr>
                <w:rFonts w:hint="eastAsia" w:ascii="Times New Roman" w:hAnsi="Times New Roman" w:eastAsia="方正仿宋_GBK" w:cs="Times New Roman"/>
                <w:i w:val="0"/>
                <w:iCs w:val="0"/>
                <w:color w:val="000000"/>
                <w:kern w:val="0"/>
                <w:sz w:val="21"/>
                <w:szCs w:val="21"/>
                <w:u w:val="none"/>
                <w:lang w:val="en-US" w:eastAsia="zh-CN" w:bidi="ar"/>
              </w:rPr>
              <w:t>用能设备10</w:t>
            </w:r>
            <w:r>
              <w:rPr>
                <w:rFonts w:hint="default" w:ascii="Times New Roman" w:hAnsi="Times New Roman" w:eastAsia="方正仿宋_GBK" w:cs="Times New Roman"/>
                <w:i w:val="0"/>
                <w:iCs w:val="0"/>
                <w:color w:val="000000"/>
                <w:kern w:val="0"/>
                <w:sz w:val="21"/>
                <w:szCs w:val="21"/>
                <w:u w:val="none"/>
                <w:lang w:val="en-US" w:eastAsia="zh-CN" w:bidi="ar"/>
              </w:rPr>
              <w:t>%以内的。</w:t>
            </w:r>
          </w:p>
        </w:tc>
        <w:tc>
          <w:tcPr>
            <w:tcW w:w="653" w:type="dxa"/>
            <w:vMerge w:val="restart"/>
            <w:vAlign w:val="center"/>
          </w:tcPr>
          <w:p w14:paraId="1EF6CDB8">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0" w:rightChars="0" w:firstLine="0" w:firstLineChars="0"/>
              <w:jc w:val="center"/>
              <w:textAlignment w:val="auto"/>
              <w:rPr>
                <w:rFonts w:hint="default" w:ascii="Times New Roman" w:hAnsi="Times New Roman" w:eastAsia="方正仿宋_GBK" w:cs="Times New Roman"/>
                <w:spacing w:val="-2"/>
                <w:sz w:val="21"/>
                <w:szCs w:val="21"/>
                <w:highlight w:val="none"/>
                <w:lang w:val="en-US" w:eastAsia="zh-CN"/>
              </w:rPr>
            </w:pPr>
            <w:r>
              <w:rPr>
                <w:rFonts w:hint="default" w:ascii="Times New Roman" w:hAnsi="Times New Roman" w:eastAsia="方正仿宋_GBK" w:cs="Times New Roman"/>
                <w:spacing w:val="-2"/>
                <w:sz w:val="21"/>
                <w:szCs w:val="21"/>
                <w:highlight w:val="none"/>
                <w:lang w:val="en-US" w:eastAsia="zh-CN"/>
              </w:rPr>
              <w:t>一般</w:t>
            </w:r>
          </w:p>
        </w:tc>
        <w:tc>
          <w:tcPr>
            <w:tcW w:w="1685" w:type="dxa"/>
            <w:shd w:val="clear" w:color="auto" w:fill="auto"/>
            <w:vAlign w:val="center"/>
          </w:tcPr>
          <w:p w14:paraId="0C56945D">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没收</w:t>
            </w:r>
            <w:r>
              <w:rPr>
                <w:rFonts w:hint="default" w:ascii="Times New Roman" w:hAnsi="Times New Roman" w:eastAsia="方正仿宋_GB2312" w:cs="Times New Roman"/>
                <w:i w:val="0"/>
                <w:iCs w:val="0"/>
                <w:caps w:val="0"/>
                <w:color w:val="000000" w:themeColor="text1"/>
                <w:spacing w:val="0"/>
                <w:sz w:val="21"/>
                <w:szCs w:val="21"/>
                <w:highlight w:val="none"/>
                <w:shd w:val="clear" w:fill="FFFFFF"/>
                <w14:textFill>
                  <w14:solidFill>
                    <w14:schemeClr w14:val="tx1"/>
                  </w14:solidFill>
                </w14:textFill>
              </w:rPr>
              <w:t>国家明令淘汰的用能设备</w:t>
            </w:r>
            <w:r>
              <w:rPr>
                <w:rFonts w:hint="default" w:ascii="Times New Roman" w:hAnsi="Times New Roman" w:eastAsia="方正仿宋_GBK" w:cs="Times New Roman"/>
                <w:i w:val="0"/>
                <w:iCs w:val="0"/>
                <w:color w:val="000000"/>
                <w:kern w:val="0"/>
                <w:sz w:val="21"/>
                <w:szCs w:val="21"/>
                <w:u w:val="none"/>
                <w:lang w:val="en-US" w:eastAsia="zh-CN" w:bidi="ar"/>
              </w:rPr>
              <w:t>，并处五万元</w:t>
            </w:r>
            <w:r>
              <w:rPr>
                <w:rFonts w:hint="eastAsia" w:ascii="Times New Roman" w:hAnsi="Times New Roman" w:eastAsia="方正仿宋_GBK" w:cs="Times New Roman"/>
                <w:i w:val="0"/>
                <w:iCs w:val="0"/>
                <w:color w:val="000000"/>
                <w:kern w:val="0"/>
                <w:sz w:val="21"/>
                <w:szCs w:val="21"/>
                <w:u w:val="none"/>
                <w:lang w:val="en-US" w:eastAsia="zh-CN" w:bidi="ar"/>
              </w:rPr>
              <w:t>及以上十万元以下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61495F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vAlign w:val="center"/>
          </w:tcPr>
          <w:p w14:paraId="7E45A4F9">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517C7D6F">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4DBC9100">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1C305759">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Merge w:val="continue"/>
            <w:vAlign w:val="center"/>
          </w:tcPr>
          <w:p w14:paraId="2E07AFD0">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6DCB7A89">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重点用能单位使用国家明令淘汰的用能设备，</w:t>
            </w:r>
            <w:r>
              <w:rPr>
                <w:rFonts w:hint="eastAsia" w:ascii="Times New Roman" w:hAnsi="Times New Roman" w:eastAsia="方正仿宋_GBK" w:cs="Times New Roman"/>
                <w:i w:val="0"/>
                <w:iCs w:val="0"/>
                <w:color w:val="000000"/>
                <w:kern w:val="0"/>
                <w:sz w:val="21"/>
                <w:szCs w:val="21"/>
                <w:u w:val="none"/>
                <w:lang w:val="en-US" w:eastAsia="zh-CN" w:bidi="ar"/>
              </w:rPr>
              <w:t>高耗能设备</w:t>
            </w:r>
            <w:r>
              <w:rPr>
                <w:rFonts w:hint="default" w:ascii="Times New Roman" w:hAnsi="Times New Roman" w:eastAsia="方正仿宋_GBK" w:cs="Times New Roman"/>
                <w:i w:val="0"/>
                <w:iCs w:val="0"/>
                <w:color w:val="000000"/>
                <w:kern w:val="0"/>
                <w:sz w:val="21"/>
                <w:szCs w:val="21"/>
                <w:u w:val="none"/>
                <w:lang w:val="en-US" w:eastAsia="zh-CN" w:bidi="ar"/>
              </w:rPr>
              <w:t>的总功率</w:t>
            </w:r>
            <w:r>
              <w:rPr>
                <w:rFonts w:hint="eastAsia" w:ascii="Times New Roman" w:hAnsi="Times New Roman" w:eastAsia="方正仿宋_GBK" w:cs="Times New Roman"/>
                <w:i w:val="0"/>
                <w:iCs w:val="0"/>
                <w:color w:val="000000"/>
                <w:kern w:val="0"/>
                <w:sz w:val="21"/>
                <w:szCs w:val="21"/>
                <w:u w:val="none"/>
                <w:lang w:val="en-US" w:eastAsia="zh-CN" w:bidi="ar"/>
              </w:rPr>
              <w:t>（总容量、总数量）占</w:t>
            </w:r>
            <w:r>
              <w:rPr>
                <w:rFonts w:hint="default" w:ascii="Times New Roman" w:hAnsi="Times New Roman" w:eastAsia="方正仿宋_GBK" w:cs="Times New Roman"/>
                <w:i w:val="0"/>
                <w:iCs w:val="0"/>
                <w:color w:val="000000"/>
                <w:kern w:val="0"/>
                <w:sz w:val="21"/>
                <w:szCs w:val="21"/>
                <w:u w:val="none"/>
                <w:lang w:val="en-US" w:eastAsia="zh-CN" w:bidi="ar"/>
              </w:rPr>
              <w:t>全厂</w:t>
            </w:r>
            <w:r>
              <w:rPr>
                <w:rFonts w:hint="eastAsia" w:ascii="Times New Roman" w:hAnsi="Times New Roman" w:eastAsia="方正仿宋_GBK" w:cs="Times New Roman"/>
                <w:i w:val="0"/>
                <w:iCs w:val="0"/>
                <w:color w:val="000000"/>
                <w:kern w:val="0"/>
                <w:sz w:val="21"/>
                <w:szCs w:val="21"/>
                <w:u w:val="none"/>
                <w:lang w:val="en-US" w:eastAsia="zh-CN" w:bidi="ar"/>
              </w:rPr>
              <w:t>用能设备10</w:t>
            </w:r>
            <w:r>
              <w:rPr>
                <w:rFonts w:hint="default" w:ascii="Times New Roman" w:hAnsi="Times New Roman" w:eastAsia="方正仿宋_GBK" w:cs="Times New Roman"/>
                <w:i w:val="0"/>
                <w:iCs w:val="0"/>
                <w:color w:val="000000"/>
                <w:kern w:val="0"/>
                <w:sz w:val="21"/>
                <w:szCs w:val="21"/>
                <w:u w:val="none"/>
                <w:lang w:val="en-US" w:eastAsia="zh-CN" w:bidi="ar"/>
              </w:rPr>
              <w:t>%以</w:t>
            </w:r>
            <w:r>
              <w:rPr>
                <w:rFonts w:hint="eastAsia" w:ascii="Times New Roman" w:hAnsi="Times New Roman" w:eastAsia="方正仿宋_GBK" w:cs="Times New Roman"/>
                <w:i w:val="0"/>
                <w:iCs w:val="0"/>
                <w:color w:val="000000"/>
                <w:kern w:val="0"/>
                <w:sz w:val="21"/>
                <w:szCs w:val="21"/>
                <w:u w:val="none"/>
                <w:lang w:val="en-US" w:eastAsia="zh-CN" w:bidi="ar"/>
              </w:rPr>
              <w:t>上且20%以内的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6DC629A0">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15" w:rightChars="0" w:firstLine="0" w:firstLineChars="0"/>
              <w:jc w:val="both"/>
              <w:textAlignment w:val="auto"/>
              <w:rPr>
                <w:rFonts w:hint="default" w:ascii="Times New Roman" w:hAnsi="Times New Roman" w:eastAsia="方正仿宋_GBK" w:cs="Times New Roman"/>
                <w:spacing w:val="-2"/>
                <w:sz w:val="21"/>
                <w:szCs w:val="21"/>
                <w:highlight w:val="none"/>
                <w:lang w:val="en-US" w:eastAsia="zh-CN"/>
              </w:rPr>
            </w:pPr>
          </w:p>
        </w:tc>
        <w:tc>
          <w:tcPr>
            <w:tcW w:w="1685" w:type="dxa"/>
            <w:vAlign w:val="center"/>
          </w:tcPr>
          <w:p w14:paraId="79F866C2">
            <w:pPr>
              <w:pStyle w:val="7"/>
              <w:keepNext w:val="0"/>
              <w:keepLines w:val="0"/>
              <w:pageBreakBefore w:val="0"/>
              <w:widowControl w:val="0"/>
              <w:kinsoku/>
              <w:wordWrap/>
              <w:overflowPunct/>
              <w:topLinePunct w:val="0"/>
              <w:autoSpaceDE/>
              <w:autoSpaceDN/>
              <w:bidi w:val="0"/>
              <w:adjustRightInd/>
              <w:snapToGrid/>
              <w:spacing w:line="370" w:lineRule="exact"/>
              <w:ind w:left="0" w:leftChars="0" w:right="0"/>
              <w:jc w:val="center"/>
              <w:textAlignment w:val="auto"/>
              <w:rPr>
                <w:rFonts w:hint="default" w:ascii="Times New Roman" w:hAnsi="Times New Roman" w:eastAsia="方正仿宋_GBK" w:cs="Times New Roman"/>
                <w:spacing w:val="-2"/>
                <w:sz w:val="21"/>
                <w:szCs w:val="21"/>
                <w:highlight w:val="none"/>
              </w:rPr>
            </w:pPr>
            <w:r>
              <w:rPr>
                <w:rFonts w:hint="default" w:ascii="Times New Roman" w:hAnsi="Times New Roman" w:eastAsia="方正仿宋_GBK" w:cs="Times New Roman"/>
                <w:i w:val="0"/>
                <w:iCs w:val="0"/>
                <w:color w:val="000000"/>
                <w:kern w:val="0"/>
                <w:sz w:val="21"/>
                <w:szCs w:val="21"/>
                <w:u w:val="none"/>
                <w:lang w:val="en-US" w:eastAsia="zh-CN" w:bidi="ar"/>
              </w:rPr>
              <w:t>没收</w:t>
            </w:r>
            <w:r>
              <w:rPr>
                <w:rFonts w:hint="default" w:ascii="Times New Roman" w:hAnsi="Times New Roman" w:eastAsia="方正仿宋_GB2312" w:cs="Times New Roman"/>
                <w:i w:val="0"/>
                <w:iCs w:val="0"/>
                <w:caps w:val="0"/>
                <w:color w:val="000000" w:themeColor="text1"/>
                <w:spacing w:val="0"/>
                <w:sz w:val="21"/>
                <w:szCs w:val="21"/>
                <w:highlight w:val="none"/>
                <w:shd w:val="clear" w:fill="FFFFFF"/>
                <w14:textFill>
                  <w14:solidFill>
                    <w14:schemeClr w14:val="tx1"/>
                  </w14:solidFill>
                </w14:textFill>
              </w:rPr>
              <w:t>国家明令淘汰的用能设备</w:t>
            </w:r>
            <w:r>
              <w:rPr>
                <w:rFonts w:hint="default" w:ascii="Times New Roman" w:hAnsi="Times New Roman" w:eastAsia="方正仿宋_GBK" w:cs="Times New Roman"/>
                <w:i w:val="0"/>
                <w:iCs w:val="0"/>
                <w:color w:val="000000"/>
                <w:kern w:val="0"/>
                <w:sz w:val="21"/>
                <w:szCs w:val="21"/>
                <w:u w:val="none"/>
                <w:lang w:val="en-US" w:eastAsia="zh-CN" w:bidi="ar"/>
              </w:rPr>
              <w:t>，并处</w:t>
            </w:r>
            <w:r>
              <w:rPr>
                <w:rFonts w:hint="eastAsia" w:ascii="Times New Roman" w:hAnsi="Times New Roman" w:eastAsia="方正仿宋_GBK" w:cs="Times New Roman"/>
                <w:i w:val="0"/>
                <w:iCs w:val="0"/>
                <w:color w:val="000000"/>
                <w:kern w:val="0"/>
                <w:sz w:val="21"/>
                <w:szCs w:val="21"/>
                <w:u w:val="none"/>
                <w:lang w:val="en-US" w:eastAsia="zh-CN" w:bidi="ar"/>
              </w:rPr>
              <w:t>十</w:t>
            </w:r>
            <w:r>
              <w:rPr>
                <w:rFonts w:hint="default" w:ascii="Times New Roman" w:hAnsi="Times New Roman" w:eastAsia="方正仿宋_GBK" w:cs="Times New Roman"/>
                <w:i w:val="0"/>
                <w:iCs w:val="0"/>
                <w:color w:val="000000"/>
                <w:kern w:val="0"/>
                <w:sz w:val="21"/>
                <w:szCs w:val="21"/>
                <w:u w:val="none"/>
                <w:lang w:val="en-US" w:eastAsia="zh-CN" w:bidi="ar"/>
              </w:rPr>
              <w:t>万</w:t>
            </w:r>
            <w:r>
              <w:rPr>
                <w:rFonts w:hint="eastAsia" w:ascii="Times New Roman" w:hAnsi="Times New Roman" w:eastAsia="方正仿宋_GBK" w:cs="Times New Roman"/>
                <w:i w:val="0"/>
                <w:iCs w:val="0"/>
                <w:color w:val="000000"/>
                <w:kern w:val="0"/>
                <w:sz w:val="21"/>
                <w:szCs w:val="21"/>
                <w:u w:val="none"/>
                <w:lang w:val="en-US" w:eastAsia="zh-CN" w:bidi="ar"/>
              </w:rPr>
              <w:t>元及以上十五万</w:t>
            </w:r>
            <w:r>
              <w:rPr>
                <w:rFonts w:hint="default" w:ascii="Times New Roman" w:hAnsi="Times New Roman" w:eastAsia="方正仿宋_GBK" w:cs="Times New Roman"/>
                <w:i w:val="0"/>
                <w:iCs w:val="0"/>
                <w:color w:val="000000"/>
                <w:kern w:val="0"/>
                <w:sz w:val="21"/>
                <w:szCs w:val="21"/>
                <w:u w:val="none"/>
                <w:lang w:val="en-US" w:eastAsia="zh-CN" w:bidi="ar"/>
              </w:rPr>
              <w:t>元</w:t>
            </w:r>
            <w:r>
              <w:rPr>
                <w:rFonts w:hint="eastAsia" w:ascii="Times New Roman" w:hAnsi="Times New Roman" w:eastAsia="方正仿宋_GBK" w:cs="Times New Roman"/>
                <w:i w:val="0"/>
                <w:iCs w:val="0"/>
                <w:color w:val="000000"/>
                <w:kern w:val="0"/>
                <w:sz w:val="21"/>
                <w:szCs w:val="21"/>
                <w:u w:val="none"/>
                <w:lang w:val="en-US" w:eastAsia="zh-CN" w:bidi="ar"/>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61D0E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vAlign w:val="center"/>
          </w:tcPr>
          <w:p w14:paraId="31D73FA4">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0F10E2D2">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6DDB998E">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75571AD9">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Merge w:val="continue"/>
            <w:vAlign w:val="center"/>
          </w:tcPr>
          <w:p w14:paraId="2E3BF7EC">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71F1FF5C">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重点用能单位使用国家明令淘汰的用能设备，</w:t>
            </w:r>
            <w:r>
              <w:rPr>
                <w:rFonts w:hint="eastAsia" w:ascii="Times New Roman" w:hAnsi="Times New Roman" w:eastAsia="方正仿宋_GBK" w:cs="Times New Roman"/>
                <w:i w:val="0"/>
                <w:iCs w:val="0"/>
                <w:color w:val="000000"/>
                <w:kern w:val="0"/>
                <w:sz w:val="21"/>
                <w:szCs w:val="21"/>
                <w:u w:val="none"/>
                <w:lang w:val="en-US" w:eastAsia="zh-CN" w:bidi="ar"/>
              </w:rPr>
              <w:t>高耗能设备</w:t>
            </w:r>
            <w:r>
              <w:rPr>
                <w:rFonts w:hint="default" w:ascii="Times New Roman" w:hAnsi="Times New Roman" w:eastAsia="方正仿宋_GBK" w:cs="Times New Roman"/>
                <w:i w:val="0"/>
                <w:iCs w:val="0"/>
                <w:color w:val="000000"/>
                <w:kern w:val="0"/>
                <w:sz w:val="21"/>
                <w:szCs w:val="21"/>
                <w:u w:val="none"/>
                <w:lang w:val="en-US" w:eastAsia="zh-CN" w:bidi="ar"/>
              </w:rPr>
              <w:t>的总功率</w:t>
            </w:r>
            <w:r>
              <w:rPr>
                <w:rFonts w:hint="eastAsia" w:ascii="Times New Roman" w:hAnsi="Times New Roman" w:eastAsia="方正仿宋_GBK" w:cs="Times New Roman"/>
                <w:i w:val="0"/>
                <w:iCs w:val="0"/>
                <w:color w:val="000000"/>
                <w:kern w:val="0"/>
                <w:sz w:val="21"/>
                <w:szCs w:val="21"/>
                <w:u w:val="none"/>
                <w:lang w:val="en-US" w:eastAsia="zh-CN" w:bidi="ar"/>
              </w:rPr>
              <w:t>（总容量、总数量）占</w:t>
            </w:r>
            <w:r>
              <w:rPr>
                <w:rFonts w:hint="default" w:ascii="Times New Roman" w:hAnsi="Times New Roman" w:eastAsia="方正仿宋_GBK" w:cs="Times New Roman"/>
                <w:i w:val="0"/>
                <w:iCs w:val="0"/>
                <w:color w:val="000000"/>
                <w:kern w:val="0"/>
                <w:sz w:val="21"/>
                <w:szCs w:val="21"/>
                <w:u w:val="none"/>
                <w:lang w:val="en-US" w:eastAsia="zh-CN" w:bidi="ar"/>
              </w:rPr>
              <w:t>全厂</w:t>
            </w:r>
            <w:r>
              <w:rPr>
                <w:rFonts w:hint="eastAsia" w:ascii="Times New Roman" w:hAnsi="Times New Roman" w:eastAsia="方正仿宋_GBK" w:cs="Times New Roman"/>
                <w:i w:val="0"/>
                <w:iCs w:val="0"/>
                <w:color w:val="000000"/>
                <w:kern w:val="0"/>
                <w:sz w:val="21"/>
                <w:szCs w:val="21"/>
                <w:u w:val="none"/>
                <w:lang w:val="en-US" w:eastAsia="zh-CN" w:bidi="ar"/>
              </w:rPr>
              <w:t>用能设备20</w:t>
            </w:r>
            <w:r>
              <w:rPr>
                <w:rFonts w:hint="default" w:ascii="Times New Roman" w:hAnsi="Times New Roman" w:eastAsia="方正仿宋_GBK" w:cs="Times New Roman"/>
                <w:i w:val="0"/>
                <w:iCs w:val="0"/>
                <w:color w:val="000000"/>
                <w:kern w:val="0"/>
                <w:sz w:val="21"/>
                <w:szCs w:val="21"/>
                <w:u w:val="none"/>
                <w:lang w:val="en-US" w:eastAsia="zh-CN" w:bidi="ar"/>
              </w:rPr>
              <w:t>%以</w:t>
            </w:r>
            <w:r>
              <w:rPr>
                <w:rFonts w:hint="eastAsia" w:ascii="Times New Roman" w:hAnsi="Times New Roman" w:eastAsia="方正仿宋_GBK" w:cs="Times New Roman"/>
                <w:i w:val="0"/>
                <w:iCs w:val="0"/>
                <w:color w:val="000000"/>
                <w:kern w:val="0"/>
                <w:sz w:val="21"/>
                <w:szCs w:val="21"/>
                <w:u w:val="none"/>
                <w:lang w:val="en-US" w:eastAsia="zh-CN" w:bidi="ar"/>
              </w:rPr>
              <w:t>上的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7F006491">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15" w:rightChars="0" w:firstLine="0" w:firstLineChars="0"/>
              <w:jc w:val="both"/>
              <w:textAlignment w:val="auto"/>
              <w:rPr>
                <w:rFonts w:hint="default" w:ascii="Times New Roman" w:hAnsi="Times New Roman" w:eastAsia="方正仿宋_GBK" w:cs="Times New Roman"/>
                <w:spacing w:val="-2"/>
                <w:sz w:val="21"/>
                <w:szCs w:val="21"/>
                <w:highlight w:val="none"/>
                <w:lang w:val="en-US" w:eastAsia="zh-CN"/>
              </w:rPr>
            </w:pPr>
          </w:p>
        </w:tc>
        <w:tc>
          <w:tcPr>
            <w:tcW w:w="1685" w:type="dxa"/>
            <w:vAlign w:val="center"/>
          </w:tcPr>
          <w:p w14:paraId="562CE760">
            <w:pPr>
              <w:pStyle w:val="7"/>
              <w:keepNext w:val="0"/>
              <w:keepLines w:val="0"/>
              <w:pageBreakBefore w:val="0"/>
              <w:widowControl w:val="0"/>
              <w:kinsoku/>
              <w:wordWrap/>
              <w:overflowPunct/>
              <w:topLinePunct w:val="0"/>
              <w:autoSpaceDE/>
              <w:autoSpaceDN/>
              <w:bidi w:val="0"/>
              <w:adjustRightInd/>
              <w:snapToGrid/>
              <w:spacing w:line="370" w:lineRule="exact"/>
              <w:ind w:left="0" w:leftChars="0" w:right="0"/>
              <w:jc w:val="center"/>
              <w:textAlignment w:val="auto"/>
              <w:rPr>
                <w:rFonts w:hint="default" w:ascii="Times New Roman" w:hAnsi="Times New Roman" w:eastAsia="方正仿宋_GBK" w:cs="Times New Roman"/>
                <w:spacing w:val="-2"/>
                <w:sz w:val="21"/>
                <w:szCs w:val="21"/>
                <w:highlight w:val="none"/>
              </w:rPr>
            </w:pPr>
            <w:r>
              <w:rPr>
                <w:rFonts w:hint="default" w:ascii="Times New Roman" w:hAnsi="Times New Roman" w:eastAsia="方正仿宋_GBK" w:cs="Times New Roman"/>
                <w:i w:val="0"/>
                <w:iCs w:val="0"/>
                <w:color w:val="000000"/>
                <w:kern w:val="0"/>
                <w:sz w:val="21"/>
                <w:szCs w:val="21"/>
                <w:u w:val="none"/>
                <w:lang w:val="en-US" w:eastAsia="zh-CN" w:bidi="ar"/>
              </w:rPr>
              <w:t>没收</w:t>
            </w:r>
            <w:r>
              <w:rPr>
                <w:rFonts w:hint="default" w:ascii="Times New Roman" w:hAnsi="Times New Roman" w:eastAsia="方正仿宋_GB2312" w:cs="Times New Roman"/>
                <w:i w:val="0"/>
                <w:iCs w:val="0"/>
                <w:caps w:val="0"/>
                <w:color w:val="000000" w:themeColor="text1"/>
                <w:spacing w:val="0"/>
                <w:sz w:val="21"/>
                <w:szCs w:val="21"/>
                <w:highlight w:val="none"/>
                <w:shd w:val="clear" w:fill="FFFFFF"/>
                <w14:textFill>
                  <w14:solidFill>
                    <w14:schemeClr w14:val="tx1"/>
                  </w14:solidFill>
                </w14:textFill>
              </w:rPr>
              <w:t>国家明令淘汰的用能设备</w:t>
            </w:r>
            <w:r>
              <w:rPr>
                <w:rFonts w:hint="default" w:ascii="Times New Roman" w:hAnsi="Times New Roman" w:eastAsia="方正仿宋_GBK" w:cs="Times New Roman"/>
                <w:i w:val="0"/>
                <w:iCs w:val="0"/>
                <w:color w:val="000000"/>
                <w:kern w:val="0"/>
                <w:sz w:val="21"/>
                <w:szCs w:val="21"/>
                <w:u w:val="none"/>
                <w:lang w:val="en-US" w:eastAsia="zh-CN" w:bidi="ar"/>
              </w:rPr>
              <w:t>，并处</w:t>
            </w:r>
            <w:r>
              <w:rPr>
                <w:rFonts w:hint="eastAsia" w:ascii="Times New Roman" w:hAnsi="Times New Roman" w:eastAsia="方正仿宋_GBK" w:cs="Times New Roman"/>
                <w:i w:val="0"/>
                <w:iCs w:val="0"/>
                <w:color w:val="000000"/>
                <w:kern w:val="0"/>
                <w:sz w:val="21"/>
                <w:szCs w:val="21"/>
                <w:u w:val="none"/>
                <w:lang w:val="en-US" w:eastAsia="zh-CN" w:bidi="ar"/>
              </w:rPr>
              <w:t>十五万元及以上二十</w:t>
            </w:r>
            <w:r>
              <w:rPr>
                <w:rFonts w:hint="default" w:ascii="Times New Roman" w:hAnsi="Times New Roman" w:eastAsia="方正仿宋_GBK" w:cs="Times New Roman"/>
                <w:i w:val="0"/>
                <w:iCs w:val="0"/>
                <w:color w:val="000000"/>
                <w:kern w:val="0"/>
                <w:sz w:val="21"/>
                <w:szCs w:val="21"/>
                <w:u w:val="none"/>
                <w:lang w:val="en-US" w:eastAsia="zh-CN" w:bidi="ar"/>
              </w:rPr>
              <w:t>万元</w:t>
            </w:r>
            <w:r>
              <w:rPr>
                <w:rFonts w:hint="eastAsia" w:ascii="Times New Roman" w:hAnsi="Times New Roman" w:eastAsia="方正仿宋_GBK" w:cs="Times New Roman"/>
                <w:i w:val="0"/>
                <w:iCs w:val="0"/>
                <w:color w:val="000000"/>
                <w:kern w:val="0"/>
                <w:sz w:val="21"/>
                <w:szCs w:val="21"/>
                <w:u w:val="none"/>
                <w:lang w:val="en-US" w:eastAsia="zh-CN" w:bidi="ar"/>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323901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vAlign w:val="center"/>
          </w:tcPr>
          <w:p w14:paraId="35C7F498">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2A174F9A">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108F260A">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016A1E2D">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Merge w:val="continue"/>
            <w:vAlign w:val="center"/>
          </w:tcPr>
          <w:p w14:paraId="2CAFD55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3EA48372">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重点用能单位使用国家明令淘汰的</w:t>
            </w:r>
            <w:r>
              <w:rPr>
                <w:rFonts w:hint="eastAsia" w:ascii="Times New Roman" w:hAnsi="Times New Roman" w:eastAsia="方正仿宋_GBK" w:cs="Times New Roman"/>
                <w:i w:val="0"/>
                <w:iCs w:val="0"/>
                <w:color w:val="000000"/>
                <w:kern w:val="0"/>
                <w:sz w:val="21"/>
                <w:szCs w:val="21"/>
                <w:u w:val="none"/>
                <w:lang w:val="en-US" w:eastAsia="zh-CN" w:bidi="ar"/>
              </w:rPr>
              <w:t>生产工艺的。</w:t>
            </w:r>
          </w:p>
        </w:tc>
        <w:tc>
          <w:tcPr>
            <w:tcW w:w="653" w:type="dxa"/>
            <w:vMerge w:val="continue"/>
            <w:vAlign w:val="center"/>
          </w:tcPr>
          <w:p w14:paraId="6FCF1FDF">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15" w:rightChars="0" w:firstLine="0" w:firstLineChars="0"/>
              <w:jc w:val="both"/>
              <w:textAlignment w:val="auto"/>
              <w:rPr>
                <w:rFonts w:hint="default" w:ascii="Times New Roman" w:hAnsi="Times New Roman" w:eastAsia="方正仿宋_GBK" w:cs="Times New Roman"/>
                <w:spacing w:val="-2"/>
                <w:sz w:val="21"/>
                <w:szCs w:val="21"/>
                <w:highlight w:val="none"/>
                <w:lang w:val="en-US" w:eastAsia="zh-CN"/>
              </w:rPr>
            </w:pPr>
          </w:p>
        </w:tc>
        <w:tc>
          <w:tcPr>
            <w:tcW w:w="1685" w:type="dxa"/>
            <w:vAlign w:val="center"/>
          </w:tcPr>
          <w:p w14:paraId="355A4FE1">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责令停止使用，处</w:t>
            </w:r>
            <w:r>
              <w:rPr>
                <w:rFonts w:hint="eastAsia" w:ascii="Times New Roman" w:hAnsi="Times New Roman" w:eastAsia="方正仿宋_GBK" w:cs="Times New Roman"/>
                <w:i w:val="0"/>
                <w:iCs w:val="0"/>
                <w:color w:val="000000"/>
                <w:kern w:val="0"/>
                <w:sz w:val="21"/>
                <w:szCs w:val="21"/>
                <w:u w:val="none"/>
                <w:lang w:val="en-US" w:eastAsia="zh-CN" w:bidi="ar"/>
              </w:rPr>
              <w:t>十五万元及以上二十</w:t>
            </w:r>
            <w:r>
              <w:rPr>
                <w:rFonts w:hint="default" w:ascii="Times New Roman" w:hAnsi="Times New Roman" w:eastAsia="方正仿宋_GBK" w:cs="Times New Roman"/>
                <w:i w:val="0"/>
                <w:iCs w:val="0"/>
                <w:color w:val="000000"/>
                <w:kern w:val="0"/>
                <w:sz w:val="21"/>
                <w:szCs w:val="21"/>
                <w:u w:val="none"/>
                <w:lang w:val="en-US" w:eastAsia="zh-CN" w:bidi="ar"/>
              </w:rPr>
              <w:t>万元</w:t>
            </w:r>
            <w:r>
              <w:rPr>
                <w:rFonts w:hint="eastAsia" w:ascii="Times New Roman" w:hAnsi="Times New Roman" w:eastAsia="方正仿宋_GBK" w:cs="Times New Roman"/>
                <w:i w:val="0"/>
                <w:iCs w:val="0"/>
                <w:color w:val="000000"/>
                <w:kern w:val="0"/>
                <w:sz w:val="21"/>
                <w:szCs w:val="21"/>
                <w:u w:val="none"/>
                <w:lang w:val="en-US" w:eastAsia="zh-CN" w:bidi="ar"/>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33C04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0" w:hRule="atLeast"/>
          <w:jc w:val="center"/>
        </w:trPr>
        <w:tc>
          <w:tcPr>
            <w:tcW w:w="512" w:type="dxa"/>
            <w:vMerge w:val="continue"/>
            <w:vAlign w:val="center"/>
          </w:tcPr>
          <w:p w14:paraId="5A3D5B99">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5CDB15B9">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4B0A5A03">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75C8B96C">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Align w:val="center"/>
          </w:tcPr>
          <w:p w14:paraId="5E2098C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严重</w:t>
            </w:r>
          </w:p>
        </w:tc>
        <w:tc>
          <w:tcPr>
            <w:tcW w:w="3959" w:type="dxa"/>
            <w:shd w:val="clear" w:color="auto" w:fill="auto"/>
            <w:vAlign w:val="center"/>
          </w:tcPr>
          <w:p w14:paraId="36A2C4FA">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用能单位使用国家明令淘汰的</w:t>
            </w:r>
            <w:r>
              <w:rPr>
                <w:rFonts w:hint="eastAsia" w:ascii="Times New Roman" w:hAnsi="Times New Roman" w:eastAsia="方正仿宋_GBK" w:cs="Times New Roman"/>
                <w:i w:val="0"/>
                <w:iCs w:val="0"/>
                <w:color w:val="000000"/>
                <w:kern w:val="0"/>
                <w:sz w:val="21"/>
                <w:szCs w:val="21"/>
                <w:u w:val="none"/>
                <w:lang w:val="en-US" w:eastAsia="zh-CN" w:bidi="ar"/>
              </w:rPr>
              <w:t>生产工艺，拒不淘汰或继续使用满1年的。</w:t>
            </w:r>
          </w:p>
        </w:tc>
        <w:tc>
          <w:tcPr>
            <w:tcW w:w="653" w:type="dxa"/>
            <w:vAlign w:val="center"/>
          </w:tcPr>
          <w:p w14:paraId="24923219">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15" w:rightChars="0" w:firstLine="0" w:firstLineChars="0"/>
              <w:jc w:val="center"/>
              <w:textAlignment w:val="auto"/>
              <w:rPr>
                <w:rFonts w:hint="default" w:ascii="Times New Roman" w:hAnsi="Times New Roman" w:eastAsia="方正仿宋_GBK" w:cs="Times New Roman"/>
                <w:spacing w:val="-2"/>
                <w:sz w:val="21"/>
                <w:szCs w:val="21"/>
                <w:highlight w:val="none"/>
                <w:lang w:val="en-US" w:eastAsia="zh-CN"/>
              </w:rPr>
            </w:pPr>
            <w:r>
              <w:rPr>
                <w:rFonts w:hint="default" w:ascii="Times New Roman" w:hAnsi="Times New Roman" w:eastAsia="方正仿宋_GBK" w:cs="Times New Roman"/>
                <w:spacing w:val="-2"/>
                <w:sz w:val="21"/>
                <w:szCs w:val="21"/>
                <w:highlight w:val="none"/>
                <w:lang w:val="en-US" w:eastAsia="zh-CN"/>
              </w:rPr>
              <w:t>从重</w:t>
            </w:r>
          </w:p>
        </w:tc>
        <w:tc>
          <w:tcPr>
            <w:tcW w:w="1685" w:type="dxa"/>
            <w:vAlign w:val="center"/>
          </w:tcPr>
          <w:p w14:paraId="015751DA">
            <w:pPr>
              <w:pStyle w:val="7"/>
              <w:keepNext w:val="0"/>
              <w:keepLines w:val="0"/>
              <w:pageBreakBefore w:val="0"/>
              <w:widowControl w:val="0"/>
              <w:kinsoku/>
              <w:wordWrap/>
              <w:overflowPunct/>
              <w:topLinePunct w:val="0"/>
              <w:autoSpaceDE/>
              <w:autoSpaceDN/>
              <w:bidi w:val="0"/>
              <w:adjustRightInd/>
              <w:snapToGrid/>
              <w:spacing w:line="370" w:lineRule="exact"/>
              <w:ind w:left="0" w:leftChars="0" w:right="0"/>
              <w:jc w:val="center"/>
              <w:textAlignment w:val="auto"/>
              <w:rPr>
                <w:rFonts w:hint="default" w:ascii="Times New Roman" w:hAnsi="Times New Roman" w:eastAsia="方正仿宋_GBK" w:cs="Times New Roman"/>
                <w:spacing w:val="-2"/>
                <w:sz w:val="21"/>
                <w:szCs w:val="21"/>
                <w:highlight w:val="none"/>
              </w:rPr>
            </w:pPr>
            <w:r>
              <w:rPr>
                <w:rFonts w:hint="default" w:ascii="Times New Roman" w:hAnsi="Times New Roman" w:eastAsia="方正仿宋_GBK" w:cs="Times New Roman"/>
                <w:spacing w:val="-2"/>
                <w:sz w:val="21"/>
                <w:szCs w:val="21"/>
                <w:highlight w:val="none"/>
              </w:rPr>
              <w:t>报请本级人民政府责令停业整顿或者关闭</w:t>
            </w:r>
          </w:p>
        </w:tc>
      </w:tr>
      <w:tr w14:paraId="3DFD7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2" w:type="dxa"/>
            <w:vMerge w:val="continue"/>
            <w:vAlign w:val="center"/>
          </w:tcPr>
          <w:p w14:paraId="7CA01718">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rPr>
            </w:pPr>
          </w:p>
        </w:tc>
        <w:tc>
          <w:tcPr>
            <w:tcW w:w="1296" w:type="dxa"/>
            <w:vMerge w:val="continue"/>
            <w:vAlign w:val="center"/>
          </w:tcPr>
          <w:p w14:paraId="2E7440E4">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p>
        </w:tc>
        <w:tc>
          <w:tcPr>
            <w:tcW w:w="3244" w:type="dxa"/>
            <w:vMerge w:val="continue"/>
          </w:tcPr>
          <w:p w14:paraId="216F9661">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3398" w:type="dxa"/>
            <w:vMerge w:val="continue"/>
          </w:tcPr>
          <w:p w14:paraId="0F5CB99F">
            <w:pPr>
              <w:keepNext w:val="0"/>
              <w:keepLines w:val="0"/>
              <w:pageBreakBefore w:val="0"/>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sz w:val="21"/>
                <w:szCs w:val="21"/>
                <w:highlight w:val="none"/>
                <w:vertAlign w:val="baseline"/>
              </w:rPr>
            </w:pPr>
          </w:p>
        </w:tc>
        <w:tc>
          <w:tcPr>
            <w:tcW w:w="715" w:type="dxa"/>
            <w:vAlign w:val="center"/>
          </w:tcPr>
          <w:p w14:paraId="0350E96A">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3E1E221E">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p>
        </w:tc>
        <w:tc>
          <w:tcPr>
            <w:tcW w:w="653" w:type="dxa"/>
            <w:vAlign w:val="center"/>
          </w:tcPr>
          <w:p w14:paraId="17C5B040">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15" w:rightChars="0" w:firstLine="0" w:firstLineChars="0"/>
              <w:jc w:val="center"/>
              <w:textAlignment w:val="auto"/>
              <w:rPr>
                <w:rFonts w:hint="default" w:ascii="Times New Roman" w:hAnsi="Times New Roman" w:eastAsia="方正仿宋_GBK" w:cs="Times New Roman"/>
                <w:spacing w:val="-2"/>
                <w:sz w:val="21"/>
                <w:szCs w:val="21"/>
                <w:highlight w:val="none"/>
                <w:lang w:val="en-US" w:eastAsia="zh-CN"/>
              </w:rPr>
            </w:pPr>
          </w:p>
        </w:tc>
        <w:tc>
          <w:tcPr>
            <w:tcW w:w="1685" w:type="dxa"/>
            <w:vAlign w:val="center"/>
          </w:tcPr>
          <w:p w14:paraId="31684F09">
            <w:pPr>
              <w:pStyle w:val="7"/>
              <w:keepNext w:val="0"/>
              <w:keepLines w:val="0"/>
              <w:pageBreakBefore w:val="0"/>
              <w:widowControl w:val="0"/>
              <w:kinsoku/>
              <w:wordWrap/>
              <w:overflowPunct/>
              <w:topLinePunct w:val="0"/>
              <w:autoSpaceDE/>
              <w:autoSpaceDN/>
              <w:bidi w:val="0"/>
              <w:adjustRightInd/>
              <w:snapToGrid/>
              <w:spacing w:line="370" w:lineRule="exact"/>
              <w:ind w:left="0" w:leftChars="0" w:right="0"/>
              <w:jc w:val="both"/>
              <w:textAlignment w:val="auto"/>
              <w:rPr>
                <w:rFonts w:hint="default" w:ascii="Times New Roman" w:hAnsi="Times New Roman" w:eastAsia="方正仿宋_GBK" w:cs="Times New Roman"/>
                <w:spacing w:val="-2"/>
                <w:sz w:val="21"/>
                <w:szCs w:val="21"/>
                <w:highlight w:val="none"/>
              </w:rPr>
            </w:pPr>
          </w:p>
        </w:tc>
      </w:tr>
      <w:tr w14:paraId="15C4F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2" w:type="dxa"/>
            <w:vMerge w:val="restart"/>
            <w:vAlign w:val="center"/>
          </w:tcPr>
          <w:p w14:paraId="0B0F122F">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K" w:cs="Times New Roman"/>
                <w:sz w:val="21"/>
                <w:szCs w:val="21"/>
                <w:highlight w:val="none"/>
                <w:vertAlign w:val="baseline"/>
                <w:lang w:val="en-US" w:eastAsia="zh-CN"/>
              </w:rPr>
              <w:t>3</w:t>
            </w:r>
          </w:p>
        </w:tc>
        <w:tc>
          <w:tcPr>
            <w:tcW w:w="1296" w:type="dxa"/>
            <w:vMerge w:val="restart"/>
            <w:shd w:val="clear" w:color="auto" w:fill="auto"/>
            <w:vAlign w:val="center"/>
          </w:tcPr>
          <w:p w14:paraId="3F9C303F">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35BD78AC">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kern w:val="2"/>
                <w:sz w:val="21"/>
                <w:szCs w:val="21"/>
                <w:highlight w:val="none"/>
                <w:shd w:val="clear" w:fill="FFFFFF"/>
                <w:lang w:val="en-US" w:eastAsia="zh-CN" w:bidi="ar-SA"/>
              </w:rPr>
            </w:pPr>
            <w:r>
              <w:rPr>
                <w:rFonts w:hint="default" w:ascii="Times New Roman" w:hAnsi="Times New Roman" w:eastAsia="方正仿宋_GBK" w:cs="Times New Roman"/>
                <w:i w:val="0"/>
                <w:iCs w:val="0"/>
                <w:caps w:val="0"/>
                <w:color w:val="000000"/>
                <w:spacing w:val="0"/>
                <w:sz w:val="21"/>
                <w:szCs w:val="21"/>
                <w:highlight w:val="none"/>
                <w:shd w:val="clear" w:fill="FFFFFF"/>
              </w:rPr>
              <w:t>转让国家明令淘汰的设备的处罚</w:t>
            </w:r>
          </w:p>
        </w:tc>
        <w:tc>
          <w:tcPr>
            <w:tcW w:w="3244" w:type="dxa"/>
            <w:vMerge w:val="restart"/>
            <w:vAlign w:val="center"/>
          </w:tcPr>
          <w:p w14:paraId="75D373A7">
            <w:pPr>
              <w:keepNext w:val="0"/>
              <w:keepLines w:val="0"/>
              <w:pageBreakBefore w:val="0"/>
              <w:widowControl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eastAsia="zh-CN"/>
              </w:rPr>
              <w:t>地方性法规</w:t>
            </w:r>
            <w:r>
              <w:rPr>
                <w:rFonts w:hint="default" w:ascii="Times New Roman" w:hAnsi="Times New Roman" w:eastAsia="方正仿宋_GBK" w:cs="Times New Roman"/>
                <w:i w:val="0"/>
                <w:iCs w:val="0"/>
                <w:caps w:val="0"/>
                <w:color w:val="000000"/>
                <w:spacing w:val="0"/>
                <w:sz w:val="21"/>
                <w:szCs w:val="21"/>
                <w:highlight w:val="none"/>
                <w:shd w:val="clear" w:fill="FFFFFF"/>
              </w:rPr>
              <w:t>】《江苏省节约能源条例》</w:t>
            </w:r>
          </w:p>
          <w:p w14:paraId="46EEC850">
            <w:pPr>
              <w:keepNext w:val="0"/>
              <w:keepLines w:val="0"/>
              <w:pageBreakBefore w:val="0"/>
              <w:widowControl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b/>
                <w:bCs/>
                <w:i w:val="0"/>
                <w:iCs w:val="0"/>
                <w:caps w:val="0"/>
                <w:color w:val="000000"/>
                <w:spacing w:val="0"/>
                <w:sz w:val="21"/>
                <w:szCs w:val="21"/>
                <w:highlight w:val="none"/>
                <w:shd w:val="clear" w:fill="FFFFFF"/>
                <w:lang w:val="en-US" w:eastAsia="zh-CN"/>
              </w:rPr>
              <w:t xml:space="preserve">第三十九条 </w:t>
            </w:r>
            <w:r>
              <w:rPr>
                <w:rFonts w:hint="default" w:ascii="Times New Roman" w:hAnsi="Times New Roman" w:eastAsia="方正仿宋_GBK" w:cs="Times New Roman"/>
                <w:i w:val="0"/>
                <w:iCs w:val="0"/>
                <w:caps w:val="0"/>
                <w:color w:val="000000"/>
                <w:spacing w:val="0"/>
                <w:sz w:val="21"/>
                <w:szCs w:val="21"/>
                <w:highlight w:val="none"/>
                <w:shd w:val="clear" w:fill="FFFFFF"/>
              </w:rPr>
              <w:t>用能单位和个人应当依法履行节能义务，不得有下列行为：（一）生产、进口、销售或者转让国家明令淘汰或者不符合强制性能源效率标准的用能产品、设备；</w:t>
            </w:r>
            <w:r>
              <w:rPr>
                <w:rFonts w:hint="default" w:ascii="Times New Roman" w:hAnsi="Times New Roman" w:eastAsia="方正仿宋_GBK" w:cs="Times New Roman"/>
                <w:i w:val="0"/>
                <w:iCs w:val="0"/>
                <w:caps w:val="0"/>
                <w:color w:val="000000"/>
                <w:spacing w:val="0"/>
                <w:sz w:val="21"/>
                <w:szCs w:val="21"/>
                <w:highlight w:val="none"/>
                <w:shd w:val="clear" w:fill="FFFFFF"/>
              </w:rPr>
              <w:br w:type="textWrapping"/>
            </w:r>
          </w:p>
        </w:tc>
        <w:tc>
          <w:tcPr>
            <w:tcW w:w="3398" w:type="dxa"/>
            <w:vMerge w:val="restart"/>
            <w:vAlign w:val="center"/>
          </w:tcPr>
          <w:p w14:paraId="1D447CD3">
            <w:pPr>
              <w:keepNext w:val="0"/>
              <w:keepLines w:val="0"/>
              <w:pageBreakBefore w:val="0"/>
              <w:widowControl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eastAsia="zh-CN"/>
              </w:rPr>
              <w:t>地方性法规</w:t>
            </w:r>
            <w:r>
              <w:rPr>
                <w:rFonts w:hint="default" w:ascii="Times New Roman" w:hAnsi="Times New Roman" w:eastAsia="方正仿宋_GBK" w:cs="Times New Roman"/>
                <w:i w:val="0"/>
                <w:iCs w:val="0"/>
                <w:caps w:val="0"/>
                <w:color w:val="000000"/>
                <w:spacing w:val="0"/>
                <w:sz w:val="21"/>
                <w:szCs w:val="21"/>
                <w:highlight w:val="none"/>
                <w:shd w:val="clear" w:fill="FFFFFF"/>
              </w:rPr>
              <w:t>】《江苏省节约能源条例》</w:t>
            </w:r>
          </w:p>
          <w:p w14:paraId="7E343009">
            <w:pPr>
              <w:keepNext w:val="0"/>
              <w:keepLines w:val="0"/>
              <w:pageBreakBefore w:val="0"/>
              <w:widowControl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K" w:cs="Times New Roman"/>
                <w:b/>
                <w:bCs/>
                <w:i w:val="0"/>
                <w:iCs w:val="0"/>
                <w:caps w:val="0"/>
                <w:color w:val="000000"/>
                <w:spacing w:val="0"/>
                <w:sz w:val="21"/>
                <w:szCs w:val="21"/>
                <w:highlight w:val="none"/>
                <w:shd w:val="clear" w:fill="FFFFFF"/>
                <w:lang w:val="en-US" w:eastAsia="zh-CN"/>
              </w:rPr>
            </w:pPr>
            <w:r>
              <w:rPr>
                <w:rFonts w:hint="default" w:ascii="Times New Roman" w:hAnsi="Times New Roman" w:eastAsia="方正仿宋_GBK" w:cs="Times New Roman"/>
                <w:b/>
                <w:bCs/>
                <w:i w:val="0"/>
                <w:iCs w:val="0"/>
                <w:caps w:val="0"/>
                <w:color w:val="000000"/>
                <w:spacing w:val="0"/>
                <w:sz w:val="21"/>
                <w:szCs w:val="21"/>
                <w:highlight w:val="none"/>
                <w:shd w:val="clear" w:fill="FFFFFF"/>
                <w:lang w:val="en-US" w:eastAsia="zh-CN"/>
              </w:rPr>
              <w:t>第五十一条</w:t>
            </w:r>
            <w:r>
              <w:rPr>
                <w:rFonts w:hint="default" w:ascii="Times New Roman" w:hAnsi="Times New Roman" w:eastAsia="方正仿宋_GBK" w:cs="Times New Roman"/>
                <w:i w:val="0"/>
                <w:iCs w:val="0"/>
                <w:caps w:val="0"/>
                <w:color w:val="000000"/>
                <w:spacing w:val="0"/>
                <w:sz w:val="21"/>
                <w:szCs w:val="21"/>
                <w:highlight w:val="none"/>
                <w:shd w:val="clear" w:fill="FFFFFF"/>
              </w:rPr>
              <w:t> </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K" w:cs="Times New Roman"/>
                <w:i w:val="0"/>
                <w:iCs w:val="0"/>
                <w:caps w:val="0"/>
                <w:color w:val="000000"/>
                <w:spacing w:val="0"/>
                <w:sz w:val="21"/>
                <w:szCs w:val="21"/>
                <w:highlight w:val="none"/>
                <w:shd w:val="clear" w:fill="FFFFFF"/>
              </w:rPr>
              <w:t>违反本条例第三十九条第（一）项规定，转让国家明令淘汰的设备的，由节能主管部门处以二万元以上五万元以下罚款。</w:t>
            </w:r>
          </w:p>
        </w:tc>
        <w:tc>
          <w:tcPr>
            <w:tcW w:w="715" w:type="dxa"/>
            <w:vMerge w:val="restart"/>
            <w:vAlign w:val="center"/>
          </w:tcPr>
          <w:p w14:paraId="2ED9FA5F">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K" w:cs="Times New Roman"/>
                <w:sz w:val="21"/>
                <w:szCs w:val="21"/>
                <w:highlight w:val="none"/>
                <w:vertAlign w:val="baseline"/>
                <w:lang w:val="en-US" w:eastAsia="zh-CN"/>
              </w:rPr>
            </w:pPr>
          </w:p>
          <w:p w14:paraId="43187095">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p w14:paraId="2DF0AA1B">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7A5EAD7D">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2312" w:cs="Times New Roman"/>
                <w:spacing w:val="-4"/>
                <w:sz w:val="21"/>
                <w:szCs w:val="21"/>
                <w:highlight w:val="none"/>
                <w:lang w:val="en-US" w:eastAsia="zh-CN"/>
              </w:rPr>
            </w:pPr>
            <w:r>
              <w:rPr>
                <w:rFonts w:hint="default" w:ascii="Times New Roman" w:hAnsi="Times New Roman" w:eastAsia="方正仿宋_GBK" w:cs="Times New Roman"/>
                <w:i w:val="0"/>
                <w:iCs w:val="0"/>
                <w:color w:val="000000"/>
                <w:kern w:val="0"/>
                <w:sz w:val="21"/>
                <w:szCs w:val="21"/>
                <w:u w:val="none"/>
                <w:lang w:val="en-US" w:eastAsia="zh-CN" w:bidi="ar"/>
              </w:rPr>
              <w:t xml:space="preserve">转让国家明令淘汰的设备，违法所得在二万元以下的。 </w:t>
            </w:r>
          </w:p>
        </w:tc>
        <w:tc>
          <w:tcPr>
            <w:tcW w:w="653" w:type="dxa"/>
            <w:vMerge w:val="restart"/>
            <w:shd w:val="clear" w:color="auto" w:fill="auto"/>
            <w:vAlign w:val="center"/>
          </w:tcPr>
          <w:p w14:paraId="4EE2C1A5">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K" w:cs="Times New Roman"/>
                <w:sz w:val="21"/>
                <w:szCs w:val="21"/>
                <w:highlight w:val="none"/>
                <w:vertAlign w:val="baseline"/>
                <w:lang w:val="en-US" w:eastAsia="zh-CN"/>
              </w:rPr>
            </w:pPr>
          </w:p>
          <w:p w14:paraId="2C93BB1C">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p w14:paraId="7052347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kern w:val="2"/>
                <w:sz w:val="21"/>
                <w:szCs w:val="21"/>
                <w:highlight w:val="none"/>
                <w:vertAlign w:val="baseline"/>
                <w:lang w:val="en-US" w:eastAsia="zh-CN" w:bidi="ar-SA"/>
              </w:rPr>
            </w:pPr>
          </w:p>
          <w:p w14:paraId="5374BB24">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0" w:rightChars="0" w:firstLine="0" w:firstLineChars="0"/>
              <w:jc w:val="center"/>
              <w:textAlignment w:val="auto"/>
              <w:rPr>
                <w:rFonts w:hint="default" w:ascii="Times New Roman" w:hAnsi="Times New Roman" w:eastAsia="方正仿宋_GB2312" w:cs="Times New Roman"/>
                <w:spacing w:val="-2"/>
                <w:sz w:val="21"/>
                <w:szCs w:val="21"/>
                <w:highlight w:val="none"/>
                <w:lang w:val="en-US" w:eastAsia="zh-CN"/>
              </w:rPr>
            </w:pPr>
          </w:p>
        </w:tc>
        <w:tc>
          <w:tcPr>
            <w:tcW w:w="1685" w:type="dxa"/>
            <w:shd w:val="clear" w:color="auto" w:fill="auto"/>
            <w:vAlign w:val="center"/>
          </w:tcPr>
          <w:p w14:paraId="6A3DAA74">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2312" w:cs="Times New Roman"/>
                <w:spacing w:val="-4"/>
                <w:sz w:val="21"/>
                <w:szCs w:val="21"/>
                <w:highlight w:val="none"/>
                <w:lang w:val="en-US" w:eastAsia="zh-CN"/>
              </w:rPr>
            </w:pPr>
            <w:r>
              <w:rPr>
                <w:rFonts w:hint="default" w:ascii="Times New Roman" w:hAnsi="Times New Roman" w:eastAsia="方正仿宋_GBK" w:cs="Times New Roman"/>
                <w:i w:val="0"/>
                <w:iCs w:val="0"/>
                <w:color w:val="000000"/>
                <w:kern w:val="0"/>
                <w:sz w:val="21"/>
                <w:szCs w:val="21"/>
                <w:u w:val="none"/>
                <w:lang w:val="en-US" w:eastAsia="zh-CN" w:bidi="ar"/>
              </w:rPr>
              <w:t>处二万元罚款</w:t>
            </w:r>
          </w:p>
        </w:tc>
      </w:tr>
      <w:tr w14:paraId="5A992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512" w:type="dxa"/>
            <w:vMerge w:val="continue"/>
            <w:vAlign w:val="center"/>
          </w:tcPr>
          <w:p w14:paraId="5A80C490">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5B23AF09">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057B9EC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2A2CF535">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Merge w:val="continue"/>
            <w:vAlign w:val="center"/>
          </w:tcPr>
          <w:p w14:paraId="45F5015F">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vAlign w:val="center"/>
          </w:tcPr>
          <w:p w14:paraId="0C4AB02A">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2312" w:cs="Times New Roman"/>
                <w:spacing w:val="-2"/>
                <w:sz w:val="21"/>
                <w:szCs w:val="21"/>
                <w:highlight w:val="none"/>
                <w:lang w:val="en-US" w:eastAsia="zh-CN"/>
              </w:rPr>
            </w:pPr>
            <w:r>
              <w:rPr>
                <w:rFonts w:hint="default" w:ascii="Times New Roman" w:hAnsi="Times New Roman" w:eastAsia="方正仿宋_GBK" w:cs="Times New Roman"/>
                <w:i w:val="0"/>
                <w:iCs w:val="0"/>
                <w:color w:val="000000"/>
                <w:kern w:val="0"/>
                <w:sz w:val="21"/>
                <w:szCs w:val="21"/>
                <w:u w:val="none"/>
                <w:lang w:val="en-US" w:eastAsia="zh-CN" w:bidi="ar"/>
              </w:rPr>
              <w:t>转让国家明令淘汰的设备，违法所得在二万元以上五万元（不含）以下的。</w:t>
            </w:r>
          </w:p>
        </w:tc>
        <w:tc>
          <w:tcPr>
            <w:tcW w:w="653" w:type="dxa"/>
            <w:vMerge w:val="continue"/>
            <w:vAlign w:val="center"/>
          </w:tcPr>
          <w:p w14:paraId="566EA9E4">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0" w:rightChars="0" w:firstLine="0" w:firstLineChars="0"/>
              <w:jc w:val="both"/>
              <w:textAlignment w:val="auto"/>
              <w:rPr>
                <w:rFonts w:hint="default" w:ascii="Times New Roman" w:hAnsi="Times New Roman" w:eastAsia="方正仿宋_GB2312" w:cs="Times New Roman"/>
                <w:spacing w:val="-2"/>
                <w:sz w:val="21"/>
                <w:szCs w:val="21"/>
                <w:highlight w:val="none"/>
              </w:rPr>
            </w:pPr>
          </w:p>
        </w:tc>
        <w:tc>
          <w:tcPr>
            <w:tcW w:w="1685" w:type="dxa"/>
            <w:vAlign w:val="center"/>
          </w:tcPr>
          <w:p w14:paraId="72B8E39C">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2312" w:cs="Times New Roman"/>
                <w:spacing w:val="-4"/>
                <w:sz w:val="21"/>
                <w:szCs w:val="21"/>
                <w:highlight w:val="none"/>
                <w:lang w:val="en-US" w:eastAsia="zh-CN"/>
              </w:rPr>
            </w:pPr>
            <w:r>
              <w:rPr>
                <w:rFonts w:hint="eastAsia" w:ascii="Times New Roman" w:hAnsi="Times New Roman" w:eastAsia="方正仿宋_GBK" w:cs="Times New Roman"/>
                <w:i w:val="0"/>
                <w:iCs w:val="0"/>
                <w:color w:val="000000"/>
                <w:kern w:val="0"/>
                <w:sz w:val="21"/>
                <w:szCs w:val="21"/>
                <w:u w:val="none"/>
                <w:lang w:val="en-US" w:eastAsia="zh-CN" w:bidi="ar"/>
              </w:rPr>
              <w:t>按照违法所得金额进行处罚</w:t>
            </w:r>
          </w:p>
        </w:tc>
      </w:tr>
      <w:tr w14:paraId="588AE6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512" w:type="dxa"/>
            <w:vMerge w:val="continue"/>
            <w:vAlign w:val="center"/>
          </w:tcPr>
          <w:p w14:paraId="70A60C47">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20ECF8F2">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06146215">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06833B66">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Merge w:val="continue"/>
            <w:vAlign w:val="center"/>
          </w:tcPr>
          <w:p w14:paraId="79AD12F5">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vAlign w:val="center"/>
          </w:tcPr>
          <w:p w14:paraId="73808E1A">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转让国家明令淘汰的设备，违法所得在五万元以上的。</w:t>
            </w:r>
          </w:p>
        </w:tc>
        <w:tc>
          <w:tcPr>
            <w:tcW w:w="653" w:type="dxa"/>
            <w:vMerge w:val="continue"/>
            <w:vAlign w:val="center"/>
          </w:tcPr>
          <w:p w14:paraId="0C50711D">
            <w:pPr>
              <w:pStyle w:val="7"/>
              <w:keepNext w:val="0"/>
              <w:keepLines w:val="0"/>
              <w:pageBreakBefore w:val="0"/>
              <w:widowControl w:val="0"/>
              <w:numPr>
                <w:ilvl w:val="-1"/>
                <w:numId w:val="0"/>
              </w:numPr>
              <w:kinsoku/>
              <w:wordWrap/>
              <w:overflowPunct/>
              <w:topLinePunct w:val="0"/>
              <w:autoSpaceDE/>
              <w:autoSpaceDN/>
              <w:bidi w:val="0"/>
              <w:adjustRightInd/>
              <w:snapToGrid/>
              <w:spacing w:line="370" w:lineRule="exact"/>
              <w:ind w:left="0" w:leftChars="0" w:right="0" w:rightChars="0" w:firstLine="0" w:firstLineChars="0"/>
              <w:jc w:val="both"/>
              <w:textAlignment w:val="auto"/>
              <w:rPr>
                <w:rFonts w:hint="default" w:ascii="Times New Roman" w:hAnsi="Times New Roman" w:eastAsia="方正仿宋_GB2312" w:cs="Times New Roman"/>
                <w:spacing w:val="-2"/>
                <w:sz w:val="21"/>
                <w:szCs w:val="21"/>
                <w:highlight w:val="none"/>
              </w:rPr>
            </w:pPr>
          </w:p>
        </w:tc>
        <w:tc>
          <w:tcPr>
            <w:tcW w:w="1685" w:type="dxa"/>
            <w:vAlign w:val="center"/>
          </w:tcPr>
          <w:p w14:paraId="131AB9E7">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处五万元罚款</w:t>
            </w:r>
          </w:p>
        </w:tc>
      </w:tr>
      <w:tr w14:paraId="0F8B2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9" w:hRule="atLeast"/>
          <w:jc w:val="center"/>
        </w:trPr>
        <w:tc>
          <w:tcPr>
            <w:tcW w:w="512" w:type="dxa"/>
            <w:vMerge w:val="restart"/>
            <w:vAlign w:val="center"/>
          </w:tcPr>
          <w:p w14:paraId="44428468">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236E0329">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5166F803">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4783D4AF">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4E902026">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380C3021">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2146F2B5">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52DA2CC0">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7C8C0241">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0A03BD73">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0012C032">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72BD8C80">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1ADB378E">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160D0DD1">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p w14:paraId="7C5A8DF6">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K" w:cs="Times New Roman"/>
                <w:sz w:val="21"/>
                <w:szCs w:val="21"/>
                <w:highlight w:val="none"/>
                <w:vertAlign w:val="baseline"/>
                <w:lang w:val="en-US" w:eastAsia="zh-CN"/>
              </w:rPr>
              <w:t>4</w:t>
            </w:r>
          </w:p>
        </w:tc>
        <w:tc>
          <w:tcPr>
            <w:tcW w:w="1296" w:type="dxa"/>
            <w:vMerge w:val="restart"/>
            <w:vAlign w:val="bottom"/>
          </w:tcPr>
          <w:p w14:paraId="481BFD29">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091096F4">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7B71F980">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7431827C">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5C8F5744">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16C681AA">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6470AE74">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03B47422">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5FBB1AEC">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0D7C5AB6">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3B24BC14">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i w:val="0"/>
                <w:iCs w:val="0"/>
                <w:caps w:val="0"/>
                <w:color w:val="000000"/>
                <w:spacing w:val="0"/>
                <w:sz w:val="21"/>
                <w:szCs w:val="21"/>
                <w:highlight w:val="none"/>
                <w:shd w:val="clear" w:fill="FFFFFF"/>
              </w:rPr>
            </w:pPr>
          </w:p>
          <w:p w14:paraId="1FB20A9D">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r>
              <w:rPr>
                <w:rFonts w:hint="default" w:ascii="Times New Roman" w:hAnsi="Times New Roman" w:eastAsia="方正仿宋_GB2312" w:cs="Times New Roman"/>
                <w:i w:val="0"/>
                <w:iCs w:val="0"/>
                <w:caps w:val="0"/>
                <w:color w:val="000000"/>
                <w:spacing w:val="0"/>
                <w:sz w:val="21"/>
                <w:szCs w:val="21"/>
                <w:highlight w:val="none"/>
                <w:shd w:val="clear" w:fill="FFFFFF"/>
              </w:rPr>
              <w:t>对重点用能单位能源利用状况报告的内容不合理、内容不实或未依法报送的处罚</w:t>
            </w:r>
          </w:p>
        </w:tc>
        <w:tc>
          <w:tcPr>
            <w:tcW w:w="3244" w:type="dxa"/>
            <w:vMerge w:val="restart"/>
          </w:tcPr>
          <w:p w14:paraId="47ECDFE5">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p>
          <w:p w14:paraId="037BE65A">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第五十三条</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重点用能单位应当每年向管理节能工作的部门报送上年度的能源利用状况报告。能源利用状况包括能源消费情况、能源利用效率、节能目标完成情况和节能效益分析、节能措施等内容。</w:t>
            </w:r>
          </w:p>
          <w:p w14:paraId="31F5F72E">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第五十四条</w:t>
            </w:r>
            <w:r>
              <w:rPr>
                <w:rFonts w:hint="default" w:ascii="Times New Roman" w:hAnsi="Times New Roman" w:eastAsia="方正仿宋_GB2312" w:cs="Times New Roman"/>
                <w:i w:val="0"/>
                <w:iCs w:val="0"/>
                <w:caps w:val="0"/>
                <w:color w:val="000000"/>
                <w:spacing w:val="0"/>
                <w:sz w:val="21"/>
                <w:szCs w:val="21"/>
                <w:highlight w:val="none"/>
                <w:shd w:val="clear" w:fill="FFFFFF"/>
              </w:rPr>
              <w:t xml:space="preserve"> 管理节能工作的部门应当对重点用能单位报送的能源利用状况报告进行审查。对节能管理制度不健全、节能措施不落实、能源利用效率低的重点用能单位，管理节能工作的部门应当开展现场调查，组织实施用能设备能源效率检测，责令实施能源审计，并提出书面整改要求，限期整改</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w:t>
            </w:r>
          </w:p>
          <w:p w14:paraId="3D9F8B0D">
            <w:pPr>
              <w:pStyle w:val="7"/>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sz w:val="21"/>
                <w:szCs w:val="21"/>
                <w:highlight w:val="none"/>
              </w:rPr>
            </w:pPr>
            <w:r>
              <w:rPr>
                <w:rFonts w:hint="default" w:ascii="Times New Roman" w:hAnsi="Times New Roman" w:eastAsia="方正仿宋_GB2312" w:cs="Times New Roman"/>
                <w:spacing w:val="-1"/>
                <w:w w:val="105"/>
                <w:sz w:val="21"/>
                <w:szCs w:val="21"/>
                <w:highlight w:val="none"/>
              </w:rPr>
              <w:t>【</w:t>
            </w:r>
            <w:r>
              <w:rPr>
                <w:rFonts w:hint="default" w:ascii="Times New Roman" w:hAnsi="Times New Roman" w:eastAsia="方正仿宋_GB2312" w:cs="Times New Roman"/>
                <w:spacing w:val="-1"/>
                <w:w w:val="105"/>
                <w:sz w:val="21"/>
                <w:szCs w:val="21"/>
                <w:highlight w:val="none"/>
                <w:lang w:val="en-US" w:eastAsia="zh-CN"/>
              </w:rPr>
              <w:t>部门</w:t>
            </w:r>
            <w:r>
              <w:rPr>
                <w:rFonts w:hint="default" w:ascii="Times New Roman" w:hAnsi="Times New Roman" w:eastAsia="方正仿宋_GB2312" w:cs="Times New Roman"/>
                <w:spacing w:val="-1"/>
                <w:w w:val="105"/>
                <w:sz w:val="21"/>
                <w:szCs w:val="21"/>
                <w:highlight w:val="none"/>
              </w:rPr>
              <w:t>规章】《重点用能单位节能管理办法》</w:t>
            </w:r>
          </w:p>
          <w:p w14:paraId="60A56C93">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FF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kern w:val="2"/>
                <w:sz w:val="21"/>
                <w:szCs w:val="21"/>
                <w:highlight w:val="none"/>
                <w:shd w:val="clear" w:fill="FFFFFF"/>
                <w:lang w:val="en-US" w:eastAsia="zh-CN" w:bidi="ar-SA"/>
              </w:rPr>
              <w:t>第十三条第一款</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重点用能单位应当由能源管理负责人负责组织能源利用状况报告填报工作，并每年向县级以上人民政府管理节能工作的部门报送上年度的能源利用状况报告。能源利用状况报告应当包括能源消费情况、能源利用效率、能耗总量控制和节能目标完成情况、节能效益分析、节能措施等内容。</w:t>
            </w:r>
          </w:p>
        </w:tc>
        <w:tc>
          <w:tcPr>
            <w:tcW w:w="3398" w:type="dxa"/>
            <w:vMerge w:val="restart"/>
          </w:tcPr>
          <w:p w14:paraId="7ABBF277">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p>
          <w:p w14:paraId="6BA3079C">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第八十二条</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重点用能单位未按照本法规定报送能源利用状况报告或者报告内容不实的，由管理节能工作的部门责令限期改正；逾期不改正的，处一万元以上五万元以下罚款。</w:t>
            </w:r>
          </w:p>
          <w:p w14:paraId="444AF900">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第八十三条</w:t>
            </w:r>
            <w:r>
              <w:rPr>
                <w:rFonts w:hint="default" w:ascii="Times New Roman" w:hAnsi="Times New Roman" w:eastAsia="方正仿宋_GB2312" w:cs="Times New Roman"/>
                <w:i w:val="0"/>
                <w:iCs w:val="0"/>
                <w:caps w:val="0"/>
                <w:color w:val="000000"/>
                <w:spacing w:val="0"/>
                <w:sz w:val="21"/>
                <w:szCs w:val="21"/>
                <w:highlight w:val="none"/>
                <w:shd w:val="clear" w:fill="FFFFFF"/>
              </w:rPr>
              <w:t xml:space="preserve"> 重点用能单位无正当理由拒不落实本法第五十四条规定的整改要求或者整改没有达到要求的，由管理节能工作的部门处十万元以上三十万元以下罚款。</w:t>
            </w:r>
          </w:p>
          <w:p w14:paraId="5381C09E">
            <w:pPr>
              <w:pStyle w:val="7"/>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sz w:val="21"/>
                <w:szCs w:val="21"/>
                <w:highlight w:val="none"/>
              </w:rPr>
            </w:pPr>
            <w:r>
              <w:rPr>
                <w:rFonts w:hint="default" w:ascii="Times New Roman" w:hAnsi="Times New Roman" w:eastAsia="方正仿宋_GB2312" w:cs="Times New Roman"/>
                <w:spacing w:val="-1"/>
                <w:w w:val="105"/>
                <w:sz w:val="21"/>
                <w:szCs w:val="21"/>
                <w:highlight w:val="none"/>
              </w:rPr>
              <w:t>【</w:t>
            </w:r>
            <w:r>
              <w:rPr>
                <w:rFonts w:hint="default" w:ascii="Times New Roman" w:hAnsi="Times New Roman" w:eastAsia="方正仿宋_GB2312" w:cs="Times New Roman"/>
                <w:spacing w:val="-1"/>
                <w:w w:val="105"/>
                <w:sz w:val="21"/>
                <w:szCs w:val="21"/>
                <w:highlight w:val="none"/>
                <w:lang w:val="en-US" w:eastAsia="zh-CN"/>
              </w:rPr>
              <w:t>部门</w:t>
            </w:r>
            <w:r>
              <w:rPr>
                <w:rFonts w:hint="default" w:ascii="Times New Roman" w:hAnsi="Times New Roman" w:eastAsia="方正仿宋_GB2312" w:cs="Times New Roman"/>
                <w:spacing w:val="-1"/>
                <w:w w:val="105"/>
                <w:sz w:val="21"/>
                <w:szCs w:val="21"/>
                <w:highlight w:val="none"/>
              </w:rPr>
              <w:t>规章】《重点用能单位节能管理办法》</w:t>
            </w:r>
          </w:p>
          <w:p w14:paraId="6431F5FD">
            <w:pPr>
              <w:pStyle w:val="7"/>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spacing w:val="-2"/>
                <w:w w:val="105"/>
                <w:sz w:val="21"/>
                <w:szCs w:val="21"/>
                <w:highlight w:val="none"/>
              </w:rPr>
            </w:pPr>
            <w:r>
              <w:rPr>
                <w:rFonts w:hint="default" w:ascii="Times New Roman" w:hAnsi="Times New Roman" w:eastAsia="方正仿宋_GB2312" w:cs="Times New Roman"/>
                <w:b/>
                <w:bCs/>
                <w:i w:val="0"/>
                <w:iCs w:val="0"/>
                <w:caps w:val="0"/>
                <w:color w:val="000000"/>
                <w:spacing w:val="0"/>
                <w:kern w:val="2"/>
                <w:sz w:val="21"/>
                <w:szCs w:val="21"/>
                <w:highlight w:val="none"/>
                <w:shd w:val="clear" w:fill="FFFFFF"/>
                <w:lang w:val="en-US" w:eastAsia="zh-CN" w:bidi="ar-SA"/>
              </w:rPr>
              <w:t>第三十条</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spacing w:val="-2"/>
                <w:w w:val="105"/>
                <w:sz w:val="21"/>
                <w:szCs w:val="21"/>
                <w:highlight w:val="none"/>
              </w:rPr>
              <w:t>重点用能单位未按照本办法规定报送能源利用状况报告或者报告内容不实的，由管理节能工作的部门责令限期改正；逾期不改正的，处一万元以上五万元以下罚款。</w:t>
            </w:r>
          </w:p>
          <w:p w14:paraId="0C3DAF79">
            <w:pPr>
              <w:pStyle w:val="7"/>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FF0000"/>
                <w:spacing w:val="0"/>
                <w:sz w:val="21"/>
                <w:szCs w:val="21"/>
                <w:highlight w:val="none"/>
                <w:shd w:val="clear" w:fill="FFFFFF"/>
              </w:rPr>
            </w:pPr>
          </w:p>
        </w:tc>
        <w:tc>
          <w:tcPr>
            <w:tcW w:w="715" w:type="dxa"/>
            <w:vAlign w:val="center"/>
          </w:tcPr>
          <w:p w14:paraId="742F5817">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轻微</w:t>
            </w:r>
          </w:p>
        </w:tc>
        <w:tc>
          <w:tcPr>
            <w:tcW w:w="3959" w:type="dxa"/>
            <w:vAlign w:val="center"/>
          </w:tcPr>
          <w:p w14:paraId="702670CC">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spacing w:val="-2"/>
                <w:sz w:val="21"/>
                <w:szCs w:val="21"/>
                <w:highlight w:val="none"/>
              </w:rPr>
            </w:pPr>
            <w:r>
              <w:rPr>
                <w:rFonts w:hint="default" w:ascii="Times New Roman" w:hAnsi="Times New Roman" w:eastAsia="方正仿宋_GBK" w:cs="Times New Roman"/>
                <w:i w:val="0"/>
                <w:iCs w:val="0"/>
                <w:color w:val="000000"/>
                <w:kern w:val="0"/>
                <w:sz w:val="21"/>
                <w:szCs w:val="21"/>
                <w:u w:val="none"/>
                <w:lang w:val="en-US" w:eastAsia="zh-CN" w:bidi="ar"/>
              </w:rPr>
              <w:t>能源利用状况报告内容不实或未报送的；</w:t>
            </w:r>
            <w:r>
              <w:rPr>
                <w:rFonts w:hint="eastAsia" w:ascii="Times New Roman" w:hAnsi="Times New Roman" w:eastAsia="方正仿宋_GBK" w:cs="Times New Roman"/>
                <w:i w:val="0"/>
                <w:iCs w:val="0"/>
                <w:color w:val="000000"/>
                <w:kern w:val="0"/>
                <w:sz w:val="21"/>
                <w:szCs w:val="21"/>
                <w:u w:val="none"/>
                <w:lang w:val="en-US" w:eastAsia="zh-CN" w:bidi="ar"/>
              </w:rPr>
              <w:t>经审查，</w:t>
            </w:r>
            <w:r>
              <w:rPr>
                <w:rFonts w:hint="default" w:ascii="Times New Roman" w:hAnsi="Times New Roman" w:eastAsia="方正仿宋_GBK" w:cs="Times New Roman"/>
                <w:i w:val="0"/>
                <w:iCs w:val="0"/>
                <w:color w:val="000000"/>
                <w:kern w:val="0"/>
                <w:sz w:val="21"/>
                <w:szCs w:val="21"/>
                <w:u w:val="none"/>
                <w:lang w:val="en-US" w:eastAsia="zh-CN" w:bidi="ar"/>
              </w:rPr>
              <w:t>能源利用状况报告</w:t>
            </w:r>
            <w:r>
              <w:rPr>
                <w:rFonts w:hint="eastAsia" w:ascii="Times New Roman" w:hAnsi="Times New Roman" w:eastAsia="方正仿宋_GBK" w:cs="Times New Roman"/>
                <w:i w:val="0"/>
                <w:iCs w:val="0"/>
                <w:color w:val="000000"/>
                <w:kern w:val="0"/>
                <w:sz w:val="21"/>
                <w:szCs w:val="21"/>
                <w:u w:val="none"/>
                <w:lang w:val="en-US" w:eastAsia="zh-CN" w:bidi="ar"/>
              </w:rPr>
              <w:t>中</w:t>
            </w:r>
            <w:r>
              <w:rPr>
                <w:rFonts w:hint="default" w:ascii="Times New Roman" w:hAnsi="Times New Roman" w:eastAsia="方正仿宋_GBK" w:cs="Times New Roman"/>
                <w:i w:val="0"/>
                <w:iCs w:val="0"/>
                <w:color w:val="000000"/>
                <w:kern w:val="0"/>
                <w:sz w:val="21"/>
                <w:szCs w:val="21"/>
                <w:u w:val="none"/>
                <w:lang w:val="en-US" w:eastAsia="zh-CN" w:bidi="ar"/>
              </w:rPr>
              <w:t>节能管理制度不健全、节能措施不落实、能源利用效率低的</w:t>
            </w:r>
            <w:r>
              <w:rPr>
                <w:rFonts w:hint="eastAsia"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内完成整改的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shd w:val="clear" w:color="auto" w:fill="auto"/>
            <w:vAlign w:val="center"/>
          </w:tcPr>
          <w:p w14:paraId="6A44457F">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kern w:val="2"/>
                <w:sz w:val="21"/>
                <w:szCs w:val="21"/>
                <w:highlight w:val="none"/>
                <w:vertAlign w:val="baseline"/>
                <w:lang w:val="en-US" w:eastAsia="zh-CN" w:bidi="ar-SA"/>
              </w:rPr>
            </w:pPr>
            <w:r>
              <w:rPr>
                <w:rFonts w:hint="eastAsia" w:ascii="Times New Roman" w:hAnsi="Times New Roman" w:eastAsia="方正仿宋_GBK" w:cs="Times New Roman"/>
                <w:sz w:val="21"/>
                <w:szCs w:val="21"/>
                <w:highlight w:val="none"/>
                <w:vertAlign w:val="baseline"/>
                <w:lang w:val="en-US" w:eastAsia="zh-CN"/>
              </w:rPr>
              <w:t>轻微</w:t>
            </w:r>
          </w:p>
        </w:tc>
        <w:tc>
          <w:tcPr>
            <w:tcW w:w="1685" w:type="dxa"/>
            <w:shd w:val="clear" w:color="auto" w:fill="auto"/>
            <w:vAlign w:val="center"/>
          </w:tcPr>
          <w:p w14:paraId="6CC79A9B">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eastAsia" w:ascii="Times New Roman" w:hAnsi="Times New Roman" w:eastAsia="方正仿宋_GBK" w:cs="Times New Roman"/>
                <w:i w:val="0"/>
                <w:iCs w:val="0"/>
                <w:color w:val="000000"/>
                <w:kern w:val="0"/>
                <w:sz w:val="21"/>
                <w:szCs w:val="21"/>
                <w:u w:val="none"/>
                <w:lang w:val="en-US" w:eastAsia="zh-CN" w:bidi="ar"/>
              </w:rPr>
              <w:t>免予</w:t>
            </w:r>
            <w:r>
              <w:rPr>
                <w:rFonts w:hint="default" w:ascii="Times New Roman" w:hAnsi="Times New Roman" w:eastAsia="方正仿宋_GBK" w:cs="Times New Roman"/>
                <w:i w:val="0"/>
                <w:iCs w:val="0"/>
                <w:color w:val="000000"/>
                <w:kern w:val="0"/>
                <w:sz w:val="21"/>
                <w:szCs w:val="21"/>
                <w:u w:val="none"/>
                <w:lang w:val="en-US" w:eastAsia="zh-CN" w:bidi="ar"/>
              </w:rPr>
              <w:t>行政处罚</w:t>
            </w:r>
          </w:p>
        </w:tc>
      </w:tr>
      <w:tr w14:paraId="63FAE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jc w:val="center"/>
        </w:trPr>
        <w:tc>
          <w:tcPr>
            <w:tcW w:w="512" w:type="dxa"/>
            <w:vMerge w:val="continue"/>
            <w:vAlign w:val="center"/>
          </w:tcPr>
          <w:p w14:paraId="664E963E">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2AD62DCE">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477EA763">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4C79500A">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Merge w:val="restart"/>
            <w:vAlign w:val="center"/>
          </w:tcPr>
          <w:p w14:paraId="5231B4FF">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3959" w:type="dxa"/>
            <w:shd w:val="clear" w:color="auto" w:fill="auto"/>
            <w:vAlign w:val="center"/>
          </w:tcPr>
          <w:p w14:paraId="29D1EC4C">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能源利用状况报告内容不实，</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期限届满拒不整改或整改未达到要求的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restart"/>
            <w:vAlign w:val="center"/>
          </w:tcPr>
          <w:p w14:paraId="0A035949">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pacing w:val="-2"/>
                <w:sz w:val="21"/>
                <w:szCs w:val="21"/>
                <w:highlight w:val="none"/>
                <w:lang w:val="en-US" w:eastAsia="zh-CN"/>
              </w:rPr>
            </w:pPr>
            <w:r>
              <w:rPr>
                <w:rFonts w:hint="default" w:ascii="Times New Roman" w:hAnsi="Times New Roman" w:eastAsia="方正仿宋_GBK" w:cs="Times New Roman"/>
                <w:spacing w:val="-2"/>
                <w:sz w:val="21"/>
                <w:szCs w:val="21"/>
                <w:highlight w:val="none"/>
                <w:lang w:val="en-US" w:eastAsia="zh-CN"/>
              </w:rPr>
              <w:t>一般</w:t>
            </w:r>
          </w:p>
        </w:tc>
        <w:tc>
          <w:tcPr>
            <w:tcW w:w="1685" w:type="dxa"/>
            <w:shd w:val="clear" w:color="auto" w:fill="auto"/>
            <w:vAlign w:val="center"/>
          </w:tcPr>
          <w:p w14:paraId="7877ADBA">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i w:val="0"/>
                <w:iCs w:val="0"/>
                <w:color w:val="000000"/>
                <w:kern w:val="0"/>
                <w:sz w:val="21"/>
                <w:szCs w:val="21"/>
                <w:u w:val="none"/>
                <w:lang w:val="en-US" w:eastAsia="zh-CN" w:bidi="ar"/>
              </w:rPr>
              <w:t>处</w:t>
            </w:r>
            <w:r>
              <w:rPr>
                <w:rFonts w:hint="eastAsia" w:ascii="Times New Roman" w:hAnsi="Times New Roman" w:eastAsia="方正仿宋_GBK" w:cs="Times New Roman"/>
                <w:i w:val="0"/>
                <w:iCs w:val="0"/>
                <w:color w:val="000000"/>
                <w:kern w:val="0"/>
                <w:sz w:val="21"/>
                <w:szCs w:val="21"/>
                <w:u w:val="none"/>
                <w:lang w:val="en-US" w:eastAsia="zh-CN" w:bidi="ar"/>
              </w:rPr>
              <w:t>一万元及以上</w:t>
            </w:r>
            <w:r>
              <w:rPr>
                <w:rFonts w:hint="default" w:ascii="Times New Roman" w:hAnsi="Times New Roman" w:eastAsia="方正仿宋_GBK" w:cs="Times New Roman"/>
                <w:i w:val="0"/>
                <w:iCs w:val="0"/>
                <w:color w:val="000000"/>
                <w:kern w:val="0"/>
                <w:sz w:val="21"/>
                <w:szCs w:val="21"/>
                <w:u w:val="none"/>
                <w:lang w:val="en-US" w:eastAsia="zh-CN" w:bidi="ar"/>
              </w:rPr>
              <w:t>三万元</w:t>
            </w:r>
            <w:r>
              <w:rPr>
                <w:rFonts w:hint="eastAsia" w:ascii="Times New Roman" w:hAnsi="Times New Roman" w:eastAsia="方正仿宋_GBK" w:cs="Times New Roman"/>
                <w:i w:val="0"/>
                <w:iCs w:val="0"/>
                <w:color w:val="000000"/>
                <w:kern w:val="0"/>
                <w:sz w:val="21"/>
                <w:szCs w:val="21"/>
                <w:u w:val="none"/>
                <w:lang w:val="en-US" w:eastAsia="zh-CN" w:bidi="ar"/>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43EA79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2" w:hRule="atLeast"/>
          <w:jc w:val="center"/>
        </w:trPr>
        <w:tc>
          <w:tcPr>
            <w:tcW w:w="512" w:type="dxa"/>
            <w:vMerge w:val="continue"/>
            <w:vAlign w:val="center"/>
          </w:tcPr>
          <w:p w14:paraId="49A819B3">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663411B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5B11741E">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261E4806">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Merge w:val="continue"/>
            <w:vAlign w:val="center"/>
          </w:tcPr>
          <w:p w14:paraId="07A797FC">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63F10810">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能源利用状况报告未报送的，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期限届满拒不整改或整改未达到要求的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48C6F3AB">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pacing w:val="-2"/>
                <w:sz w:val="21"/>
                <w:szCs w:val="21"/>
                <w:highlight w:val="none"/>
              </w:rPr>
            </w:pPr>
          </w:p>
        </w:tc>
        <w:tc>
          <w:tcPr>
            <w:tcW w:w="1685" w:type="dxa"/>
            <w:vAlign w:val="center"/>
          </w:tcPr>
          <w:p w14:paraId="0A8F500E">
            <w:pPr>
              <w:keepNext w:val="0"/>
              <w:keepLines w:val="0"/>
              <w:pageBreakBefore w:val="0"/>
              <w:widowControl w:val="0"/>
              <w:kinsoku/>
              <w:wordWrap/>
              <w:overflowPunct/>
              <w:topLinePunct w:val="0"/>
              <w:autoSpaceDE/>
              <w:autoSpaceDN/>
              <w:bidi w:val="0"/>
              <w:adjustRightInd/>
              <w:snapToGrid/>
              <w:spacing w:line="370" w:lineRule="exact"/>
              <w:ind w:left="0" w:right="0" w:firstLine="0"/>
              <w:jc w:val="center"/>
              <w:textAlignment w:val="auto"/>
              <w:rPr>
                <w:rFonts w:hint="default" w:ascii="Times New Roman" w:hAnsi="Times New Roman" w:eastAsia="方正仿宋_GBK" w:cs="Times New Roman"/>
                <w:spacing w:val="-2"/>
                <w:w w:val="105"/>
                <w:sz w:val="21"/>
                <w:szCs w:val="21"/>
                <w:highlight w:val="none"/>
                <w:lang w:val="en-US" w:eastAsia="zh-CN"/>
              </w:rPr>
            </w:pPr>
            <w:r>
              <w:rPr>
                <w:rFonts w:hint="default" w:ascii="Times New Roman" w:hAnsi="Times New Roman" w:eastAsia="方正仿宋_GBK" w:cs="Times New Roman"/>
                <w:i w:val="0"/>
                <w:iCs w:val="0"/>
                <w:color w:val="000000"/>
                <w:kern w:val="0"/>
                <w:sz w:val="21"/>
                <w:szCs w:val="21"/>
                <w:u w:val="none"/>
                <w:lang w:val="en-US" w:eastAsia="zh-CN" w:bidi="ar"/>
              </w:rPr>
              <w:t>处</w:t>
            </w:r>
            <w:r>
              <w:rPr>
                <w:rFonts w:hint="eastAsia" w:ascii="Times New Roman" w:hAnsi="Times New Roman" w:eastAsia="方正仿宋_GBK" w:cs="Times New Roman"/>
                <w:i w:val="0"/>
                <w:iCs w:val="0"/>
                <w:color w:val="000000"/>
                <w:kern w:val="0"/>
                <w:sz w:val="21"/>
                <w:szCs w:val="21"/>
                <w:u w:val="none"/>
                <w:lang w:val="en-US" w:eastAsia="zh-CN" w:bidi="ar"/>
              </w:rPr>
              <w:t>三万元及以上</w:t>
            </w:r>
            <w:r>
              <w:rPr>
                <w:rFonts w:hint="default" w:ascii="Times New Roman" w:hAnsi="Times New Roman" w:eastAsia="方正仿宋_GBK" w:cs="Times New Roman"/>
                <w:i w:val="0"/>
                <w:iCs w:val="0"/>
                <w:color w:val="000000"/>
                <w:kern w:val="0"/>
                <w:sz w:val="21"/>
                <w:szCs w:val="21"/>
                <w:u w:val="none"/>
                <w:lang w:val="en-US" w:eastAsia="zh-CN" w:bidi="ar"/>
              </w:rPr>
              <w:t>五万元</w:t>
            </w:r>
            <w:r>
              <w:rPr>
                <w:rFonts w:hint="eastAsia" w:ascii="Times New Roman" w:hAnsi="Times New Roman" w:eastAsia="方正仿宋_GBK" w:cs="Times New Roman"/>
                <w:i w:val="0"/>
                <w:iCs w:val="0"/>
                <w:color w:val="000000"/>
                <w:kern w:val="0"/>
                <w:sz w:val="21"/>
                <w:szCs w:val="21"/>
                <w:u w:val="none"/>
                <w:lang w:val="en-US" w:eastAsia="zh-CN" w:bidi="ar"/>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52196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9" w:hRule="atLeast"/>
          <w:jc w:val="center"/>
        </w:trPr>
        <w:tc>
          <w:tcPr>
            <w:tcW w:w="512" w:type="dxa"/>
            <w:vMerge w:val="continue"/>
            <w:vAlign w:val="center"/>
          </w:tcPr>
          <w:p w14:paraId="3518F50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4376AF68">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4A6F6B9B">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7ADD0CAD">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Merge w:val="restart"/>
            <w:vAlign w:val="center"/>
          </w:tcPr>
          <w:p w14:paraId="47E345F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严重</w:t>
            </w:r>
          </w:p>
        </w:tc>
        <w:tc>
          <w:tcPr>
            <w:tcW w:w="3959" w:type="dxa"/>
            <w:shd w:val="clear" w:color="auto" w:fill="auto"/>
            <w:vAlign w:val="center"/>
          </w:tcPr>
          <w:p w14:paraId="36595F80">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eastAsia" w:ascii="Times New Roman" w:hAnsi="Times New Roman" w:eastAsia="方正仿宋_GBK" w:cs="Times New Roman"/>
                <w:i w:val="0"/>
                <w:iCs w:val="0"/>
                <w:color w:val="000000"/>
                <w:kern w:val="0"/>
                <w:sz w:val="21"/>
                <w:szCs w:val="21"/>
                <w:u w:val="none"/>
                <w:lang w:val="en-US" w:eastAsia="zh-CN" w:bidi="ar"/>
              </w:rPr>
              <w:t>经审查，</w:t>
            </w:r>
            <w:r>
              <w:rPr>
                <w:rFonts w:hint="default" w:ascii="Times New Roman" w:hAnsi="Times New Roman" w:eastAsia="方正仿宋_GBK" w:cs="Times New Roman"/>
                <w:i w:val="0"/>
                <w:iCs w:val="0"/>
                <w:color w:val="000000"/>
                <w:kern w:val="0"/>
                <w:sz w:val="21"/>
                <w:szCs w:val="21"/>
                <w:u w:val="none"/>
                <w:lang w:val="en-US" w:eastAsia="zh-CN" w:bidi="ar"/>
              </w:rPr>
              <w:t>能源利用状况报告</w:t>
            </w:r>
            <w:r>
              <w:rPr>
                <w:rFonts w:hint="eastAsia" w:ascii="Times New Roman" w:hAnsi="Times New Roman" w:eastAsia="方正仿宋_GBK" w:cs="Times New Roman"/>
                <w:i w:val="0"/>
                <w:iCs w:val="0"/>
                <w:color w:val="000000"/>
                <w:kern w:val="0"/>
                <w:sz w:val="21"/>
                <w:szCs w:val="21"/>
                <w:u w:val="none"/>
                <w:lang w:val="en-US" w:eastAsia="zh-CN" w:bidi="ar"/>
              </w:rPr>
              <w:t>中</w:t>
            </w:r>
            <w:r>
              <w:rPr>
                <w:rFonts w:hint="default" w:ascii="Times New Roman" w:hAnsi="Times New Roman" w:eastAsia="方正仿宋_GBK" w:cs="Times New Roman"/>
                <w:i w:val="0"/>
                <w:iCs w:val="0"/>
                <w:color w:val="000000"/>
                <w:kern w:val="0"/>
                <w:sz w:val="21"/>
                <w:szCs w:val="21"/>
                <w:u w:val="none"/>
                <w:lang w:val="en-US" w:eastAsia="zh-CN" w:bidi="ar"/>
              </w:rPr>
              <w:t>节能管理制度不健全、节能措施不落实、能源利用效率低的重点用能单位，</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期限届满整改仍未达到要求的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restart"/>
            <w:vAlign w:val="center"/>
          </w:tcPr>
          <w:p w14:paraId="5CB64154">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pacing w:val="-2"/>
                <w:sz w:val="21"/>
                <w:szCs w:val="21"/>
                <w:highlight w:val="none"/>
                <w:lang w:val="en-US" w:eastAsia="zh-CN"/>
              </w:rPr>
            </w:pPr>
            <w:r>
              <w:rPr>
                <w:rFonts w:hint="default" w:ascii="Times New Roman" w:hAnsi="Times New Roman" w:eastAsia="方正仿宋_GBK" w:cs="Times New Roman"/>
                <w:spacing w:val="-2"/>
                <w:sz w:val="21"/>
                <w:szCs w:val="21"/>
                <w:highlight w:val="none"/>
                <w:lang w:val="en-US" w:eastAsia="zh-CN"/>
              </w:rPr>
              <w:t>从重</w:t>
            </w:r>
          </w:p>
        </w:tc>
        <w:tc>
          <w:tcPr>
            <w:tcW w:w="1685" w:type="dxa"/>
            <w:shd w:val="clear" w:color="auto" w:fill="auto"/>
            <w:vAlign w:val="center"/>
          </w:tcPr>
          <w:p w14:paraId="35538139">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处</w:t>
            </w:r>
            <w:r>
              <w:rPr>
                <w:rFonts w:hint="eastAsia" w:ascii="Times New Roman" w:hAnsi="Times New Roman" w:eastAsia="方正仿宋_GBK" w:cs="Times New Roman"/>
                <w:i w:val="0"/>
                <w:iCs w:val="0"/>
                <w:color w:val="000000"/>
                <w:kern w:val="0"/>
                <w:sz w:val="21"/>
                <w:szCs w:val="21"/>
                <w:u w:val="none"/>
                <w:lang w:val="en-US" w:eastAsia="zh-CN" w:bidi="ar"/>
              </w:rPr>
              <w:t>十万元及以上</w:t>
            </w:r>
            <w:r>
              <w:rPr>
                <w:rFonts w:hint="default" w:ascii="Times New Roman" w:hAnsi="Times New Roman" w:eastAsia="方正仿宋_GBK" w:cs="Times New Roman"/>
                <w:i w:val="0"/>
                <w:iCs w:val="0"/>
                <w:color w:val="000000"/>
                <w:kern w:val="0"/>
                <w:sz w:val="21"/>
                <w:szCs w:val="21"/>
                <w:u w:val="none"/>
                <w:lang w:val="en-US" w:eastAsia="zh-CN" w:bidi="ar"/>
              </w:rPr>
              <w:t>二十万元</w:t>
            </w:r>
            <w:r>
              <w:rPr>
                <w:rFonts w:hint="eastAsia" w:ascii="Times New Roman" w:hAnsi="Times New Roman" w:eastAsia="方正仿宋_GBK" w:cs="Times New Roman"/>
                <w:i w:val="0"/>
                <w:iCs w:val="0"/>
                <w:color w:val="000000"/>
                <w:kern w:val="0"/>
                <w:sz w:val="21"/>
                <w:szCs w:val="21"/>
                <w:u w:val="none"/>
                <w:lang w:val="en-US" w:eastAsia="zh-CN" w:bidi="ar"/>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2264A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7" w:hRule="atLeast"/>
          <w:jc w:val="center"/>
        </w:trPr>
        <w:tc>
          <w:tcPr>
            <w:tcW w:w="512" w:type="dxa"/>
            <w:vMerge w:val="continue"/>
            <w:vAlign w:val="center"/>
          </w:tcPr>
          <w:p w14:paraId="5F3F5013">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206AC4E0">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1554480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0E2F576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Merge w:val="continue"/>
            <w:vAlign w:val="center"/>
          </w:tcPr>
          <w:p w14:paraId="3A44B539">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0584C2CC">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eastAsia" w:ascii="Times New Roman" w:hAnsi="Times New Roman" w:eastAsia="方正仿宋_GBK" w:cs="Times New Roman"/>
                <w:i w:val="0"/>
                <w:iCs w:val="0"/>
                <w:color w:val="000000"/>
                <w:kern w:val="0"/>
                <w:sz w:val="21"/>
                <w:szCs w:val="21"/>
                <w:u w:val="none"/>
                <w:lang w:val="en-US" w:eastAsia="zh-CN" w:bidi="ar"/>
              </w:rPr>
              <w:t>经审查，</w:t>
            </w:r>
            <w:r>
              <w:rPr>
                <w:rFonts w:hint="default" w:ascii="Times New Roman" w:hAnsi="Times New Roman" w:eastAsia="方正仿宋_GBK" w:cs="Times New Roman"/>
                <w:i w:val="0"/>
                <w:iCs w:val="0"/>
                <w:color w:val="000000"/>
                <w:kern w:val="0"/>
                <w:sz w:val="21"/>
                <w:szCs w:val="21"/>
                <w:u w:val="none"/>
                <w:lang w:val="en-US" w:eastAsia="zh-CN" w:bidi="ar"/>
              </w:rPr>
              <w:t>能源利用状况报告</w:t>
            </w:r>
            <w:r>
              <w:rPr>
                <w:rFonts w:hint="eastAsia" w:ascii="Times New Roman" w:hAnsi="Times New Roman" w:eastAsia="方正仿宋_GBK" w:cs="Times New Roman"/>
                <w:i w:val="0"/>
                <w:iCs w:val="0"/>
                <w:color w:val="000000"/>
                <w:kern w:val="0"/>
                <w:sz w:val="21"/>
                <w:szCs w:val="21"/>
                <w:u w:val="none"/>
                <w:lang w:val="en-US" w:eastAsia="zh-CN" w:bidi="ar"/>
              </w:rPr>
              <w:t>中</w:t>
            </w:r>
            <w:r>
              <w:rPr>
                <w:rFonts w:hint="default" w:ascii="Times New Roman" w:hAnsi="Times New Roman" w:eastAsia="方正仿宋_GBK" w:cs="Times New Roman"/>
                <w:i w:val="0"/>
                <w:iCs w:val="0"/>
                <w:color w:val="000000"/>
                <w:kern w:val="0"/>
                <w:sz w:val="21"/>
                <w:szCs w:val="21"/>
                <w:u w:val="none"/>
                <w:lang w:val="en-US" w:eastAsia="zh-CN" w:bidi="ar"/>
              </w:rPr>
              <w:t>节能管理制度不健全、节能措施不落实、能源利用效率低的重点用能单位，</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21A1890D">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pacing w:val="-2"/>
                <w:sz w:val="21"/>
                <w:szCs w:val="21"/>
                <w:highlight w:val="none"/>
              </w:rPr>
            </w:pPr>
          </w:p>
        </w:tc>
        <w:tc>
          <w:tcPr>
            <w:tcW w:w="1685" w:type="dxa"/>
            <w:shd w:val="clear" w:color="auto" w:fill="auto"/>
            <w:vAlign w:val="center"/>
          </w:tcPr>
          <w:p w14:paraId="51D96435">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处</w:t>
            </w:r>
            <w:r>
              <w:rPr>
                <w:rFonts w:hint="eastAsia" w:ascii="Times New Roman" w:hAnsi="Times New Roman" w:eastAsia="方正仿宋_GBK" w:cs="Times New Roman"/>
                <w:i w:val="0"/>
                <w:iCs w:val="0"/>
                <w:color w:val="000000"/>
                <w:kern w:val="0"/>
                <w:sz w:val="21"/>
                <w:szCs w:val="21"/>
                <w:u w:val="none"/>
                <w:lang w:val="en-US" w:eastAsia="zh-CN" w:bidi="ar"/>
              </w:rPr>
              <w:t>二十万元及以下</w:t>
            </w:r>
            <w:r>
              <w:rPr>
                <w:rFonts w:hint="default" w:ascii="Times New Roman" w:hAnsi="Times New Roman" w:eastAsia="方正仿宋_GBK" w:cs="Times New Roman"/>
                <w:i w:val="0"/>
                <w:iCs w:val="0"/>
                <w:color w:val="000000"/>
                <w:kern w:val="0"/>
                <w:sz w:val="21"/>
                <w:szCs w:val="21"/>
                <w:u w:val="none"/>
                <w:lang w:val="en-US" w:eastAsia="zh-CN" w:bidi="ar"/>
              </w:rPr>
              <w:t>三十万元</w:t>
            </w:r>
            <w:r>
              <w:rPr>
                <w:rFonts w:hint="eastAsia" w:ascii="Times New Roman" w:hAnsi="Times New Roman" w:eastAsia="方正仿宋_GBK" w:cs="Times New Roman"/>
                <w:i w:val="0"/>
                <w:iCs w:val="0"/>
                <w:color w:val="000000"/>
                <w:kern w:val="0"/>
                <w:sz w:val="21"/>
                <w:szCs w:val="21"/>
                <w:u w:val="none"/>
                <w:lang w:val="en-US" w:eastAsia="zh-CN" w:bidi="ar"/>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27E58A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9" w:hRule="atLeast"/>
          <w:jc w:val="center"/>
        </w:trPr>
        <w:tc>
          <w:tcPr>
            <w:tcW w:w="512" w:type="dxa"/>
            <w:vMerge w:val="continue"/>
            <w:vAlign w:val="center"/>
          </w:tcPr>
          <w:p w14:paraId="08BCFFF2">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pPr>
          </w:p>
        </w:tc>
        <w:tc>
          <w:tcPr>
            <w:tcW w:w="1296" w:type="dxa"/>
            <w:vMerge w:val="continue"/>
            <w:vAlign w:val="center"/>
          </w:tcPr>
          <w:p w14:paraId="1B226452">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pPr>
          </w:p>
        </w:tc>
        <w:tc>
          <w:tcPr>
            <w:tcW w:w="3244" w:type="dxa"/>
            <w:vMerge w:val="continue"/>
          </w:tcPr>
          <w:p w14:paraId="65B28B42">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pPr>
          </w:p>
        </w:tc>
        <w:tc>
          <w:tcPr>
            <w:tcW w:w="3398" w:type="dxa"/>
            <w:vMerge w:val="continue"/>
          </w:tcPr>
          <w:p w14:paraId="030DA980">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pPr>
          </w:p>
        </w:tc>
        <w:tc>
          <w:tcPr>
            <w:tcW w:w="715" w:type="dxa"/>
            <w:vAlign w:val="center"/>
          </w:tcPr>
          <w:p w14:paraId="09C3494B">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pPr>
          </w:p>
        </w:tc>
        <w:tc>
          <w:tcPr>
            <w:tcW w:w="3959" w:type="dxa"/>
            <w:shd w:val="clear" w:color="auto" w:fill="auto"/>
            <w:vAlign w:val="center"/>
          </w:tcPr>
          <w:p w14:paraId="089FC12C">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p>
        </w:tc>
        <w:tc>
          <w:tcPr>
            <w:tcW w:w="653" w:type="dxa"/>
            <w:vAlign w:val="center"/>
          </w:tcPr>
          <w:p w14:paraId="3B089DBA">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p>
        </w:tc>
        <w:tc>
          <w:tcPr>
            <w:tcW w:w="1685" w:type="dxa"/>
            <w:shd w:val="clear" w:color="auto" w:fill="auto"/>
            <w:vAlign w:val="center"/>
          </w:tcPr>
          <w:p w14:paraId="3297BEB9">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p>
        </w:tc>
      </w:tr>
      <w:tr w14:paraId="5F630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restart"/>
            <w:vAlign w:val="center"/>
          </w:tcPr>
          <w:p w14:paraId="3B5E8816">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0E2BFBBA">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3BE2328B">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08356266">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77A8EE2C">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00C47E0E">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7DD867C9">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14767465">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6F073729">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3D6D02A7">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501A3B55">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0BCB5649">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p>
          <w:p w14:paraId="3B5C4AEB">
            <w:pPr>
              <w:keepNext w:val="0"/>
              <w:keepLines w:val="0"/>
              <w:pageBreakBefore w:val="0"/>
              <w:kinsoku/>
              <w:wordWrap/>
              <w:overflowPunct/>
              <w:topLinePunct w:val="0"/>
              <w:autoSpaceDE/>
              <w:autoSpaceDN/>
              <w:bidi w:val="0"/>
              <w:adjustRightInd/>
              <w:snapToGrid/>
              <w:spacing w:line="370" w:lineRule="exact"/>
              <w:jc w:val="center"/>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K" w:cs="Times New Roman"/>
                <w:sz w:val="21"/>
                <w:szCs w:val="21"/>
                <w:highlight w:val="none"/>
                <w:vertAlign w:val="baseline"/>
                <w:lang w:val="en-US" w:eastAsia="zh-CN"/>
              </w:rPr>
              <w:t>5</w:t>
            </w:r>
          </w:p>
        </w:tc>
        <w:tc>
          <w:tcPr>
            <w:tcW w:w="1296" w:type="dxa"/>
            <w:vMerge w:val="restart"/>
            <w:vAlign w:val="center"/>
          </w:tcPr>
          <w:p w14:paraId="0300C137">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2123A20B">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7997B4B2">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2CD93470">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1742A144">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46E029A5">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2F9FCEC4">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2A4A02A2">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6EED22DF">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5CEA98CE">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对重点用能单位未按规定设立能源管理岗位，聘任能源管理负责人的处罚</w:t>
            </w:r>
          </w:p>
        </w:tc>
        <w:tc>
          <w:tcPr>
            <w:tcW w:w="3244" w:type="dxa"/>
            <w:vMerge w:val="restart"/>
          </w:tcPr>
          <w:p w14:paraId="209DB367">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p>
          <w:p w14:paraId="0B043EB4">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第五十五条第一款</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重点用能单位应当设立能源管理岗位，在具有节能专业知识、实际经验以及中级以上技术职称的人员中聘任能源管理负责人，并报管理节能工作的部门和有关部门备案。</w:t>
            </w:r>
            <w:r>
              <w:rPr>
                <w:rFonts w:hint="default" w:ascii="Times New Roman" w:hAnsi="Times New Roman" w:eastAsia="方正仿宋_GB2312" w:cs="Times New Roman"/>
                <w:i w:val="0"/>
                <w:iCs w:val="0"/>
                <w:caps w:val="0"/>
                <w:color w:val="000000"/>
                <w:spacing w:val="0"/>
                <w:sz w:val="21"/>
                <w:szCs w:val="21"/>
                <w:highlight w:val="none"/>
                <w:shd w:val="clear" w:fill="FFFFFF"/>
              </w:rPr>
              <w:br w:type="textWrapping"/>
            </w:r>
          </w:p>
          <w:p w14:paraId="74C0038D">
            <w:pPr>
              <w:pStyle w:val="7"/>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p>
        </w:tc>
        <w:tc>
          <w:tcPr>
            <w:tcW w:w="3398" w:type="dxa"/>
            <w:vMerge w:val="restart"/>
          </w:tcPr>
          <w:p w14:paraId="1B4CD008">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p>
          <w:p w14:paraId="0781185A">
            <w:pPr>
              <w:pStyle w:val="7"/>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i w:val="0"/>
                <w:iCs w:val="0"/>
                <w:caps w:val="0"/>
                <w:color w:val="000000"/>
                <w:spacing w:val="0"/>
                <w:sz w:val="21"/>
                <w:szCs w:val="21"/>
                <w:highlight w:val="none"/>
                <w:shd w:val="clear" w:fill="FFFFFF"/>
              </w:rPr>
              <w:t>第八十四条</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重点用能单位未按照本法规定设立能源管理岗位，聘任能源管理负责人，并报管理节能工作的部门和有关部门备案的，由管理节能工作的部门责令改正；拒不改正的，处一万元以上三万元以下罚款。</w:t>
            </w:r>
          </w:p>
        </w:tc>
        <w:tc>
          <w:tcPr>
            <w:tcW w:w="715" w:type="dxa"/>
            <w:vAlign w:val="center"/>
          </w:tcPr>
          <w:p w14:paraId="22702DBE">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轻微</w:t>
            </w:r>
          </w:p>
        </w:tc>
        <w:tc>
          <w:tcPr>
            <w:tcW w:w="3959" w:type="dxa"/>
            <w:shd w:val="clear" w:color="auto" w:fill="auto"/>
            <w:vAlign w:val="center"/>
          </w:tcPr>
          <w:p w14:paraId="6DC10679">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未设立能源管理岗位、未聘任能源管理负责人，未报管理节能工作的部门和有关部门备案的，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内完成整改的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Align w:val="center"/>
          </w:tcPr>
          <w:p w14:paraId="6ABE020A">
            <w:pPr>
              <w:pStyle w:val="7"/>
              <w:keepNext w:val="0"/>
              <w:keepLines w:val="0"/>
              <w:pageBreakBefore w:val="0"/>
              <w:widowControl w:val="0"/>
              <w:numPr>
                <w:ilvl w:val="0"/>
                <w:numId w:val="0"/>
              </w:numPr>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pacing w:val="-1"/>
                <w:sz w:val="21"/>
                <w:szCs w:val="21"/>
                <w:highlight w:val="none"/>
                <w:lang w:val="en-US" w:eastAsia="zh-CN"/>
              </w:rPr>
            </w:pPr>
            <w:r>
              <w:rPr>
                <w:rFonts w:hint="default" w:ascii="Times New Roman" w:hAnsi="Times New Roman" w:eastAsia="方正仿宋_GBK" w:cs="Times New Roman"/>
                <w:spacing w:val="-1"/>
                <w:sz w:val="21"/>
                <w:szCs w:val="21"/>
                <w:highlight w:val="none"/>
                <w:lang w:val="en-US" w:eastAsia="zh-CN"/>
              </w:rPr>
              <w:t>从轻</w:t>
            </w:r>
          </w:p>
        </w:tc>
        <w:tc>
          <w:tcPr>
            <w:tcW w:w="1685" w:type="dxa"/>
            <w:shd w:val="clear" w:color="auto" w:fill="auto"/>
            <w:vAlign w:val="center"/>
          </w:tcPr>
          <w:p w14:paraId="6A830073">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eastAsia" w:ascii="Times New Roman" w:hAnsi="Times New Roman" w:eastAsia="方正仿宋_GBK" w:cs="Times New Roman"/>
                <w:i w:val="0"/>
                <w:iCs w:val="0"/>
                <w:color w:val="000000"/>
                <w:kern w:val="0"/>
                <w:sz w:val="21"/>
                <w:szCs w:val="21"/>
                <w:u w:val="none"/>
                <w:lang w:val="en-US" w:eastAsia="zh-CN" w:bidi="ar"/>
              </w:rPr>
              <w:t>免予行政</w:t>
            </w:r>
            <w:r>
              <w:rPr>
                <w:rFonts w:hint="default" w:ascii="Times New Roman" w:hAnsi="Times New Roman" w:eastAsia="方正仿宋_GBK" w:cs="Times New Roman"/>
                <w:i w:val="0"/>
                <w:iCs w:val="0"/>
                <w:color w:val="000000"/>
                <w:kern w:val="0"/>
                <w:sz w:val="21"/>
                <w:szCs w:val="21"/>
                <w:u w:val="none"/>
                <w:lang w:val="en-US" w:eastAsia="zh-CN" w:bidi="ar"/>
              </w:rPr>
              <w:t>处罚</w:t>
            </w:r>
          </w:p>
        </w:tc>
      </w:tr>
      <w:tr w14:paraId="5B4A88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vAlign w:val="center"/>
          </w:tcPr>
          <w:p w14:paraId="3F0E50D6">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rPr>
            </w:pPr>
          </w:p>
        </w:tc>
        <w:tc>
          <w:tcPr>
            <w:tcW w:w="1296" w:type="dxa"/>
            <w:vMerge w:val="continue"/>
            <w:vAlign w:val="center"/>
          </w:tcPr>
          <w:p w14:paraId="77E6C7A8">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rPr>
            </w:pPr>
          </w:p>
        </w:tc>
        <w:tc>
          <w:tcPr>
            <w:tcW w:w="3244" w:type="dxa"/>
            <w:vMerge w:val="continue"/>
          </w:tcPr>
          <w:p w14:paraId="216EF0CF">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rPr>
            </w:pPr>
          </w:p>
        </w:tc>
        <w:tc>
          <w:tcPr>
            <w:tcW w:w="3398" w:type="dxa"/>
            <w:vMerge w:val="continue"/>
          </w:tcPr>
          <w:p w14:paraId="2783ABA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rPr>
            </w:pPr>
          </w:p>
        </w:tc>
        <w:tc>
          <w:tcPr>
            <w:tcW w:w="715" w:type="dxa"/>
            <w:vMerge w:val="restart"/>
            <w:vAlign w:val="center"/>
          </w:tcPr>
          <w:p w14:paraId="55E46D08">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3959" w:type="dxa"/>
            <w:shd w:val="clear" w:color="auto" w:fill="auto"/>
            <w:vAlign w:val="center"/>
          </w:tcPr>
          <w:p w14:paraId="634B5CA1">
            <w:pPr>
              <w:keepNext w:val="0"/>
              <w:keepLines w:val="0"/>
              <w:pageBreakBefore w:val="0"/>
              <w:widowControl/>
              <w:numPr>
                <w:ilvl w:val="0"/>
                <w:numId w:val="0"/>
              </w:numPr>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设立能源管理岗位、聘任能源管理负责人</w:t>
            </w:r>
            <w:r>
              <w:rPr>
                <w:rFonts w:hint="eastAsia" w:ascii="Times New Roman" w:hAnsi="Times New Roman" w:eastAsia="方正仿宋_GBK" w:cs="Times New Roman"/>
                <w:i w:val="0"/>
                <w:iCs w:val="0"/>
                <w:color w:val="000000"/>
                <w:kern w:val="0"/>
                <w:sz w:val="21"/>
                <w:szCs w:val="21"/>
                <w:u w:val="none"/>
                <w:lang w:val="en-US" w:eastAsia="zh-CN" w:bidi="ar"/>
              </w:rPr>
              <w:t>，但</w:t>
            </w:r>
            <w:r>
              <w:rPr>
                <w:rFonts w:hint="default" w:ascii="Times New Roman" w:hAnsi="Times New Roman" w:eastAsia="方正仿宋_GBK" w:cs="Times New Roman"/>
                <w:i w:val="0"/>
                <w:iCs w:val="0"/>
                <w:color w:val="000000"/>
                <w:kern w:val="0"/>
                <w:sz w:val="21"/>
                <w:szCs w:val="21"/>
                <w:u w:val="none"/>
                <w:lang w:val="en-US" w:eastAsia="zh-CN" w:bidi="ar"/>
              </w:rPr>
              <w:t>未报管理节能工作的部门和有关部门备案的，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期限届满拒不整改或整改未达到要求的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restart"/>
            <w:vAlign w:val="center"/>
          </w:tcPr>
          <w:p w14:paraId="102519A9">
            <w:pPr>
              <w:keepNext w:val="0"/>
              <w:keepLines w:val="0"/>
              <w:pageBreakBefore w:val="0"/>
              <w:widowControl w:val="0"/>
              <w:numPr>
                <w:ilvl w:val="0"/>
                <w:numId w:val="0"/>
              </w:numPr>
              <w:kinsoku/>
              <w:wordWrap/>
              <w:overflowPunct/>
              <w:topLinePunct w:val="0"/>
              <w:autoSpaceDE/>
              <w:autoSpaceDN/>
              <w:bidi w:val="0"/>
              <w:adjustRightInd/>
              <w:snapToGrid/>
              <w:spacing w:line="370" w:lineRule="exact"/>
              <w:ind w:leftChars="0"/>
              <w:jc w:val="center"/>
              <w:textAlignment w:val="auto"/>
              <w:rPr>
                <w:rFonts w:hint="default" w:ascii="Times New Roman" w:hAnsi="Times New Roman" w:eastAsia="方正仿宋_GBK" w:cs="Times New Roman"/>
                <w:spacing w:val="-2"/>
                <w:sz w:val="21"/>
                <w:szCs w:val="21"/>
                <w:highlight w:val="none"/>
                <w:lang w:val="en-US" w:eastAsia="zh-CN"/>
              </w:rPr>
            </w:pPr>
            <w:r>
              <w:rPr>
                <w:rFonts w:hint="default" w:ascii="Times New Roman" w:hAnsi="Times New Roman" w:eastAsia="方正仿宋_GBK" w:cs="Times New Roman"/>
                <w:spacing w:val="-2"/>
                <w:sz w:val="21"/>
                <w:szCs w:val="21"/>
                <w:highlight w:val="none"/>
                <w:lang w:val="en-US" w:eastAsia="zh-CN"/>
              </w:rPr>
              <w:t>一般</w:t>
            </w:r>
          </w:p>
        </w:tc>
        <w:tc>
          <w:tcPr>
            <w:tcW w:w="1685" w:type="dxa"/>
            <w:shd w:val="clear" w:color="auto" w:fill="auto"/>
            <w:vAlign w:val="center"/>
          </w:tcPr>
          <w:p w14:paraId="13B32622">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处一万元</w:t>
            </w:r>
            <w:r>
              <w:rPr>
                <w:rFonts w:hint="eastAsia" w:ascii="Times New Roman" w:hAnsi="Times New Roman" w:eastAsia="方正仿宋_GBK" w:cs="Times New Roman"/>
                <w:i w:val="0"/>
                <w:iCs w:val="0"/>
                <w:color w:val="000000"/>
                <w:kern w:val="0"/>
                <w:sz w:val="21"/>
                <w:szCs w:val="21"/>
                <w:u w:val="none"/>
                <w:lang w:val="en-US" w:eastAsia="zh-CN" w:bidi="ar"/>
              </w:rPr>
              <w:t>以以上二万元以下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2B99C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vAlign w:val="center"/>
          </w:tcPr>
          <w:p w14:paraId="29D6B18C">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2A088088">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1408E107">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33372C77">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Merge w:val="continue"/>
            <w:vAlign w:val="center"/>
          </w:tcPr>
          <w:p w14:paraId="320226AD">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shd w:val="clear" w:color="auto" w:fill="auto"/>
            <w:vAlign w:val="center"/>
          </w:tcPr>
          <w:p w14:paraId="11A6EB24">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未设立能源管理岗位、未聘任能源管理负责人、未报管理节能工作的部门和有关部门备案的，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期限届满整改仍未达到要求的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606567A4">
            <w:pPr>
              <w:keepNext w:val="0"/>
              <w:keepLines w:val="0"/>
              <w:pageBreakBefore w:val="0"/>
              <w:widowControl w:val="0"/>
              <w:numPr>
                <w:ilvl w:val="0"/>
                <w:numId w:val="0"/>
              </w:numPr>
              <w:kinsoku/>
              <w:wordWrap/>
              <w:overflowPunct/>
              <w:topLinePunct w:val="0"/>
              <w:autoSpaceDE/>
              <w:autoSpaceDN/>
              <w:bidi w:val="0"/>
              <w:adjustRightInd/>
              <w:snapToGrid/>
              <w:spacing w:line="370" w:lineRule="exact"/>
              <w:ind w:leftChars="0"/>
              <w:jc w:val="center"/>
              <w:textAlignment w:val="auto"/>
              <w:rPr>
                <w:rFonts w:hint="default" w:ascii="Times New Roman" w:hAnsi="Times New Roman" w:eastAsia="方正仿宋_GBK" w:cs="Times New Roman"/>
                <w:spacing w:val="-2"/>
                <w:sz w:val="21"/>
                <w:szCs w:val="21"/>
                <w:highlight w:val="none"/>
                <w:lang w:val="en-US" w:eastAsia="zh-CN"/>
              </w:rPr>
            </w:pPr>
          </w:p>
        </w:tc>
        <w:tc>
          <w:tcPr>
            <w:tcW w:w="1685" w:type="dxa"/>
            <w:shd w:val="clear" w:color="auto" w:fill="auto"/>
            <w:vAlign w:val="center"/>
          </w:tcPr>
          <w:p w14:paraId="57AE5848">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处二万元</w:t>
            </w:r>
            <w:r>
              <w:rPr>
                <w:rFonts w:hint="eastAsia" w:ascii="Times New Roman" w:hAnsi="Times New Roman" w:eastAsia="方正仿宋_GBK" w:cs="Times New Roman"/>
                <w:i w:val="0"/>
                <w:iCs w:val="0"/>
                <w:color w:val="000000"/>
                <w:kern w:val="0"/>
                <w:sz w:val="21"/>
                <w:szCs w:val="21"/>
                <w:u w:val="none"/>
                <w:lang w:val="en-US" w:eastAsia="zh-CN" w:bidi="ar"/>
              </w:rPr>
              <w:t>及以上三万元以下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5FFAE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1" w:hRule="atLeast"/>
          <w:jc w:val="center"/>
        </w:trPr>
        <w:tc>
          <w:tcPr>
            <w:tcW w:w="512" w:type="dxa"/>
            <w:vMerge w:val="continue"/>
            <w:vAlign w:val="center"/>
          </w:tcPr>
          <w:p w14:paraId="347C6D0B">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4BFF3859">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27D04BB2">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550AE283">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Align w:val="center"/>
          </w:tcPr>
          <w:p w14:paraId="182F2A02">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严重</w:t>
            </w:r>
          </w:p>
        </w:tc>
        <w:tc>
          <w:tcPr>
            <w:tcW w:w="3959" w:type="dxa"/>
            <w:shd w:val="clear" w:color="auto" w:fill="auto"/>
            <w:vAlign w:val="center"/>
          </w:tcPr>
          <w:p w14:paraId="0301F017">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重点用能单位未设立能源管理岗位、未聘任能源管理负责人，未报管理节能工作的部门和有关部门备案的，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Align w:val="center"/>
          </w:tcPr>
          <w:p w14:paraId="7B3B691D">
            <w:pPr>
              <w:keepNext w:val="0"/>
              <w:keepLines w:val="0"/>
              <w:pageBreakBefore w:val="0"/>
              <w:widowControl w:val="0"/>
              <w:numPr>
                <w:ilvl w:val="0"/>
                <w:numId w:val="0"/>
              </w:numPr>
              <w:kinsoku/>
              <w:wordWrap/>
              <w:overflowPunct/>
              <w:topLinePunct w:val="0"/>
              <w:autoSpaceDE/>
              <w:autoSpaceDN/>
              <w:bidi w:val="0"/>
              <w:adjustRightInd/>
              <w:snapToGrid/>
              <w:spacing w:line="370" w:lineRule="exact"/>
              <w:ind w:leftChars="0"/>
              <w:jc w:val="center"/>
              <w:textAlignment w:val="auto"/>
              <w:rPr>
                <w:rFonts w:hint="default" w:ascii="Times New Roman" w:hAnsi="Times New Roman" w:eastAsia="方正仿宋_GBK" w:cs="Times New Roman"/>
                <w:spacing w:val="-2"/>
                <w:sz w:val="21"/>
                <w:szCs w:val="21"/>
                <w:highlight w:val="none"/>
                <w:lang w:val="en-US" w:eastAsia="zh-CN"/>
              </w:rPr>
            </w:pPr>
            <w:r>
              <w:rPr>
                <w:rFonts w:hint="default" w:ascii="Times New Roman" w:hAnsi="Times New Roman" w:eastAsia="方正仿宋_GBK" w:cs="Times New Roman"/>
                <w:spacing w:val="-2"/>
                <w:sz w:val="21"/>
                <w:szCs w:val="21"/>
                <w:highlight w:val="none"/>
                <w:lang w:val="en-US" w:eastAsia="zh-CN"/>
              </w:rPr>
              <w:t>从重</w:t>
            </w:r>
          </w:p>
        </w:tc>
        <w:tc>
          <w:tcPr>
            <w:tcW w:w="1685" w:type="dxa"/>
            <w:shd w:val="clear" w:color="auto" w:fill="auto"/>
            <w:vAlign w:val="center"/>
          </w:tcPr>
          <w:p w14:paraId="4DFF98BC">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处三万元罚款</w:t>
            </w:r>
          </w:p>
        </w:tc>
      </w:tr>
      <w:tr w14:paraId="04385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restart"/>
            <w:vAlign w:val="center"/>
          </w:tcPr>
          <w:p w14:paraId="330AE4A3">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K" w:cs="Times New Roman"/>
                <w:sz w:val="21"/>
                <w:szCs w:val="21"/>
                <w:highlight w:val="none"/>
                <w:vertAlign w:val="baseline"/>
                <w:lang w:val="en-US" w:eastAsia="zh-CN"/>
              </w:rPr>
              <w:t>6</w:t>
            </w:r>
          </w:p>
        </w:tc>
        <w:tc>
          <w:tcPr>
            <w:tcW w:w="1296" w:type="dxa"/>
            <w:vMerge w:val="restart"/>
            <w:vAlign w:val="center"/>
          </w:tcPr>
          <w:p w14:paraId="111D2C7E">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rPr>
            </w:pPr>
            <w:r>
              <w:rPr>
                <w:rFonts w:hint="default" w:ascii="Times New Roman" w:hAnsi="Times New Roman" w:eastAsia="方正仿宋_GBK" w:cs="Times New Roman"/>
                <w:i w:val="0"/>
                <w:iCs w:val="0"/>
                <w:caps w:val="0"/>
                <w:color w:val="000000"/>
                <w:spacing w:val="0"/>
                <w:sz w:val="21"/>
                <w:szCs w:val="21"/>
                <w:highlight w:val="none"/>
                <w:shd w:val="clear" w:fill="FFFFFF"/>
              </w:rPr>
              <w:t>对从事节能咨询、设计、评估、检测、审计、认证等服务的机构提供虚假信息的处罚</w:t>
            </w:r>
          </w:p>
        </w:tc>
        <w:tc>
          <w:tcPr>
            <w:tcW w:w="3244" w:type="dxa"/>
            <w:vMerge w:val="restart"/>
          </w:tcPr>
          <w:p w14:paraId="60C350A4">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【法律】《中华人民共和国节约能源法》</w:t>
            </w:r>
          </w:p>
          <w:p w14:paraId="30B0D3A2">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b/>
                <w:bCs/>
                <w:i w:val="0"/>
                <w:iCs w:val="0"/>
                <w:caps w:val="0"/>
                <w:color w:val="000000"/>
                <w:spacing w:val="0"/>
                <w:sz w:val="21"/>
                <w:szCs w:val="21"/>
                <w:highlight w:val="none"/>
                <w:shd w:val="clear" w:fill="FFFFFF"/>
                <w:lang w:val="en-US" w:eastAsia="zh-CN"/>
              </w:rPr>
              <w:t>第二十二条</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K" w:cs="Times New Roman"/>
                <w:i w:val="0"/>
                <w:iCs w:val="0"/>
                <w:caps w:val="0"/>
                <w:color w:val="000000"/>
                <w:spacing w:val="0"/>
                <w:sz w:val="21"/>
                <w:szCs w:val="21"/>
                <w:highlight w:val="none"/>
                <w:shd w:val="clear" w:fill="FFFFFF"/>
              </w:rPr>
              <w:t>国家鼓励节能服务机构的发展，支持节能服务机构开展节能咨询、设计、评估、检测、审计、认证等服务。 国家支持节能服务机构开展节能知识宣传和节能技术培训，提供节能信息、节能示范和其他公益性节能服务。</w:t>
            </w:r>
          </w:p>
          <w:p w14:paraId="453D25DD">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eastAsia="zh-CN"/>
              </w:rPr>
              <w:t>地方性法规</w:t>
            </w:r>
            <w:r>
              <w:rPr>
                <w:rFonts w:hint="default" w:ascii="Times New Roman" w:hAnsi="Times New Roman" w:eastAsia="方正仿宋_GBK" w:cs="Times New Roman"/>
                <w:i w:val="0"/>
                <w:iCs w:val="0"/>
                <w:caps w:val="0"/>
                <w:color w:val="000000"/>
                <w:spacing w:val="0"/>
                <w:sz w:val="21"/>
                <w:szCs w:val="21"/>
                <w:highlight w:val="none"/>
                <w:shd w:val="clear" w:fill="FFFFFF"/>
              </w:rPr>
              <w:t>】《江苏省节约能源条例》</w:t>
            </w:r>
            <w:r>
              <w:rPr>
                <w:rFonts w:hint="default" w:ascii="Times New Roman" w:hAnsi="Times New Roman" w:eastAsia="方正仿宋_GBK" w:cs="Times New Roman"/>
                <w:i w:val="0"/>
                <w:iCs w:val="0"/>
                <w:caps w:val="0"/>
                <w:color w:val="000000"/>
                <w:spacing w:val="0"/>
                <w:sz w:val="21"/>
                <w:szCs w:val="21"/>
                <w:highlight w:val="none"/>
                <w:shd w:val="clear" w:fill="FFFFFF"/>
              </w:rPr>
              <w:br w:type="textWrapping"/>
            </w:r>
            <w:r>
              <w:rPr>
                <w:rFonts w:hint="default" w:ascii="Times New Roman" w:hAnsi="Times New Roman" w:eastAsia="方正仿宋_GBK" w:cs="Times New Roman"/>
                <w:b/>
                <w:bCs/>
                <w:w w:val="105"/>
                <w:kern w:val="2"/>
                <w:sz w:val="21"/>
                <w:szCs w:val="21"/>
                <w:highlight w:val="none"/>
                <w:lang w:val="en-US" w:eastAsia="zh-CN" w:bidi="ar-SA"/>
              </w:rPr>
              <w:t>第四十三条第三款</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K" w:cs="Times New Roman"/>
                <w:i w:val="0"/>
                <w:iCs w:val="0"/>
                <w:caps w:val="0"/>
                <w:color w:val="000000"/>
                <w:spacing w:val="0"/>
                <w:sz w:val="21"/>
                <w:szCs w:val="21"/>
                <w:highlight w:val="none"/>
                <w:shd w:val="clear" w:fill="FFFFFF"/>
              </w:rPr>
              <w:t>节能服务机构应当客观、公正地提供用能单位能耗的有关数据和分析报告。</w:t>
            </w:r>
            <w:r>
              <w:rPr>
                <w:rFonts w:hint="default" w:ascii="Times New Roman" w:hAnsi="Times New Roman" w:eastAsia="方正仿宋_GBK" w:cs="Times New Roman"/>
                <w:i w:val="0"/>
                <w:iCs w:val="0"/>
                <w:caps w:val="0"/>
                <w:color w:val="000000"/>
                <w:spacing w:val="0"/>
                <w:sz w:val="21"/>
                <w:szCs w:val="21"/>
                <w:highlight w:val="none"/>
                <w:shd w:val="clear" w:fill="FFFFFF"/>
              </w:rPr>
              <w:br w:type="textWrapping"/>
            </w:r>
          </w:p>
        </w:tc>
        <w:tc>
          <w:tcPr>
            <w:tcW w:w="3398" w:type="dxa"/>
            <w:vMerge w:val="restart"/>
          </w:tcPr>
          <w:p w14:paraId="467ECBB0">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【法律】《中华人民共和国节约能源法》</w:t>
            </w:r>
          </w:p>
          <w:p w14:paraId="411311EC">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b/>
                <w:bCs/>
                <w:i w:val="0"/>
                <w:iCs w:val="0"/>
                <w:caps w:val="0"/>
                <w:color w:val="000000"/>
                <w:spacing w:val="0"/>
                <w:sz w:val="21"/>
                <w:szCs w:val="21"/>
                <w:highlight w:val="none"/>
                <w:shd w:val="clear" w:fill="FFFFFF"/>
              </w:rPr>
              <w:t>第七十六条</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K" w:cs="Times New Roman"/>
                <w:i w:val="0"/>
                <w:iCs w:val="0"/>
                <w:caps w:val="0"/>
                <w:color w:val="000000"/>
                <w:spacing w:val="0"/>
                <w:sz w:val="21"/>
                <w:szCs w:val="21"/>
                <w:highlight w:val="none"/>
                <w:shd w:val="clear" w:fill="FFFFFF"/>
              </w:rPr>
              <w:t>从事节能咨询、设计、评估、检测、审计、认证等服务的机构提供虚假信息的，由管理节能工作的部门责令改正，没收违法所得，并处五万元以上十万元以下罚款。</w:t>
            </w:r>
          </w:p>
          <w:p w14:paraId="0516059F">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eastAsia="zh-CN"/>
              </w:rPr>
              <w:t>地方性法规</w:t>
            </w:r>
            <w:r>
              <w:rPr>
                <w:rFonts w:hint="default" w:ascii="Times New Roman" w:hAnsi="Times New Roman" w:eastAsia="方正仿宋_GBK" w:cs="Times New Roman"/>
                <w:i w:val="0"/>
                <w:iCs w:val="0"/>
                <w:caps w:val="0"/>
                <w:color w:val="000000"/>
                <w:spacing w:val="0"/>
                <w:sz w:val="21"/>
                <w:szCs w:val="21"/>
                <w:highlight w:val="none"/>
                <w:shd w:val="clear" w:fill="FFFFFF"/>
              </w:rPr>
              <w:t>】《江苏省节约能源条例》</w:t>
            </w:r>
          </w:p>
          <w:p w14:paraId="2626B62F">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b/>
                <w:bCs/>
                <w:w w:val="105"/>
                <w:kern w:val="2"/>
                <w:sz w:val="21"/>
                <w:szCs w:val="21"/>
                <w:highlight w:val="none"/>
                <w:lang w:val="en-US" w:eastAsia="zh-CN" w:bidi="ar-SA"/>
              </w:rPr>
              <w:t>第五十二条</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K" w:cs="Times New Roman"/>
                <w:i w:val="0"/>
                <w:iCs w:val="0"/>
                <w:caps w:val="0"/>
                <w:color w:val="000000"/>
                <w:spacing w:val="0"/>
                <w:sz w:val="21"/>
                <w:szCs w:val="21"/>
                <w:highlight w:val="none"/>
                <w:shd w:val="clear" w:fill="FFFFFF"/>
              </w:rPr>
              <w:t>违反本条例第四十三条第三款规定，节能服务机构提供虚假的数据和分析报告的，由节能主管部门责令改正，没收违法所得，并处以五万元以上十万元以下罚款。</w:t>
            </w:r>
          </w:p>
        </w:tc>
        <w:tc>
          <w:tcPr>
            <w:tcW w:w="715" w:type="dxa"/>
            <w:vAlign w:val="center"/>
          </w:tcPr>
          <w:p w14:paraId="36D14BD8">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轻微</w:t>
            </w:r>
          </w:p>
        </w:tc>
        <w:tc>
          <w:tcPr>
            <w:tcW w:w="3959" w:type="dxa"/>
            <w:shd w:val="clear" w:color="auto" w:fill="auto"/>
            <w:vAlign w:val="center"/>
          </w:tcPr>
          <w:p w14:paraId="7F154C5F">
            <w:pPr>
              <w:keepNext w:val="0"/>
              <w:keepLines w:val="0"/>
              <w:pageBreakBefore w:val="0"/>
              <w:widowControl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K" w:cs="Times New Roman"/>
                <w:kern w:val="2"/>
                <w:sz w:val="21"/>
                <w:szCs w:val="21"/>
                <w:highlight w:val="none"/>
                <w:vertAlign w:val="baseline"/>
                <w:lang w:val="en-US" w:eastAsia="zh-CN" w:bidi="ar-SA"/>
              </w:rPr>
            </w:pPr>
            <w:r>
              <w:rPr>
                <w:rFonts w:hint="default" w:ascii="Times New Roman" w:hAnsi="Times New Roman" w:eastAsia="方正仿宋_GBK" w:cs="Times New Roman"/>
                <w:sz w:val="21"/>
                <w:szCs w:val="21"/>
                <w:highlight w:val="none"/>
                <w:vertAlign w:val="baseline"/>
                <w:lang w:eastAsia="zh-CN"/>
              </w:rPr>
              <w:t>从事节能咨询、设计、评估、检测、审计、认证等服务的机构提供虚假信息的，</w:t>
            </w:r>
            <w:r>
              <w:rPr>
                <w:rFonts w:hint="eastAsia" w:ascii="Times New Roman" w:hAnsi="Times New Roman" w:eastAsia="方正仿宋_GBK" w:cs="Times New Roman"/>
                <w:sz w:val="21"/>
                <w:szCs w:val="21"/>
                <w:highlight w:val="none"/>
                <w:vertAlign w:val="baseline"/>
                <w:lang w:val="en-US" w:eastAsia="zh-CN"/>
              </w:rPr>
              <w:t>未造成影响，且</w:t>
            </w:r>
            <w:r>
              <w:rPr>
                <w:rFonts w:hint="eastAsia" w:ascii="Times New Roman" w:hAnsi="Times New Roman" w:eastAsia="方正仿宋_GBK" w:cs="Times New Roman"/>
                <w:spacing w:val="-2"/>
                <w:sz w:val="21"/>
                <w:szCs w:val="21"/>
                <w:highlight w:val="none"/>
                <w:lang w:val="en-US" w:eastAsia="zh-CN"/>
              </w:rPr>
              <w:t>及时改正的</w:t>
            </w:r>
            <w:r>
              <w:rPr>
                <w:rFonts w:hint="default" w:ascii="Times New Roman" w:hAnsi="Times New Roman" w:eastAsia="方正仿宋_GBK" w:cs="Times New Roman"/>
                <w:sz w:val="21"/>
                <w:szCs w:val="21"/>
                <w:highlight w:val="none"/>
                <w:vertAlign w:val="baseline"/>
                <w:lang w:eastAsia="zh-CN"/>
              </w:rPr>
              <w:t>。</w:t>
            </w:r>
          </w:p>
        </w:tc>
        <w:tc>
          <w:tcPr>
            <w:tcW w:w="653" w:type="dxa"/>
            <w:shd w:val="clear" w:color="auto" w:fill="auto"/>
            <w:vAlign w:val="center"/>
          </w:tcPr>
          <w:p w14:paraId="0CAF27CD">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kern w:val="2"/>
                <w:sz w:val="21"/>
                <w:szCs w:val="21"/>
                <w:highlight w:val="none"/>
                <w:vertAlign w:val="baseline"/>
                <w:lang w:val="en-US" w:eastAsia="zh-CN" w:bidi="ar-SA"/>
              </w:rPr>
            </w:pPr>
            <w:r>
              <w:rPr>
                <w:rFonts w:hint="default" w:ascii="Times New Roman" w:hAnsi="Times New Roman" w:eastAsia="方正仿宋_GBK" w:cs="Times New Roman"/>
                <w:sz w:val="21"/>
                <w:szCs w:val="21"/>
                <w:highlight w:val="none"/>
                <w:vertAlign w:val="baseline"/>
                <w:lang w:val="en-US" w:eastAsia="zh-CN"/>
              </w:rPr>
              <w:t>从轻</w:t>
            </w:r>
          </w:p>
        </w:tc>
        <w:tc>
          <w:tcPr>
            <w:tcW w:w="1685" w:type="dxa"/>
            <w:vAlign w:val="center"/>
          </w:tcPr>
          <w:p w14:paraId="7C2DC2AB">
            <w:pPr>
              <w:keepNext w:val="0"/>
              <w:keepLines w:val="0"/>
              <w:pageBreakBefore w:val="0"/>
              <w:widowControl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免予行政处罚</w:t>
            </w:r>
          </w:p>
        </w:tc>
      </w:tr>
      <w:tr w14:paraId="75FB0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vAlign w:val="center"/>
          </w:tcPr>
          <w:p w14:paraId="0DA47430">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385A2AB1">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tc>
        <w:tc>
          <w:tcPr>
            <w:tcW w:w="3244" w:type="dxa"/>
            <w:vMerge w:val="continue"/>
          </w:tcPr>
          <w:p w14:paraId="6970823B">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p>
        </w:tc>
        <w:tc>
          <w:tcPr>
            <w:tcW w:w="3398" w:type="dxa"/>
            <w:vMerge w:val="continue"/>
          </w:tcPr>
          <w:p w14:paraId="266C73F4">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p>
        </w:tc>
        <w:tc>
          <w:tcPr>
            <w:tcW w:w="715" w:type="dxa"/>
            <w:vMerge w:val="restart"/>
            <w:vAlign w:val="center"/>
          </w:tcPr>
          <w:p w14:paraId="7FFA0EC8">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3959" w:type="dxa"/>
            <w:shd w:val="clear" w:color="auto" w:fill="auto"/>
            <w:vAlign w:val="center"/>
          </w:tcPr>
          <w:p w14:paraId="428CFBEB">
            <w:pPr>
              <w:keepNext w:val="0"/>
              <w:keepLines w:val="0"/>
              <w:pageBreakBefore w:val="0"/>
              <w:widowControl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K" w:cs="Times New Roman"/>
                <w:kern w:val="2"/>
                <w:sz w:val="21"/>
                <w:szCs w:val="21"/>
                <w:highlight w:val="none"/>
                <w:vertAlign w:val="baseline"/>
                <w:lang w:val="en-US" w:eastAsia="zh-CN" w:bidi="ar-SA"/>
              </w:rPr>
            </w:pPr>
            <w:r>
              <w:rPr>
                <w:rFonts w:hint="default" w:ascii="Times New Roman" w:hAnsi="Times New Roman" w:eastAsia="方正仿宋_GBK" w:cs="Times New Roman"/>
                <w:sz w:val="21"/>
                <w:szCs w:val="21"/>
                <w:highlight w:val="none"/>
                <w:vertAlign w:val="baseline"/>
                <w:lang w:eastAsia="zh-CN"/>
              </w:rPr>
              <w:t>从事节能咨询、设计、评估、检测、审计、认证等服务的机构提供虚假信息的，</w:t>
            </w:r>
            <w:r>
              <w:rPr>
                <w:rFonts w:hint="eastAsia" w:ascii="Times New Roman" w:hAnsi="Times New Roman" w:eastAsia="方正仿宋_GBK" w:cs="Times New Roman"/>
                <w:sz w:val="21"/>
                <w:szCs w:val="21"/>
                <w:highlight w:val="none"/>
                <w:vertAlign w:val="baseline"/>
                <w:lang w:val="en-US" w:eastAsia="zh-CN"/>
              </w:rPr>
              <w:t>造成影响，</w:t>
            </w:r>
            <w:r>
              <w:rPr>
                <w:rFonts w:hint="default" w:ascii="Times New Roman" w:hAnsi="Times New Roman" w:eastAsia="方正仿宋_GBK" w:cs="Times New Roman"/>
                <w:spacing w:val="-2"/>
                <w:sz w:val="21"/>
                <w:szCs w:val="21"/>
                <w:highlight w:val="none"/>
                <w:lang w:val="en-US" w:eastAsia="zh-CN"/>
              </w:rPr>
              <w:t>违法所得十万元</w:t>
            </w:r>
            <w:r>
              <w:rPr>
                <w:rFonts w:hint="eastAsia" w:ascii="Times New Roman" w:hAnsi="Times New Roman" w:eastAsia="方正仿宋_GBK" w:cs="Times New Roman"/>
                <w:spacing w:val="-2"/>
                <w:sz w:val="21"/>
                <w:szCs w:val="21"/>
                <w:highlight w:val="none"/>
                <w:lang w:val="en-US" w:eastAsia="zh-CN"/>
              </w:rPr>
              <w:t>及</w:t>
            </w:r>
            <w:r>
              <w:rPr>
                <w:rFonts w:hint="default" w:ascii="Times New Roman" w:hAnsi="Times New Roman" w:eastAsia="方正仿宋_GBK" w:cs="Times New Roman"/>
                <w:spacing w:val="-2"/>
                <w:sz w:val="21"/>
                <w:szCs w:val="21"/>
                <w:highlight w:val="none"/>
                <w:lang w:val="en-US" w:eastAsia="zh-CN"/>
              </w:rPr>
              <w:t>以下的</w:t>
            </w:r>
            <w:r>
              <w:rPr>
                <w:rFonts w:hint="default" w:ascii="Times New Roman" w:hAnsi="Times New Roman" w:eastAsia="方正仿宋_GBK" w:cs="Times New Roman"/>
                <w:sz w:val="21"/>
                <w:szCs w:val="21"/>
                <w:highlight w:val="none"/>
                <w:vertAlign w:val="baseline"/>
                <w:lang w:eastAsia="zh-CN"/>
              </w:rPr>
              <w:t>。</w:t>
            </w:r>
          </w:p>
        </w:tc>
        <w:tc>
          <w:tcPr>
            <w:tcW w:w="653" w:type="dxa"/>
            <w:vMerge w:val="restart"/>
            <w:shd w:val="clear" w:color="auto" w:fill="auto"/>
            <w:vAlign w:val="center"/>
          </w:tcPr>
          <w:p w14:paraId="01E9744C">
            <w:pPr>
              <w:keepNext w:val="0"/>
              <w:keepLines w:val="0"/>
              <w:pageBreakBefore w:val="0"/>
              <w:widowControl w:val="0"/>
              <w:numPr>
                <w:ilvl w:val="0"/>
                <w:numId w:val="0"/>
              </w:numPr>
              <w:kinsoku/>
              <w:wordWrap/>
              <w:overflowPunct/>
              <w:topLinePunct w:val="0"/>
              <w:autoSpaceDE/>
              <w:autoSpaceDN/>
              <w:bidi w:val="0"/>
              <w:adjustRightInd/>
              <w:snapToGrid/>
              <w:spacing w:line="370" w:lineRule="exact"/>
              <w:ind w:leftChars="0" w:right="0" w:rightChars="0"/>
              <w:jc w:val="both"/>
              <w:textAlignment w:val="auto"/>
              <w:rPr>
                <w:rFonts w:hint="default" w:ascii="Times New Roman" w:hAnsi="Times New Roman" w:eastAsia="方正仿宋_GBK" w:cs="Times New Roman"/>
                <w:w w:val="105"/>
                <w:sz w:val="21"/>
                <w:szCs w:val="21"/>
                <w:highlight w:val="no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1685" w:type="dxa"/>
            <w:shd w:val="clear" w:color="auto" w:fill="auto"/>
            <w:vAlign w:val="center"/>
          </w:tcPr>
          <w:p w14:paraId="6C93D61B">
            <w:pPr>
              <w:keepNext w:val="0"/>
              <w:keepLines w:val="0"/>
              <w:pageBreakBefore w:val="0"/>
              <w:widowControl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K" w:cs="Times New Roman"/>
                <w:kern w:val="2"/>
                <w:sz w:val="21"/>
                <w:szCs w:val="21"/>
                <w:highlight w:val="none"/>
                <w:vertAlign w:val="baseline"/>
                <w:lang w:val="en-US" w:eastAsia="zh-CN" w:bidi="ar-SA"/>
              </w:rPr>
            </w:pPr>
            <w:r>
              <w:rPr>
                <w:rFonts w:hint="default" w:ascii="Times New Roman" w:hAnsi="Times New Roman" w:eastAsia="方正仿宋_GBK" w:cs="Times New Roman"/>
                <w:sz w:val="21"/>
                <w:szCs w:val="21"/>
                <w:highlight w:val="none"/>
                <w:vertAlign w:val="baseline"/>
                <w:lang w:eastAsia="zh-CN"/>
              </w:rPr>
              <w:t>没收违法所得，并处五万元罚款</w:t>
            </w:r>
          </w:p>
        </w:tc>
      </w:tr>
      <w:tr w14:paraId="7ED37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61" w:hRule="atLeast"/>
          <w:jc w:val="center"/>
        </w:trPr>
        <w:tc>
          <w:tcPr>
            <w:tcW w:w="512" w:type="dxa"/>
            <w:vMerge w:val="continue"/>
            <w:vAlign w:val="center"/>
          </w:tcPr>
          <w:p w14:paraId="2AF92E6B">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rPr>
            </w:pPr>
          </w:p>
        </w:tc>
        <w:tc>
          <w:tcPr>
            <w:tcW w:w="1296" w:type="dxa"/>
            <w:vMerge w:val="continue"/>
            <w:vAlign w:val="center"/>
          </w:tcPr>
          <w:p w14:paraId="146BFDE6">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rPr>
            </w:pPr>
          </w:p>
        </w:tc>
        <w:tc>
          <w:tcPr>
            <w:tcW w:w="3244" w:type="dxa"/>
            <w:vMerge w:val="continue"/>
          </w:tcPr>
          <w:p w14:paraId="7ADD4ED8">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rPr>
            </w:pPr>
          </w:p>
        </w:tc>
        <w:tc>
          <w:tcPr>
            <w:tcW w:w="3398" w:type="dxa"/>
            <w:vMerge w:val="continue"/>
          </w:tcPr>
          <w:p w14:paraId="6FD2B455">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rPr>
            </w:pPr>
          </w:p>
        </w:tc>
        <w:tc>
          <w:tcPr>
            <w:tcW w:w="715" w:type="dxa"/>
            <w:vMerge w:val="continue"/>
            <w:vAlign w:val="center"/>
          </w:tcPr>
          <w:p w14:paraId="71247C5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vAlign w:val="center"/>
          </w:tcPr>
          <w:p w14:paraId="0ACC2CC7">
            <w:pPr>
              <w:keepNext w:val="0"/>
              <w:keepLines w:val="0"/>
              <w:pageBreakBefore w:val="0"/>
              <w:widowControl w:val="0"/>
              <w:numPr>
                <w:ilvl w:val="0"/>
                <w:numId w:val="0"/>
              </w:numPr>
              <w:kinsoku/>
              <w:wordWrap/>
              <w:overflowPunct/>
              <w:topLinePunct w:val="0"/>
              <w:autoSpaceDE/>
              <w:autoSpaceDN/>
              <w:bidi w:val="0"/>
              <w:adjustRightInd/>
              <w:snapToGrid/>
              <w:spacing w:line="370" w:lineRule="exact"/>
              <w:ind w:leftChars="0" w:right="0" w:rightChars="0"/>
              <w:jc w:val="both"/>
              <w:textAlignment w:val="auto"/>
              <w:rPr>
                <w:rFonts w:hint="default" w:ascii="Times New Roman" w:hAnsi="Times New Roman" w:eastAsia="方正仿宋_GBK" w:cs="Times New Roman"/>
                <w:spacing w:val="-2"/>
                <w:sz w:val="21"/>
                <w:szCs w:val="21"/>
                <w:highlight w:val="none"/>
                <w:lang w:val="en-US" w:eastAsia="zh-CN"/>
              </w:rPr>
            </w:pPr>
            <w:r>
              <w:rPr>
                <w:rFonts w:hint="default" w:ascii="Times New Roman" w:hAnsi="Times New Roman" w:eastAsia="方正仿宋_GBK" w:cs="Times New Roman"/>
                <w:spacing w:val="-2"/>
                <w:sz w:val="21"/>
                <w:szCs w:val="21"/>
                <w:highlight w:val="none"/>
                <w:lang w:val="en-US" w:eastAsia="zh-CN"/>
              </w:rPr>
              <w:t>从事节能咨询、设计、评估、检测、审计、认证等服务的机构提供虚假信息的，</w:t>
            </w:r>
            <w:r>
              <w:rPr>
                <w:rFonts w:hint="eastAsia" w:ascii="Times New Roman" w:hAnsi="Times New Roman" w:eastAsia="方正仿宋_GBK" w:cs="Times New Roman"/>
                <w:sz w:val="21"/>
                <w:szCs w:val="21"/>
                <w:highlight w:val="none"/>
                <w:vertAlign w:val="baseline"/>
                <w:lang w:val="en-US" w:eastAsia="zh-CN"/>
              </w:rPr>
              <w:t>造成影响，</w:t>
            </w:r>
            <w:r>
              <w:rPr>
                <w:rFonts w:hint="default" w:ascii="Times New Roman" w:hAnsi="Times New Roman" w:eastAsia="方正仿宋_GBK" w:cs="Times New Roman"/>
                <w:spacing w:val="-2"/>
                <w:sz w:val="21"/>
                <w:szCs w:val="21"/>
                <w:highlight w:val="none"/>
                <w:lang w:val="en-US" w:eastAsia="zh-CN"/>
              </w:rPr>
              <w:t>违法所得</w:t>
            </w:r>
            <w:r>
              <w:rPr>
                <w:rFonts w:hint="eastAsia" w:ascii="Times New Roman" w:hAnsi="Times New Roman" w:eastAsia="方正仿宋_GBK" w:cs="Times New Roman"/>
                <w:spacing w:val="-2"/>
                <w:sz w:val="21"/>
                <w:szCs w:val="21"/>
                <w:highlight w:val="none"/>
                <w:lang w:val="en-US" w:eastAsia="zh-CN"/>
              </w:rPr>
              <w:t>十万元以上且</w:t>
            </w:r>
            <w:r>
              <w:rPr>
                <w:rFonts w:hint="default" w:ascii="Times New Roman" w:hAnsi="Times New Roman" w:eastAsia="方正仿宋_GBK" w:cs="Times New Roman"/>
                <w:spacing w:val="-2"/>
                <w:sz w:val="21"/>
                <w:szCs w:val="21"/>
                <w:highlight w:val="none"/>
                <w:lang w:val="en-US" w:eastAsia="zh-CN"/>
              </w:rPr>
              <w:t>二十万元</w:t>
            </w:r>
            <w:r>
              <w:rPr>
                <w:rFonts w:hint="eastAsia" w:ascii="Times New Roman" w:hAnsi="Times New Roman" w:eastAsia="方正仿宋_GBK" w:cs="Times New Roman"/>
                <w:spacing w:val="-2"/>
                <w:sz w:val="21"/>
                <w:szCs w:val="21"/>
                <w:highlight w:val="none"/>
                <w:lang w:val="en-US" w:eastAsia="zh-CN"/>
              </w:rPr>
              <w:t>及</w:t>
            </w:r>
            <w:r>
              <w:rPr>
                <w:rFonts w:hint="default" w:ascii="Times New Roman" w:hAnsi="Times New Roman" w:eastAsia="方正仿宋_GBK" w:cs="Times New Roman"/>
                <w:spacing w:val="-2"/>
                <w:sz w:val="21"/>
                <w:szCs w:val="21"/>
                <w:highlight w:val="none"/>
                <w:lang w:val="en-US" w:eastAsia="zh-CN"/>
              </w:rPr>
              <w:t>以下的。</w:t>
            </w:r>
          </w:p>
        </w:tc>
        <w:tc>
          <w:tcPr>
            <w:tcW w:w="653" w:type="dxa"/>
            <w:vMerge w:val="continue"/>
            <w:vAlign w:val="center"/>
          </w:tcPr>
          <w:p w14:paraId="653E6B6B">
            <w:pPr>
              <w:keepNext w:val="0"/>
              <w:keepLines w:val="0"/>
              <w:pageBreakBefore w:val="0"/>
              <w:widowControl w:val="0"/>
              <w:numPr>
                <w:ilvl w:val="0"/>
                <w:numId w:val="0"/>
              </w:numPr>
              <w:kinsoku/>
              <w:wordWrap/>
              <w:overflowPunct/>
              <w:topLinePunct w:val="0"/>
              <w:autoSpaceDE/>
              <w:autoSpaceDN/>
              <w:bidi w:val="0"/>
              <w:adjustRightInd/>
              <w:snapToGrid/>
              <w:spacing w:line="370" w:lineRule="exact"/>
              <w:ind w:leftChars="0" w:right="0" w:rightChars="0"/>
              <w:jc w:val="both"/>
              <w:textAlignment w:val="auto"/>
              <w:rPr>
                <w:rFonts w:hint="default" w:ascii="Times New Roman" w:hAnsi="Times New Roman" w:eastAsia="方正仿宋_GBK" w:cs="Times New Roman"/>
                <w:w w:val="105"/>
                <w:sz w:val="21"/>
                <w:szCs w:val="21"/>
                <w:highlight w:val="none"/>
                <w:lang w:val="en-US" w:eastAsia="zh-CN"/>
              </w:rPr>
            </w:pPr>
          </w:p>
        </w:tc>
        <w:tc>
          <w:tcPr>
            <w:tcW w:w="1685" w:type="dxa"/>
            <w:vAlign w:val="center"/>
          </w:tcPr>
          <w:p w14:paraId="541C080A">
            <w:pPr>
              <w:pStyle w:val="7"/>
              <w:keepNext w:val="0"/>
              <w:keepLines w:val="0"/>
              <w:pageBreakBefore w:val="0"/>
              <w:widowControl w:val="0"/>
              <w:numPr>
                <w:ilvl w:val="0"/>
                <w:numId w:val="0"/>
              </w:numPr>
              <w:kinsoku/>
              <w:wordWrap/>
              <w:overflowPunct/>
              <w:topLinePunct w:val="0"/>
              <w:autoSpaceDE/>
              <w:autoSpaceDN/>
              <w:bidi w:val="0"/>
              <w:adjustRightInd/>
              <w:snapToGrid/>
              <w:spacing w:line="370" w:lineRule="exact"/>
              <w:ind w:left="0" w:leftChars="0" w:right="0" w:rightChars="0"/>
              <w:jc w:val="both"/>
              <w:textAlignment w:val="auto"/>
              <w:rPr>
                <w:rFonts w:hint="default" w:ascii="Times New Roman" w:hAnsi="Times New Roman" w:eastAsia="方正仿宋_GBK" w:cs="Times New Roman"/>
                <w:spacing w:val="-2"/>
                <w:sz w:val="21"/>
                <w:szCs w:val="21"/>
                <w:highlight w:val="none"/>
                <w:lang w:val="en-US" w:eastAsia="zh-CN"/>
              </w:rPr>
            </w:pPr>
            <w:r>
              <w:rPr>
                <w:rFonts w:hint="default" w:ascii="Times New Roman" w:hAnsi="Times New Roman" w:eastAsia="方正仿宋_GBK" w:cs="Times New Roman"/>
                <w:spacing w:val="-2"/>
                <w:sz w:val="21"/>
                <w:szCs w:val="21"/>
                <w:highlight w:val="none"/>
                <w:lang w:val="en-US" w:eastAsia="zh-CN"/>
              </w:rPr>
              <w:t>没收违法所得，并处</w:t>
            </w:r>
            <w:r>
              <w:rPr>
                <w:rFonts w:hint="default" w:ascii="Times New Roman" w:hAnsi="Times New Roman" w:eastAsia="方正仿宋_GBK" w:cs="Times New Roman"/>
                <w:sz w:val="21"/>
                <w:szCs w:val="21"/>
                <w:highlight w:val="none"/>
                <w:vertAlign w:val="baseline"/>
                <w:lang w:eastAsia="zh-CN"/>
              </w:rPr>
              <w:t>五万元</w:t>
            </w:r>
            <w:r>
              <w:rPr>
                <w:rFonts w:hint="eastAsia" w:ascii="Times New Roman" w:hAnsi="Times New Roman" w:eastAsia="方正仿宋_GBK" w:cs="Times New Roman"/>
                <w:sz w:val="21"/>
                <w:szCs w:val="21"/>
                <w:highlight w:val="none"/>
                <w:vertAlign w:val="baseline"/>
                <w:lang w:val="en-US" w:eastAsia="zh-CN"/>
              </w:rPr>
              <w:t>以上</w:t>
            </w:r>
            <w:r>
              <w:rPr>
                <w:rFonts w:hint="eastAsia" w:ascii="Times New Roman" w:hAnsi="Times New Roman" w:eastAsia="方正仿宋_GBK" w:cs="Times New Roman"/>
                <w:spacing w:val="-2"/>
                <w:sz w:val="21"/>
                <w:szCs w:val="21"/>
                <w:highlight w:val="none"/>
                <w:lang w:val="en-US" w:eastAsia="zh-CN"/>
              </w:rPr>
              <w:t>十</w:t>
            </w:r>
            <w:r>
              <w:rPr>
                <w:rFonts w:hint="default" w:ascii="Times New Roman" w:hAnsi="Times New Roman" w:eastAsia="方正仿宋_GBK" w:cs="Times New Roman"/>
                <w:spacing w:val="-2"/>
                <w:sz w:val="21"/>
                <w:szCs w:val="21"/>
                <w:highlight w:val="none"/>
                <w:lang w:val="en-US" w:eastAsia="zh-CN"/>
              </w:rPr>
              <w:t>万元</w:t>
            </w:r>
            <w:r>
              <w:rPr>
                <w:rFonts w:hint="eastAsia" w:ascii="Times New Roman" w:hAnsi="Times New Roman" w:eastAsia="方正仿宋_GBK" w:cs="Times New Roman"/>
                <w:spacing w:val="-2"/>
                <w:sz w:val="21"/>
                <w:szCs w:val="21"/>
                <w:highlight w:val="none"/>
                <w:lang w:val="en-US" w:eastAsia="zh-CN"/>
              </w:rPr>
              <w:t>以下</w:t>
            </w:r>
            <w:r>
              <w:rPr>
                <w:rFonts w:hint="default" w:ascii="Times New Roman" w:hAnsi="Times New Roman" w:eastAsia="方正仿宋_GBK" w:cs="Times New Roman"/>
                <w:spacing w:val="-2"/>
                <w:sz w:val="21"/>
                <w:szCs w:val="21"/>
                <w:highlight w:val="none"/>
                <w:lang w:val="en-US" w:eastAsia="zh-CN"/>
              </w:rPr>
              <w:t>罚款</w:t>
            </w:r>
          </w:p>
        </w:tc>
      </w:tr>
      <w:tr w14:paraId="6B8B1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vAlign w:val="center"/>
          </w:tcPr>
          <w:p w14:paraId="07B0923E">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3C64EC75">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1BCBB59D">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7C038347">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Align w:val="center"/>
          </w:tcPr>
          <w:p w14:paraId="3D56CD08">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严重</w:t>
            </w:r>
          </w:p>
        </w:tc>
        <w:tc>
          <w:tcPr>
            <w:tcW w:w="3959" w:type="dxa"/>
            <w:vAlign w:val="center"/>
          </w:tcPr>
          <w:p w14:paraId="18D5AE6D">
            <w:pPr>
              <w:keepNext w:val="0"/>
              <w:keepLines w:val="0"/>
              <w:pageBreakBefore w:val="0"/>
              <w:widowControl w:val="0"/>
              <w:kinsoku/>
              <w:wordWrap/>
              <w:overflowPunct/>
              <w:topLinePunct w:val="0"/>
              <w:autoSpaceDE/>
              <w:autoSpaceDN/>
              <w:bidi w:val="0"/>
              <w:adjustRightInd/>
              <w:snapToGrid/>
              <w:spacing w:line="370" w:lineRule="exact"/>
              <w:ind w:left="0" w:right="0"/>
              <w:jc w:val="both"/>
              <w:textAlignment w:val="auto"/>
              <w:rPr>
                <w:rFonts w:hint="default" w:ascii="Times New Roman" w:hAnsi="Times New Roman" w:eastAsia="方正仿宋_GBK" w:cs="Times New Roman"/>
                <w:spacing w:val="-2"/>
                <w:sz w:val="21"/>
                <w:szCs w:val="21"/>
                <w:highlight w:val="none"/>
                <w:lang w:val="en-US" w:eastAsia="zh-CN"/>
              </w:rPr>
            </w:pPr>
            <w:r>
              <w:rPr>
                <w:rFonts w:hint="default" w:ascii="Times New Roman" w:hAnsi="Times New Roman" w:eastAsia="方正仿宋_GBK" w:cs="Times New Roman"/>
                <w:spacing w:val="-2"/>
                <w:sz w:val="21"/>
                <w:szCs w:val="21"/>
                <w:highlight w:val="none"/>
                <w:lang w:val="en-US" w:eastAsia="zh-CN"/>
              </w:rPr>
              <w:t>从事节能咨询、设计、评估、检测、审计、认证等服务的机构提供虚假信息的，</w:t>
            </w:r>
            <w:r>
              <w:rPr>
                <w:rFonts w:hint="eastAsia" w:ascii="Times New Roman" w:hAnsi="Times New Roman" w:eastAsia="方正仿宋_GBK" w:cs="Times New Roman"/>
                <w:sz w:val="21"/>
                <w:szCs w:val="21"/>
                <w:highlight w:val="none"/>
                <w:vertAlign w:val="baseline"/>
                <w:lang w:val="en-US" w:eastAsia="zh-CN"/>
              </w:rPr>
              <w:t>造成影响，</w:t>
            </w:r>
            <w:r>
              <w:rPr>
                <w:rFonts w:hint="default" w:ascii="Times New Roman" w:hAnsi="Times New Roman" w:eastAsia="方正仿宋_GBK" w:cs="Times New Roman"/>
                <w:spacing w:val="-2"/>
                <w:sz w:val="21"/>
                <w:szCs w:val="21"/>
                <w:highlight w:val="none"/>
                <w:lang w:val="en-US" w:eastAsia="zh-CN"/>
              </w:rPr>
              <w:t>违法所得二十万元以上的。</w:t>
            </w:r>
          </w:p>
        </w:tc>
        <w:tc>
          <w:tcPr>
            <w:tcW w:w="653" w:type="dxa"/>
            <w:vAlign w:val="center"/>
          </w:tcPr>
          <w:p w14:paraId="0041EF98">
            <w:pPr>
              <w:keepNext w:val="0"/>
              <w:keepLines w:val="0"/>
              <w:pageBreakBefore w:val="0"/>
              <w:widowControl w:val="0"/>
              <w:kinsoku/>
              <w:wordWrap/>
              <w:overflowPunct/>
              <w:topLinePunct w:val="0"/>
              <w:autoSpaceDE/>
              <w:autoSpaceDN/>
              <w:bidi w:val="0"/>
              <w:adjustRightInd/>
              <w:snapToGrid/>
              <w:spacing w:line="370" w:lineRule="exact"/>
              <w:ind w:left="0" w:right="0"/>
              <w:jc w:val="center"/>
              <w:textAlignment w:val="auto"/>
              <w:rPr>
                <w:rFonts w:hint="default" w:ascii="Times New Roman" w:hAnsi="Times New Roman" w:eastAsia="方正仿宋_GBK" w:cs="Times New Roman"/>
                <w:spacing w:val="7"/>
                <w:sz w:val="21"/>
                <w:szCs w:val="21"/>
                <w:highlight w:val="none"/>
                <w:lang w:val="en-US" w:eastAsia="zh-CN"/>
              </w:rPr>
            </w:pPr>
            <w:r>
              <w:rPr>
                <w:rFonts w:hint="eastAsia" w:ascii="Times New Roman" w:hAnsi="Times New Roman" w:eastAsia="方正仿宋_GB2312" w:cs="Times New Roman"/>
                <w:sz w:val="21"/>
                <w:szCs w:val="21"/>
                <w:highlight w:val="none"/>
                <w:vertAlign w:val="baseline"/>
                <w:lang w:val="en-US" w:eastAsia="zh-CN"/>
              </w:rPr>
              <w:t>从重</w:t>
            </w:r>
          </w:p>
        </w:tc>
        <w:tc>
          <w:tcPr>
            <w:tcW w:w="1685" w:type="dxa"/>
            <w:shd w:val="clear" w:color="auto" w:fill="auto"/>
            <w:vAlign w:val="center"/>
          </w:tcPr>
          <w:p w14:paraId="2A4B3CCD">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没收违法所得，并处十万元罚款</w:t>
            </w:r>
          </w:p>
        </w:tc>
      </w:tr>
      <w:tr w14:paraId="11C81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512" w:type="dxa"/>
            <w:vMerge w:val="continue"/>
            <w:vAlign w:val="center"/>
          </w:tcPr>
          <w:p w14:paraId="05987D97">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712AEF98">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3BB43592">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7482872E">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Align w:val="center"/>
          </w:tcPr>
          <w:p w14:paraId="3CAC86E1">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3959" w:type="dxa"/>
            <w:vAlign w:val="center"/>
          </w:tcPr>
          <w:p w14:paraId="53F04E73">
            <w:pPr>
              <w:keepNext w:val="0"/>
              <w:keepLines w:val="0"/>
              <w:pageBreakBefore w:val="0"/>
              <w:widowControl w:val="0"/>
              <w:kinsoku/>
              <w:wordWrap/>
              <w:overflowPunct/>
              <w:topLinePunct w:val="0"/>
              <w:autoSpaceDE/>
              <w:autoSpaceDN/>
              <w:bidi w:val="0"/>
              <w:adjustRightInd/>
              <w:snapToGrid/>
              <w:spacing w:line="370" w:lineRule="exact"/>
              <w:ind w:left="0" w:right="0"/>
              <w:jc w:val="both"/>
              <w:textAlignment w:val="auto"/>
              <w:rPr>
                <w:rFonts w:hint="default" w:ascii="Times New Roman" w:hAnsi="Times New Roman" w:eastAsia="方正仿宋_GBK" w:cs="Times New Roman"/>
                <w:spacing w:val="-2"/>
                <w:sz w:val="21"/>
                <w:szCs w:val="21"/>
                <w:highlight w:val="none"/>
                <w:lang w:val="en-US" w:eastAsia="zh-CN"/>
              </w:rPr>
            </w:pPr>
          </w:p>
        </w:tc>
        <w:tc>
          <w:tcPr>
            <w:tcW w:w="653" w:type="dxa"/>
            <w:vAlign w:val="center"/>
          </w:tcPr>
          <w:p w14:paraId="3E14BE17">
            <w:pPr>
              <w:keepNext w:val="0"/>
              <w:keepLines w:val="0"/>
              <w:pageBreakBefore w:val="0"/>
              <w:widowControl w:val="0"/>
              <w:kinsoku/>
              <w:wordWrap/>
              <w:overflowPunct/>
              <w:topLinePunct w:val="0"/>
              <w:autoSpaceDE/>
              <w:autoSpaceDN/>
              <w:bidi w:val="0"/>
              <w:adjustRightInd/>
              <w:snapToGrid/>
              <w:spacing w:line="370" w:lineRule="exact"/>
              <w:ind w:left="0" w:right="0"/>
              <w:jc w:val="both"/>
              <w:textAlignment w:val="auto"/>
              <w:rPr>
                <w:rFonts w:hint="default" w:ascii="Times New Roman" w:hAnsi="Times New Roman" w:eastAsia="方正仿宋_GBK" w:cs="Times New Roman"/>
                <w:spacing w:val="7"/>
                <w:sz w:val="21"/>
                <w:szCs w:val="21"/>
                <w:highlight w:val="none"/>
              </w:rPr>
            </w:pPr>
          </w:p>
        </w:tc>
        <w:tc>
          <w:tcPr>
            <w:tcW w:w="1685" w:type="dxa"/>
            <w:vAlign w:val="center"/>
          </w:tcPr>
          <w:p w14:paraId="18803E3E">
            <w:pPr>
              <w:keepNext w:val="0"/>
              <w:keepLines w:val="0"/>
              <w:pageBreakBefore w:val="0"/>
              <w:widowControl w:val="0"/>
              <w:kinsoku/>
              <w:wordWrap/>
              <w:overflowPunct/>
              <w:topLinePunct w:val="0"/>
              <w:autoSpaceDE/>
              <w:autoSpaceDN/>
              <w:bidi w:val="0"/>
              <w:adjustRightInd/>
              <w:snapToGrid/>
              <w:spacing w:line="370" w:lineRule="exact"/>
              <w:ind w:left="0" w:right="0"/>
              <w:jc w:val="both"/>
              <w:textAlignment w:val="auto"/>
              <w:rPr>
                <w:rFonts w:hint="default" w:ascii="Times New Roman" w:hAnsi="Times New Roman" w:eastAsia="方正仿宋_GBK" w:cs="Times New Roman"/>
                <w:spacing w:val="-2"/>
                <w:sz w:val="21"/>
                <w:szCs w:val="21"/>
                <w:highlight w:val="none"/>
                <w:lang w:val="en-US" w:eastAsia="zh-CN"/>
              </w:rPr>
            </w:pPr>
          </w:p>
        </w:tc>
      </w:tr>
      <w:tr w14:paraId="12BCD3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restart"/>
            <w:vAlign w:val="center"/>
          </w:tcPr>
          <w:p w14:paraId="47AA7FF2">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K" w:cs="Times New Roman"/>
                <w:sz w:val="21"/>
                <w:szCs w:val="21"/>
                <w:highlight w:val="none"/>
                <w:vertAlign w:val="baseline"/>
                <w:lang w:val="en-US" w:eastAsia="zh-CN"/>
              </w:rPr>
              <w:t>7</w:t>
            </w:r>
          </w:p>
        </w:tc>
        <w:tc>
          <w:tcPr>
            <w:tcW w:w="1296" w:type="dxa"/>
            <w:vMerge w:val="restart"/>
            <w:vAlign w:val="center"/>
          </w:tcPr>
          <w:p w14:paraId="4D1B71B1">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r>
              <w:rPr>
                <w:rFonts w:hint="default" w:ascii="Times New Roman" w:hAnsi="Times New Roman" w:eastAsia="方正仿宋_GB2312" w:cs="Times New Roman"/>
                <w:i w:val="0"/>
                <w:iCs w:val="0"/>
                <w:caps w:val="0"/>
                <w:color w:val="000000"/>
                <w:spacing w:val="0"/>
                <w:sz w:val="21"/>
                <w:szCs w:val="21"/>
                <w:highlight w:val="none"/>
                <w:shd w:val="clear" w:fill="FFFFFF"/>
              </w:rPr>
              <w:t>对无偿向本单位职工提供能源或者对能源</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消费</w:t>
            </w:r>
            <w:r>
              <w:rPr>
                <w:rFonts w:hint="default" w:ascii="Times New Roman" w:hAnsi="Times New Roman" w:eastAsia="方正仿宋_GB2312" w:cs="Times New Roman"/>
                <w:i w:val="0"/>
                <w:iCs w:val="0"/>
                <w:caps w:val="0"/>
                <w:color w:val="000000"/>
                <w:spacing w:val="0"/>
                <w:sz w:val="21"/>
                <w:szCs w:val="21"/>
                <w:highlight w:val="none"/>
                <w:shd w:val="clear" w:fill="FFFFFF"/>
              </w:rPr>
              <w:t>实行包费制的处罚</w:t>
            </w:r>
          </w:p>
        </w:tc>
        <w:tc>
          <w:tcPr>
            <w:tcW w:w="3244" w:type="dxa"/>
            <w:vMerge w:val="restart"/>
          </w:tcPr>
          <w:p w14:paraId="4849FF20">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r>
              <w:rPr>
                <w:rFonts w:hint="default" w:ascii="Times New Roman" w:hAnsi="Times New Roman" w:eastAsia="方正仿宋_GB2312" w:cs="Times New Roman"/>
                <w:i w:val="0"/>
                <w:iCs w:val="0"/>
                <w:caps w:val="0"/>
                <w:color w:val="000000"/>
                <w:spacing w:val="0"/>
                <w:sz w:val="21"/>
                <w:szCs w:val="21"/>
                <w:highlight w:val="none"/>
                <w:shd w:val="clear" w:fill="FFFFFF"/>
              </w:rPr>
              <w:br w:type="textWrapping"/>
            </w:r>
            <w:r>
              <w:rPr>
                <w:rFonts w:hint="default" w:ascii="Times New Roman" w:hAnsi="Times New Roman" w:eastAsia="方正仿宋_GB2312" w:cs="Times New Roman"/>
                <w:b/>
                <w:bCs/>
                <w:w w:val="105"/>
                <w:kern w:val="2"/>
                <w:sz w:val="21"/>
                <w:szCs w:val="21"/>
                <w:highlight w:val="none"/>
                <w:lang w:val="en-US" w:eastAsia="zh-CN" w:bidi="ar-SA"/>
              </w:rPr>
              <w:t>第二十八条</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能源生产经营单位不得向本单位职工无偿提供能源</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w:t>
            </w:r>
            <w:r>
              <w:rPr>
                <w:rFonts w:hint="default" w:ascii="Times New Roman" w:hAnsi="Times New Roman" w:eastAsia="方正仿宋_GB2312" w:cs="Times New Roman"/>
                <w:i w:val="0"/>
                <w:iCs w:val="0"/>
                <w:caps w:val="0"/>
                <w:color w:val="000000"/>
                <w:spacing w:val="0"/>
                <w:sz w:val="21"/>
                <w:szCs w:val="21"/>
                <w:highlight w:val="none"/>
                <w:shd w:val="clear" w:fill="FFFFFF"/>
              </w:rPr>
              <w:t>任何单位不得对能源消费实行包费制。</w:t>
            </w:r>
          </w:p>
          <w:p w14:paraId="34AA579D">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lang w:val="en-US" w:eastAsia="zh-CN"/>
              </w:rPr>
            </w:pPr>
          </w:p>
        </w:tc>
        <w:tc>
          <w:tcPr>
            <w:tcW w:w="3398" w:type="dxa"/>
            <w:vMerge w:val="restart"/>
          </w:tcPr>
          <w:p w14:paraId="10549F60">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i w:val="0"/>
                <w:iCs w:val="0"/>
                <w:caps w:val="0"/>
                <w:color w:val="000000"/>
                <w:spacing w:val="0"/>
                <w:sz w:val="21"/>
                <w:szCs w:val="21"/>
                <w:highlight w:val="none"/>
                <w:shd w:val="clear" w:fill="FFFFFF"/>
              </w:rPr>
              <w:t>【</w:t>
            </w:r>
            <w:r>
              <w:rPr>
                <w:rFonts w:hint="default" w:ascii="Times New Roman" w:hAnsi="Times New Roman" w:eastAsia="方正仿宋_GB2312"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2312" w:cs="Times New Roman"/>
                <w:i w:val="0"/>
                <w:iCs w:val="0"/>
                <w:caps w:val="0"/>
                <w:color w:val="000000"/>
                <w:spacing w:val="0"/>
                <w:sz w:val="21"/>
                <w:szCs w:val="21"/>
                <w:highlight w:val="none"/>
                <w:shd w:val="clear" w:fill="FFFFFF"/>
              </w:rPr>
              <w:t>】《中华人民共和国节约能源法》</w:t>
            </w:r>
          </w:p>
          <w:p w14:paraId="41C59A19">
            <w:pPr>
              <w:keepNext w:val="0"/>
              <w:keepLines w:val="0"/>
              <w:pageBreakBefore w:val="0"/>
              <w:widowControl w:val="0"/>
              <w:kinsoku/>
              <w:wordWrap/>
              <w:overflowPunct/>
              <w:topLinePunct w:val="0"/>
              <w:autoSpaceDE/>
              <w:autoSpaceDN/>
              <w:bidi w:val="0"/>
              <w:adjustRightInd/>
              <w:snapToGrid/>
              <w:spacing w:line="370" w:lineRule="exact"/>
              <w:ind w:right="0"/>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2312" w:cs="Times New Roman"/>
                <w:b/>
                <w:bCs/>
                <w:w w:val="105"/>
                <w:kern w:val="2"/>
                <w:sz w:val="21"/>
                <w:szCs w:val="21"/>
                <w:highlight w:val="none"/>
                <w:lang w:val="en-US" w:eastAsia="zh-CN" w:bidi="ar-SA"/>
              </w:rPr>
              <w:t>第七十七条</w:t>
            </w:r>
            <w:r>
              <w:rPr>
                <w:rFonts w:hint="default" w:ascii="Times New Roman" w:hAnsi="Times New Roman" w:eastAsia="方正仿宋_GB2312" w:cs="Times New Roman"/>
                <w:i w:val="0"/>
                <w:iCs w:val="0"/>
                <w:caps w:val="0"/>
                <w:color w:val="000000"/>
                <w:spacing w:val="0"/>
                <w:sz w:val="21"/>
                <w:szCs w:val="21"/>
                <w:highlight w:val="none"/>
                <w:shd w:val="clear" w:fill="FFFFFF"/>
              </w:rPr>
              <w:t> </w:t>
            </w:r>
            <w:r>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2312" w:cs="Times New Roman"/>
                <w:i w:val="0"/>
                <w:iCs w:val="0"/>
                <w:caps w:val="0"/>
                <w:color w:val="000000"/>
                <w:spacing w:val="0"/>
                <w:sz w:val="21"/>
                <w:szCs w:val="21"/>
                <w:highlight w:val="none"/>
                <w:shd w:val="clear" w:fill="FFFFFF"/>
              </w:rPr>
              <w:t>违反本法规定，无偿向本单位职工提供能源或者对能源消费实行包费制的，由管理节能工作的部门责令限期改正；逾期不改正的，处五万元以上二十万元以下罚款。</w:t>
            </w:r>
          </w:p>
          <w:p w14:paraId="4AA06BBF">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lang w:val="en-US" w:eastAsia="zh-CN"/>
              </w:rPr>
            </w:pPr>
          </w:p>
        </w:tc>
        <w:tc>
          <w:tcPr>
            <w:tcW w:w="715" w:type="dxa"/>
            <w:vAlign w:val="center"/>
          </w:tcPr>
          <w:p w14:paraId="45C2B961">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轻微</w:t>
            </w:r>
          </w:p>
        </w:tc>
        <w:tc>
          <w:tcPr>
            <w:tcW w:w="3959" w:type="dxa"/>
            <w:shd w:val="clear" w:color="auto" w:fill="auto"/>
            <w:vAlign w:val="center"/>
          </w:tcPr>
          <w:p w14:paraId="350704E2">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spacing w:val="7"/>
                <w:kern w:val="2"/>
                <w:sz w:val="21"/>
                <w:szCs w:val="21"/>
                <w:highlight w:val="none"/>
                <w:lang w:val="en-US" w:eastAsia="zh-CN" w:bidi="ar-SA"/>
              </w:rPr>
            </w:pPr>
            <w:r>
              <w:rPr>
                <w:rFonts w:hint="default" w:ascii="Times New Roman" w:hAnsi="Times New Roman" w:eastAsia="方正仿宋_GBK" w:cs="Times New Roman"/>
                <w:spacing w:val="7"/>
                <w:kern w:val="2"/>
                <w:sz w:val="21"/>
                <w:szCs w:val="21"/>
                <w:highlight w:val="none"/>
                <w:lang w:val="en-US" w:eastAsia="zh-CN" w:bidi="ar-SA"/>
              </w:rPr>
              <w:t>无偿向本单位职工提供能源或者对能源消费实行包费制的，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内完成整改的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Align w:val="center"/>
          </w:tcPr>
          <w:p w14:paraId="4BF56F9E">
            <w:pPr>
              <w:pStyle w:val="7"/>
              <w:keepNext w:val="0"/>
              <w:keepLines w:val="0"/>
              <w:pageBreakBefore w:val="0"/>
              <w:widowControl w:val="0"/>
              <w:numPr>
                <w:ilvl w:val="0"/>
                <w:numId w:val="0"/>
              </w:numPr>
              <w:kinsoku/>
              <w:wordWrap/>
              <w:overflowPunct/>
              <w:topLinePunct w:val="0"/>
              <w:autoSpaceDE/>
              <w:autoSpaceDN/>
              <w:bidi w:val="0"/>
              <w:adjustRightInd/>
              <w:snapToGrid/>
              <w:spacing w:line="370" w:lineRule="exact"/>
              <w:ind w:left="0" w:leftChars="0" w:right="0" w:rightChars="0"/>
              <w:jc w:val="center"/>
              <w:textAlignment w:val="auto"/>
              <w:rPr>
                <w:rFonts w:hint="default" w:ascii="Times New Roman" w:hAnsi="Times New Roman" w:eastAsia="方正仿宋_GBK" w:cs="Times New Roman"/>
                <w:spacing w:val="7"/>
                <w:kern w:val="2"/>
                <w:sz w:val="21"/>
                <w:szCs w:val="21"/>
                <w:highlight w:val="none"/>
                <w:lang w:val="en-US" w:eastAsia="zh-CN" w:bidi="ar-SA"/>
              </w:rPr>
            </w:pPr>
            <w:r>
              <w:rPr>
                <w:rFonts w:hint="default" w:ascii="Times New Roman" w:hAnsi="Times New Roman" w:eastAsia="方正仿宋_GBK" w:cs="Times New Roman"/>
                <w:sz w:val="21"/>
                <w:szCs w:val="21"/>
                <w:highlight w:val="none"/>
                <w:vertAlign w:val="baseline"/>
                <w:lang w:val="en-US" w:eastAsia="zh-CN"/>
              </w:rPr>
              <w:t>从轻</w:t>
            </w:r>
          </w:p>
        </w:tc>
        <w:tc>
          <w:tcPr>
            <w:tcW w:w="1685" w:type="dxa"/>
            <w:shd w:val="clear" w:color="auto" w:fill="auto"/>
            <w:vAlign w:val="center"/>
          </w:tcPr>
          <w:p w14:paraId="5A6036BA">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spacing w:val="7"/>
                <w:kern w:val="2"/>
                <w:sz w:val="21"/>
                <w:szCs w:val="21"/>
                <w:highlight w:val="none"/>
                <w:lang w:val="en-US" w:eastAsia="zh-CN" w:bidi="ar-SA"/>
              </w:rPr>
            </w:pPr>
            <w:r>
              <w:rPr>
                <w:rFonts w:hint="eastAsia" w:ascii="Times New Roman" w:hAnsi="Times New Roman" w:eastAsia="方正仿宋_GBK" w:cs="Times New Roman"/>
                <w:spacing w:val="7"/>
                <w:kern w:val="2"/>
                <w:sz w:val="21"/>
                <w:szCs w:val="21"/>
                <w:highlight w:val="none"/>
                <w:lang w:val="en-US" w:eastAsia="zh-CN" w:bidi="ar-SA"/>
              </w:rPr>
              <w:t>免予</w:t>
            </w:r>
            <w:r>
              <w:rPr>
                <w:rFonts w:hint="default" w:ascii="Times New Roman" w:hAnsi="Times New Roman" w:eastAsia="方正仿宋_GBK" w:cs="Times New Roman"/>
                <w:spacing w:val="7"/>
                <w:kern w:val="2"/>
                <w:sz w:val="21"/>
                <w:szCs w:val="21"/>
                <w:highlight w:val="none"/>
                <w:lang w:val="en-US" w:eastAsia="zh-CN" w:bidi="ar-SA"/>
              </w:rPr>
              <w:t>行政处罚</w:t>
            </w:r>
          </w:p>
        </w:tc>
      </w:tr>
      <w:tr w14:paraId="3213D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512" w:type="dxa"/>
            <w:vMerge w:val="continue"/>
            <w:vAlign w:val="center"/>
          </w:tcPr>
          <w:p w14:paraId="03311807">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p>
        </w:tc>
        <w:tc>
          <w:tcPr>
            <w:tcW w:w="1296" w:type="dxa"/>
            <w:vMerge w:val="continue"/>
            <w:vAlign w:val="center"/>
          </w:tcPr>
          <w:p w14:paraId="2B1DBE7F">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244" w:type="dxa"/>
            <w:vMerge w:val="continue"/>
          </w:tcPr>
          <w:p w14:paraId="48FD4212">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3398" w:type="dxa"/>
            <w:vMerge w:val="continue"/>
          </w:tcPr>
          <w:p w14:paraId="1ABDB1AF">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sz w:val="21"/>
                <w:szCs w:val="21"/>
                <w:highlight w:val="none"/>
                <w:vertAlign w:val="baseline"/>
                <w:lang w:val="en-US" w:eastAsia="zh-CN"/>
              </w:rPr>
            </w:pPr>
          </w:p>
        </w:tc>
        <w:tc>
          <w:tcPr>
            <w:tcW w:w="715" w:type="dxa"/>
            <w:vMerge w:val="restart"/>
            <w:vAlign w:val="center"/>
          </w:tcPr>
          <w:p w14:paraId="1B542E11">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一般</w:t>
            </w:r>
          </w:p>
        </w:tc>
        <w:tc>
          <w:tcPr>
            <w:tcW w:w="3959" w:type="dxa"/>
            <w:vAlign w:val="center"/>
          </w:tcPr>
          <w:p w14:paraId="230B9C80">
            <w:pPr>
              <w:keepNext w:val="0"/>
              <w:keepLines w:val="0"/>
              <w:pageBreakBefore w:val="0"/>
              <w:widowControl/>
              <w:numPr>
                <w:ilvl w:val="0"/>
                <w:numId w:val="0"/>
              </w:numPr>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spacing w:val="7"/>
                <w:sz w:val="21"/>
                <w:szCs w:val="21"/>
                <w:highlight w:val="none"/>
                <w:lang w:val="en-US" w:eastAsia="zh-CN"/>
              </w:rPr>
            </w:pPr>
            <w:r>
              <w:rPr>
                <w:rFonts w:hint="default" w:ascii="Times New Roman" w:hAnsi="Times New Roman" w:eastAsia="方正仿宋_GBK" w:cs="Times New Roman"/>
                <w:i w:val="0"/>
                <w:iCs w:val="0"/>
                <w:color w:val="000000"/>
                <w:kern w:val="0"/>
                <w:sz w:val="21"/>
                <w:szCs w:val="21"/>
                <w:u w:val="none"/>
                <w:lang w:val="en-US" w:eastAsia="zh-CN" w:bidi="ar"/>
              </w:rPr>
              <w:t>无偿向本单位职工提供能源或者对能源消费实行包费制</w:t>
            </w:r>
            <w:r>
              <w:rPr>
                <w:rFonts w:hint="eastAsia" w:ascii="Times New Roman" w:hAnsi="Times New Roman" w:eastAsia="方正仿宋_GBK" w:cs="Times New Roman"/>
                <w:i w:val="0"/>
                <w:iCs w:val="0"/>
                <w:color w:val="000000"/>
                <w:kern w:val="0"/>
                <w:sz w:val="21"/>
                <w:szCs w:val="21"/>
                <w:u w:val="none"/>
                <w:lang w:val="en-US" w:eastAsia="zh-CN" w:bidi="ar"/>
              </w:rPr>
              <w:t>，年供能源量500kgce以下的，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期届满拒不整改或整改不到位的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restart"/>
            <w:vAlign w:val="center"/>
          </w:tcPr>
          <w:p w14:paraId="17672892">
            <w:pPr>
              <w:pStyle w:val="7"/>
              <w:keepNext w:val="0"/>
              <w:keepLines w:val="0"/>
              <w:pageBreakBefore w:val="0"/>
              <w:widowControl w:val="0"/>
              <w:numPr>
                <w:ilvl w:val="0"/>
                <w:numId w:val="0"/>
              </w:numPr>
              <w:kinsoku/>
              <w:wordWrap/>
              <w:overflowPunct/>
              <w:topLinePunct w:val="0"/>
              <w:autoSpaceDE/>
              <w:autoSpaceDN/>
              <w:bidi w:val="0"/>
              <w:adjustRightInd/>
              <w:snapToGrid/>
              <w:spacing w:line="370" w:lineRule="exact"/>
              <w:ind w:left="0" w:leftChars="0" w:right="0" w:rightChars="0"/>
              <w:jc w:val="both"/>
              <w:textAlignment w:val="auto"/>
              <w:rPr>
                <w:rFonts w:hint="eastAsia" w:ascii="Times New Roman" w:hAnsi="Times New Roman" w:eastAsia="方正仿宋_GBK" w:cs="Times New Roman"/>
                <w:spacing w:val="7"/>
                <w:sz w:val="21"/>
                <w:szCs w:val="21"/>
                <w:highlight w:val="no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1685" w:type="dxa"/>
            <w:shd w:val="clear" w:color="auto" w:fill="auto"/>
            <w:vAlign w:val="center"/>
          </w:tcPr>
          <w:p w14:paraId="0286238B">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eastAsia" w:ascii="Times New Roman" w:hAnsi="Times New Roman" w:eastAsia="方正仿宋_GBK" w:cs="Times New Roman"/>
                <w:i w:val="0"/>
                <w:iCs w:val="0"/>
                <w:color w:val="000000"/>
                <w:kern w:val="2"/>
                <w:sz w:val="21"/>
                <w:szCs w:val="21"/>
                <w:u w:val="none"/>
                <w:lang w:val="en-US" w:eastAsia="zh-CN" w:bidi="ar-SA"/>
              </w:rPr>
              <w:t>处五万元及以上十万元以下罚款</w:t>
            </w:r>
          </w:p>
        </w:tc>
      </w:tr>
      <w:tr w14:paraId="033D0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jc w:val="center"/>
        </w:trPr>
        <w:tc>
          <w:tcPr>
            <w:tcW w:w="512" w:type="dxa"/>
            <w:vMerge w:val="continue"/>
            <w:vAlign w:val="center"/>
          </w:tcPr>
          <w:p w14:paraId="38FEA1C1">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1296" w:type="dxa"/>
            <w:vMerge w:val="continue"/>
            <w:vAlign w:val="center"/>
          </w:tcPr>
          <w:p w14:paraId="178B5DBB">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3244" w:type="dxa"/>
            <w:vMerge w:val="continue"/>
          </w:tcPr>
          <w:p w14:paraId="2755BE7F">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3398" w:type="dxa"/>
            <w:vMerge w:val="continue"/>
          </w:tcPr>
          <w:p w14:paraId="7CBB18C7">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715" w:type="dxa"/>
            <w:vMerge w:val="continue"/>
            <w:vAlign w:val="center"/>
          </w:tcPr>
          <w:p w14:paraId="71E138EE">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3959" w:type="dxa"/>
            <w:vAlign w:val="center"/>
          </w:tcPr>
          <w:p w14:paraId="7AF10C3D">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i w:val="0"/>
                <w:iCs w:val="0"/>
                <w:color w:val="000000"/>
                <w:kern w:val="0"/>
                <w:sz w:val="21"/>
                <w:szCs w:val="21"/>
                <w:u w:val="none"/>
                <w:lang w:val="en-US" w:eastAsia="zh-CN" w:bidi="ar"/>
              </w:rPr>
              <w:t>无偿向本单位职工提供能源或者对能源消费实行包费制</w:t>
            </w:r>
            <w:r>
              <w:rPr>
                <w:rFonts w:hint="eastAsia" w:ascii="Times New Roman" w:hAnsi="Times New Roman" w:eastAsia="方正仿宋_GBK" w:cs="Times New Roman"/>
                <w:i w:val="0"/>
                <w:iCs w:val="0"/>
                <w:color w:val="000000"/>
                <w:kern w:val="0"/>
                <w:sz w:val="21"/>
                <w:szCs w:val="21"/>
                <w:u w:val="none"/>
                <w:lang w:val="en-US" w:eastAsia="zh-CN" w:bidi="ar"/>
              </w:rPr>
              <w:t>，年供能源量500kgce以上且1tce以下的，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期届满拒不整改或整改不到位的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1319B2A7">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0"/>
                <w:sz w:val="21"/>
                <w:szCs w:val="21"/>
                <w:u w:val="none"/>
                <w:lang w:val="en-US" w:eastAsia="zh-CN" w:bidi="ar"/>
              </w:rPr>
            </w:pPr>
          </w:p>
        </w:tc>
        <w:tc>
          <w:tcPr>
            <w:tcW w:w="1685" w:type="dxa"/>
            <w:shd w:val="clear" w:color="auto" w:fill="auto"/>
            <w:vAlign w:val="center"/>
          </w:tcPr>
          <w:p w14:paraId="634F2B3B">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eastAsia" w:ascii="Times New Roman" w:hAnsi="Times New Roman" w:eastAsia="方正仿宋_GBK" w:cs="Times New Roman"/>
                <w:i w:val="0"/>
                <w:iCs w:val="0"/>
                <w:color w:val="000000"/>
                <w:kern w:val="2"/>
                <w:sz w:val="21"/>
                <w:szCs w:val="21"/>
                <w:u w:val="none"/>
                <w:lang w:val="en-US" w:eastAsia="zh-CN" w:bidi="ar-SA"/>
              </w:rPr>
            </w:pPr>
          </w:p>
          <w:p w14:paraId="72803607">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eastAsia" w:ascii="Times New Roman" w:hAnsi="Times New Roman" w:eastAsia="方正仿宋_GBK" w:cs="Times New Roman"/>
                <w:i w:val="0"/>
                <w:iCs w:val="0"/>
                <w:color w:val="000000"/>
                <w:kern w:val="2"/>
                <w:sz w:val="21"/>
                <w:szCs w:val="21"/>
                <w:u w:val="none"/>
                <w:lang w:val="en-US" w:eastAsia="zh-CN" w:bidi="ar-SA"/>
              </w:rPr>
              <w:t>处十万元及以上十五万以下罚款</w:t>
            </w:r>
          </w:p>
        </w:tc>
      </w:tr>
      <w:tr w14:paraId="366DF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512" w:type="dxa"/>
            <w:vMerge w:val="continue"/>
            <w:vAlign w:val="center"/>
          </w:tcPr>
          <w:p w14:paraId="1F5596E0">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1296" w:type="dxa"/>
            <w:vMerge w:val="continue"/>
            <w:vAlign w:val="center"/>
          </w:tcPr>
          <w:p w14:paraId="553C5C88">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3244" w:type="dxa"/>
            <w:vMerge w:val="continue"/>
          </w:tcPr>
          <w:p w14:paraId="29AD043D">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3398" w:type="dxa"/>
            <w:vMerge w:val="continue"/>
          </w:tcPr>
          <w:p w14:paraId="18F9A50C">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715" w:type="dxa"/>
            <w:vMerge w:val="continue"/>
            <w:vAlign w:val="center"/>
          </w:tcPr>
          <w:p w14:paraId="0FAC5EFE">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pPr>
          </w:p>
        </w:tc>
        <w:tc>
          <w:tcPr>
            <w:tcW w:w="3959" w:type="dxa"/>
            <w:vAlign w:val="center"/>
          </w:tcPr>
          <w:p w14:paraId="08FE20F5">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i w:val="0"/>
                <w:iCs w:val="0"/>
                <w:color w:val="000000"/>
                <w:kern w:val="0"/>
                <w:sz w:val="21"/>
                <w:szCs w:val="21"/>
                <w:u w:val="none"/>
                <w:lang w:val="en-US" w:eastAsia="zh-CN" w:bidi="ar"/>
              </w:rPr>
              <w:t>无偿向本单位职工提供能源或者对能源消费实行包费制</w:t>
            </w:r>
            <w:r>
              <w:rPr>
                <w:rFonts w:hint="eastAsia" w:ascii="Times New Roman" w:hAnsi="Times New Roman" w:eastAsia="方正仿宋_GBK" w:cs="Times New Roman"/>
                <w:i w:val="0"/>
                <w:iCs w:val="0"/>
                <w:color w:val="000000"/>
                <w:kern w:val="0"/>
                <w:sz w:val="21"/>
                <w:szCs w:val="21"/>
                <w:u w:val="none"/>
                <w:lang w:val="en-US" w:eastAsia="zh-CN" w:bidi="ar"/>
              </w:rPr>
              <w:t>，年供能源量1tce以上的，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期届满拒不整改或整改不到位的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1DAC610B">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0"/>
                <w:sz w:val="21"/>
                <w:szCs w:val="21"/>
                <w:u w:val="none"/>
                <w:lang w:val="en-US" w:eastAsia="zh-CN" w:bidi="ar"/>
              </w:rPr>
            </w:pPr>
          </w:p>
        </w:tc>
        <w:tc>
          <w:tcPr>
            <w:tcW w:w="1685" w:type="dxa"/>
            <w:shd w:val="clear" w:color="auto" w:fill="auto"/>
            <w:vAlign w:val="center"/>
          </w:tcPr>
          <w:p w14:paraId="21D9F8B7">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sz w:val="21"/>
                <w:szCs w:val="21"/>
                <w:highlight w:val="none"/>
                <w:vertAlign w:val="baseline"/>
                <w:lang w:val="en-US" w:eastAsia="zh-CN"/>
              </w:rPr>
              <w:t>处</w:t>
            </w:r>
            <w:r>
              <w:rPr>
                <w:rFonts w:hint="eastAsia" w:ascii="Times New Roman" w:hAnsi="Times New Roman" w:eastAsia="方正仿宋_GBK" w:cs="Times New Roman"/>
                <w:sz w:val="21"/>
                <w:szCs w:val="21"/>
                <w:highlight w:val="none"/>
                <w:vertAlign w:val="baseline"/>
                <w:lang w:val="en-US" w:eastAsia="zh-CN"/>
              </w:rPr>
              <w:t>十五万及以上</w:t>
            </w:r>
            <w:r>
              <w:rPr>
                <w:rFonts w:hint="default" w:ascii="Times New Roman" w:hAnsi="Times New Roman" w:eastAsia="方正仿宋_GBK" w:cs="Times New Roman"/>
                <w:sz w:val="21"/>
                <w:szCs w:val="21"/>
                <w:highlight w:val="none"/>
                <w:vertAlign w:val="baseline"/>
                <w:lang w:val="en-US" w:eastAsia="zh-CN"/>
              </w:rPr>
              <w:t>二十万元</w:t>
            </w:r>
            <w:r>
              <w:rPr>
                <w:rFonts w:hint="eastAsia" w:ascii="Times New Roman" w:hAnsi="Times New Roman" w:eastAsia="方正仿宋_GBK" w:cs="Times New Roman"/>
                <w:sz w:val="21"/>
                <w:szCs w:val="21"/>
                <w:highlight w:val="none"/>
                <w:vertAlign w:val="baseline"/>
                <w:lang w:val="en-US" w:eastAsia="zh-CN"/>
              </w:rPr>
              <w:t>以下</w:t>
            </w:r>
            <w:r>
              <w:rPr>
                <w:rFonts w:hint="default" w:ascii="Times New Roman" w:hAnsi="Times New Roman" w:eastAsia="方正仿宋_GBK" w:cs="Times New Roman"/>
                <w:sz w:val="21"/>
                <w:szCs w:val="21"/>
                <w:highlight w:val="none"/>
                <w:vertAlign w:val="baseline"/>
                <w:lang w:val="en-US" w:eastAsia="zh-CN"/>
              </w:rPr>
              <w:t>罚款</w:t>
            </w:r>
          </w:p>
        </w:tc>
      </w:tr>
      <w:tr w14:paraId="120C1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jc w:val="center"/>
        </w:trPr>
        <w:tc>
          <w:tcPr>
            <w:tcW w:w="512" w:type="dxa"/>
            <w:vMerge w:val="restart"/>
            <w:vAlign w:val="center"/>
          </w:tcPr>
          <w:p w14:paraId="5C6D8684">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7D1DDBD1">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0CBF7C34">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65ABA44E">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278B3CBB">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7F794E1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1B07EA35">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6FE9FFB0">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71F94B92">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48A4EAD8">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6CC86CAD">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5DAD4B64">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59884810">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cs="Times New Roman"/>
                <w:sz w:val="21"/>
                <w:szCs w:val="21"/>
                <w:highlight w:val="none"/>
                <w:vertAlign w:val="baseline"/>
                <w:lang w:val="en-US" w:eastAsia="zh-CN"/>
              </w:rPr>
            </w:pPr>
          </w:p>
          <w:p w14:paraId="1A3F49ED">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r>
              <w:rPr>
                <w:rFonts w:hint="default" w:ascii="Times New Roman" w:hAnsi="Times New Roman" w:cs="Times New Roman"/>
                <w:sz w:val="21"/>
                <w:szCs w:val="21"/>
                <w:highlight w:val="none"/>
                <w:vertAlign w:val="baseline"/>
                <w:lang w:val="en-US" w:eastAsia="zh-CN"/>
              </w:rPr>
              <w:br w:type="page"/>
            </w:r>
            <w:r>
              <w:rPr>
                <w:rFonts w:hint="default" w:ascii="Times New Roman" w:hAnsi="Times New Roman" w:eastAsia="方正仿宋_GB2312" w:cs="Times New Roman"/>
                <w:sz w:val="21"/>
                <w:szCs w:val="21"/>
                <w:highlight w:val="none"/>
                <w:vertAlign w:val="baseline"/>
                <w:lang w:val="en-US" w:eastAsia="zh-CN"/>
              </w:rPr>
              <w:t>8</w:t>
            </w:r>
          </w:p>
        </w:tc>
        <w:tc>
          <w:tcPr>
            <w:tcW w:w="1296" w:type="dxa"/>
            <w:vMerge w:val="restart"/>
            <w:vAlign w:val="center"/>
          </w:tcPr>
          <w:p w14:paraId="07398C1B">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p>
          <w:p w14:paraId="0BA4FD8B">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对固定资产投资项目建设单位开工建设不符合强制性节能标准的</w:t>
            </w:r>
            <w:r>
              <w:rPr>
                <w:rFonts w:hint="eastAsia" w:ascii="Times New Roman" w:hAnsi="Times New Roman" w:eastAsia="方正仿宋_GBK" w:cs="Times New Roman"/>
                <w:i w:val="0"/>
                <w:iCs w:val="0"/>
                <w:caps w:val="0"/>
                <w:color w:val="000000"/>
                <w:spacing w:val="0"/>
                <w:sz w:val="21"/>
                <w:szCs w:val="21"/>
                <w:highlight w:val="none"/>
                <w:shd w:val="clear" w:fill="FFFFFF"/>
                <w:lang w:eastAsia="zh-CN"/>
              </w:rPr>
              <w:t>、</w:t>
            </w:r>
            <w:r>
              <w:rPr>
                <w:rFonts w:hint="eastAsia"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使用国家明令淘汰、不符合强制性能源效率标准的用能产品、设备和生产工艺的</w:t>
            </w:r>
          </w:p>
          <w:p w14:paraId="616D3AC0">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auto"/>
              <w:rPr>
                <w:rFonts w:hint="default" w:ascii="Times New Roman" w:hAnsi="Times New Roman" w:eastAsia="方正仿宋_GB2312" w:cs="Times New Roman"/>
                <w:sz w:val="21"/>
                <w:szCs w:val="21"/>
                <w:highlight w:val="none"/>
                <w:vertAlign w:val="baseline"/>
              </w:rPr>
            </w:pPr>
            <w:r>
              <w:rPr>
                <w:rFonts w:hint="default" w:ascii="Times New Roman" w:hAnsi="Times New Roman" w:eastAsia="方正仿宋_GBK" w:cs="Times New Roman"/>
                <w:i w:val="0"/>
                <w:iCs w:val="0"/>
                <w:caps w:val="0"/>
                <w:color w:val="000000"/>
                <w:spacing w:val="0"/>
                <w:sz w:val="21"/>
                <w:szCs w:val="21"/>
                <w:highlight w:val="none"/>
                <w:shd w:val="clear" w:fill="FFFFFF"/>
              </w:rPr>
              <w:t>项目或者将该项目投入生产、使用的处罚</w:t>
            </w:r>
          </w:p>
        </w:tc>
        <w:tc>
          <w:tcPr>
            <w:tcW w:w="3244" w:type="dxa"/>
            <w:vMerge w:val="restart"/>
          </w:tcPr>
          <w:p w14:paraId="5804E412">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K" w:cs="Times New Roman"/>
                <w:i w:val="0"/>
                <w:iCs w:val="0"/>
                <w:caps w:val="0"/>
                <w:color w:val="000000"/>
                <w:spacing w:val="0"/>
                <w:sz w:val="21"/>
                <w:szCs w:val="21"/>
                <w:highlight w:val="none"/>
                <w:shd w:val="clear" w:fill="FFFFFF"/>
              </w:rPr>
              <w:t>】《中华人民共和国节约能源法》</w:t>
            </w:r>
            <w:r>
              <w:rPr>
                <w:rFonts w:hint="default" w:ascii="Times New Roman" w:hAnsi="Times New Roman" w:eastAsia="方正仿宋_GBK" w:cs="Times New Roman"/>
                <w:i w:val="0"/>
                <w:iCs w:val="0"/>
                <w:caps w:val="0"/>
                <w:color w:val="000000"/>
                <w:spacing w:val="0"/>
                <w:sz w:val="21"/>
                <w:szCs w:val="21"/>
                <w:highlight w:val="none"/>
                <w:shd w:val="clear" w:fill="FFFFFF"/>
              </w:rPr>
              <w:br w:type="textWrapping"/>
            </w:r>
            <w:r>
              <w:rPr>
                <w:rFonts w:hint="default" w:ascii="Times New Roman" w:hAnsi="Times New Roman" w:eastAsia="方正仿宋_GBK" w:cs="Times New Roman"/>
                <w:b/>
                <w:bCs/>
                <w:i w:val="0"/>
                <w:iCs w:val="0"/>
                <w:caps w:val="0"/>
                <w:color w:val="000000"/>
                <w:spacing w:val="0"/>
                <w:sz w:val="21"/>
                <w:szCs w:val="21"/>
                <w:highlight w:val="none"/>
                <w:shd w:val="clear" w:fill="FFFFFF"/>
                <w:lang w:val="en-US" w:eastAsia="zh-CN"/>
              </w:rPr>
              <w:t>第十五条</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国家实行固定资产投资项目节能评估和审查制度。不符合强制性节能标准的项目，建设单位不得开工建设；已经建成的，不得投入生产、使用。政府投资项目不符合强制性节能标准的，依法负责项目审批的机关不得批准建设。</w:t>
            </w:r>
          </w:p>
          <w:p w14:paraId="6EEDB99E">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【部门规章】《重点用能单位节能管理办法》</w:t>
            </w:r>
          </w:p>
          <w:p w14:paraId="1687922A">
            <w:pPr>
              <w:keepNext w:val="0"/>
              <w:keepLines w:val="0"/>
              <w:pageBreakBefore w:val="0"/>
              <w:numPr>
                <w:ilvl w:val="0"/>
                <w:numId w:val="0"/>
              </w:numPr>
              <w:kinsoku/>
              <w:wordWrap/>
              <w:overflowPunct/>
              <w:topLinePunct w:val="0"/>
              <w:autoSpaceDE/>
              <w:autoSpaceDN/>
              <w:bidi w:val="0"/>
              <w:adjustRightInd/>
              <w:snapToGrid/>
              <w:spacing w:beforeLines="0" w:afterLines="0" w:line="370" w:lineRule="exact"/>
              <w:jc w:val="both"/>
              <w:rPr>
                <w:rFonts w:hint="default" w:ascii="Times New Roman" w:hAnsi="Times New Roman" w:eastAsia="方正仿宋_GBK" w:cs="Times New Roman"/>
                <w:sz w:val="21"/>
                <w:szCs w:val="21"/>
                <w:highlight w:val="none"/>
              </w:rPr>
            </w:pPr>
            <w:r>
              <w:rPr>
                <w:rFonts w:hint="eastAsia" w:ascii="Times New Roman" w:hAnsi="Times New Roman" w:eastAsia="方正仿宋_GBK" w:cs="Times New Roman"/>
                <w:b/>
                <w:bCs/>
                <w:sz w:val="21"/>
                <w:szCs w:val="21"/>
                <w:highlight w:val="none"/>
                <w:lang w:val="en-US" w:eastAsia="zh-CN"/>
              </w:rPr>
              <w:t>第十七条</w:t>
            </w:r>
            <w:r>
              <w:rPr>
                <w:rFonts w:hint="eastAsia" w:ascii="Times New Roman" w:hAnsi="Times New Roman" w:eastAsia="方正仿宋_GBK" w:cs="Times New Roman"/>
                <w:sz w:val="21"/>
                <w:szCs w:val="21"/>
                <w:highlight w:val="none"/>
                <w:lang w:val="en-US" w:eastAsia="zh-CN"/>
              </w:rPr>
              <w:t xml:space="preserve"> </w:t>
            </w:r>
            <w:r>
              <w:rPr>
                <w:rFonts w:hint="default" w:ascii="Times New Roman" w:hAnsi="Times New Roman" w:eastAsia="方正仿宋_GBK" w:cs="Times New Roman"/>
                <w:sz w:val="21"/>
                <w:szCs w:val="21"/>
                <w:highlight w:val="none"/>
              </w:rPr>
              <w:t>重点用能单位应当严格落实固定资产投资项目节能审查制度，未进行节能审查，或节能审查未通过的项目，建设单位不得开工建设，已经建成的不得投入生产、使用。</w:t>
            </w:r>
          </w:p>
          <w:p w14:paraId="7F1F3079">
            <w:pPr>
              <w:keepNext w:val="0"/>
              <w:keepLines w:val="0"/>
              <w:pageBreakBefore w:val="0"/>
              <w:numPr>
                <w:ilvl w:val="0"/>
                <w:numId w:val="0"/>
              </w:numPr>
              <w:kinsoku/>
              <w:wordWrap/>
              <w:overflowPunct/>
              <w:topLinePunct w:val="0"/>
              <w:autoSpaceDE/>
              <w:autoSpaceDN/>
              <w:bidi w:val="0"/>
              <w:adjustRightInd/>
              <w:snapToGrid/>
              <w:spacing w:beforeLines="0" w:afterLines="0" w:line="370" w:lineRule="exact"/>
              <w:ind w:leftChars="0"/>
              <w:jc w:val="both"/>
              <w:rPr>
                <w:rFonts w:hint="default" w:ascii="Times New Roman" w:hAnsi="Times New Roman" w:eastAsia="方正仿宋_GBK" w:cs="Times New Roman"/>
                <w:i w:val="0"/>
                <w:iCs w:val="0"/>
                <w:caps w:val="0"/>
                <w:color w:val="4874CB" w:themeColor="accent1"/>
                <w:spacing w:val="0"/>
                <w:sz w:val="21"/>
                <w:szCs w:val="21"/>
                <w:highlight w:val="none"/>
                <w:shd w:val="clear" w:fill="FFFFFF"/>
                <w14:textFill>
                  <w14:solidFill>
                    <w14:schemeClr w14:val="accent1"/>
                  </w14:solidFill>
                </w14:textFill>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eastAsia="zh-CN"/>
              </w:rPr>
              <w:t>地方性法规</w:t>
            </w:r>
            <w:r>
              <w:rPr>
                <w:rFonts w:hint="default" w:ascii="Times New Roman" w:hAnsi="Times New Roman" w:eastAsia="方正仿宋_GBK" w:cs="Times New Roman"/>
                <w:i w:val="0"/>
                <w:iCs w:val="0"/>
                <w:caps w:val="0"/>
                <w:color w:val="000000"/>
                <w:spacing w:val="0"/>
                <w:sz w:val="21"/>
                <w:szCs w:val="21"/>
                <w:highlight w:val="none"/>
                <w:shd w:val="clear" w:fill="FFFFFF"/>
              </w:rPr>
              <w:t>】《江苏省节约能源条例》</w:t>
            </w:r>
          </w:p>
          <w:p w14:paraId="6236FB62">
            <w:pPr>
              <w:keepNext w:val="0"/>
              <w:keepLines w:val="0"/>
              <w:pageBreakBefore w:val="0"/>
              <w:numPr>
                <w:ilvl w:val="0"/>
                <w:numId w:val="0"/>
              </w:numPr>
              <w:kinsoku/>
              <w:wordWrap/>
              <w:overflowPunct/>
              <w:topLinePunct w:val="0"/>
              <w:autoSpaceDE/>
              <w:autoSpaceDN/>
              <w:bidi w:val="0"/>
              <w:adjustRightInd/>
              <w:snapToGrid/>
              <w:spacing w:beforeLines="0" w:afterLines="0" w:line="370" w:lineRule="exact"/>
              <w:ind w:leftChars="0"/>
              <w:jc w:val="both"/>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pPr>
            <w:r>
              <w:rPr>
                <w:rFonts w:hint="default" w:ascii="Times New Roman" w:hAnsi="Times New Roman" w:eastAsia="方正仿宋_GBK" w:cs="Times New Roman"/>
                <w:b/>
                <w:bCs/>
                <w:sz w:val="21"/>
                <w:szCs w:val="21"/>
                <w:highlight w:val="none"/>
                <w:lang w:val="en-US" w:eastAsia="zh-CN"/>
              </w:rPr>
              <w:t xml:space="preserve">第十五条第二款 </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属于节能评估范围内的固定资产投资项目，应当按照国家和省的规定进行节能评估和审查。不符合强制性节能标准的项目，依法负责项目审批或者核准的机关不得批准或者核准建设；建设单位不得开工建设；已经建成的，不得投入生产、使用。</w:t>
            </w:r>
          </w:p>
          <w:p w14:paraId="164A354F">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i w:val="0"/>
                <w:iCs w:val="0"/>
                <w:caps w:val="0"/>
                <w:color w:val="000000"/>
                <w:spacing w:val="0"/>
                <w:sz w:val="21"/>
                <w:szCs w:val="21"/>
                <w:highlight w:val="none"/>
                <w:shd w:val="clear" w:fill="FFFFFF"/>
              </w:rPr>
            </w:pPr>
          </w:p>
          <w:p w14:paraId="1A36439D">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i w:val="0"/>
                <w:iCs w:val="0"/>
                <w:caps w:val="0"/>
                <w:color w:val="000000"/>
                <w:spacing w:val="0"/>
                <w:sz w:val="21"/>
                <w:szCs w:val="21"/>
                <w:highlight w:val="none"/>
                <w:shd w:val="clear" w:fill="FFFFFF"/>
              </w:rPr>
            </w:pPr>
          </w:p>
        </w:tc>
        <w:tc>
          <w:tcPr>
            <w:tcW w:w="3398" w:type="dxa"/>
            <w:vMerge w:val="restart"/>
          </w:tcPr>
          <w:p w14:paraId="5454C9AB">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eastAsia="zh-CN"/>
              </w:rPr>
              <w:t>法律</w:t>
            </w:r>
            <w:r>
              <w:rPr>
                <w:rFonts w:hint="default" w:ascii="Times New Roman" w:hAnsi="Times New Roman" w:eastAsia="方正仿宋_GBK" w:cs="Times New Roman"/>
                <w:i w:val="0"/>
                <w:iCs w:val="0"/>
                <w:caps w:val="0"/>
                <w:color w:val="000000"/>
                <w:spacing w:val="0"/>
                <w:sz w:val="21"/>
                <w:szCs w:val="21"/>
                <w:highlight w:val="none"/>
                <w:shd w:val="clear" w:fill="FFFFFF"/>
              </w:rPr>
              <w:t>】《中华人民共和国节约能源法》</w:t>
            </w:r>
          </w:p>
          <w:p w14:paraId="21DE7656">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b/>
                <w:bCs/>
                <w:i w:val="0"/>
                <w:iCs w:val="0"/>
                <w:caps w:val="0"/>
                <w:color w:val="000000"/>
                <w:spacing w:val="0"/>
                <w:sz w:val="21"/>
                <w:szCs w:val="21"/>
                <w:highlight w:val="none"/>
                <w:shd w:val="clear" w:fill="FFFFFF"/>
                <w:lang w:val="en-US" w:eastAsia="zh-CN"/>
              </w:rPr>
              <w:t>第六十八条第二款</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K" w:cs="Times New Roman"/>
                <w:i w:val="0"/>
                <w:iCs w:val="0"/>
                <w:caps w:val="0"/>
                <w:color w:val="000000"/>
                <w:spacing w:val="0"/>
                <w:sz w:val="21"/>
                <w:szCs w:val="21"/>
                <w:highlight w:val="none"/>
                <w:shd w:val="clear" w:fill="FFFFFF"/>
              </w:rPr>
              <w:t>固定资产投资项目建设单位开工建设不符合强制性节能标准的项目或者将该项目投入生产、使用的，由管理节能工作的部门责令停止建设或者停止生产、使用，限期改造；不能改造或者逾期不改造的生产性项目，由管理节能工作的部门报请本级人民政府按照国务院规定的权限责令关闭。</w:t>
            </w:r>
          </w:p>
          <w:p w14:paraId="3B803ECC">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【部门规章】《重点用能单位节能管理办法》</w:t>
            </w:r>
          </w:p>
          <w:p w14:paraId="2BF591E6">
            <w:pPr>
              <w:keepNext w:val="0"/>
              <w:keepLines w:val="0"/>
              <w:pageBreakBefore w:val="0"/>
              <w:numPr>
                <w:ilvl w:val="0"/>
                <w:numId w:val="0"/>
              </w:numPr>
              <w:kinsoku/>
              <w:wordWrap/>
              <w:overflowPunct/>
              <w:topLinePunct w:val="0"/>
              <w:autoSpaceDE/>
              <w:autoSpaceDN/>
              <w:bidi w:val="0"/>
              <w:adjustRightInd/>
              <w:snapToGrid/>
              <w:spacing w:beforeLines="0" w:afterLines="0" w:line="370" w:lineRule="exact"/>
              <w:ind w:leftChars="0"/>
              <w:jc w:val="both"/>
              <w:rPr>
                <w:rFonts w:hint="default" w:ascii="Times New Roman" w:hAnsi="Times New Roman" w:eastAsia="方正仿宋_GBK" w:cs="Times New Roman"/>
                <w:i w:val="0"/>
                <w:iCs w:val="0"/>
                <w:caps w:val="0"/>
                <w:color w:val="FF0000"/>
                <w:spacing w:val="0"/>
                <w:sz w:val="21"/>
                <w:szCs w:val="21"/>
                <w:highlight w:val="none"/>
                <w:shd w:val="clear" w:fill="FFFFFF"/>
              </w:rPr>
            </w:pPr>
            <w:r>
              <w:rPr>
                <w:rFonts w:hint="eastAsia" w:ascii="Times New Roman" w:hAnsi="Times New Roman" w:eastAsia="方正仿宋_GBK" w:cs="Times New Roman"/>
                <w:b/>
                <w:bCs/>
                <w:i w:val="0"/>
                <w:iCs w:val="0"/>
                <w:caps w:val="0"/>
                <w:color w:val="000000"/>
                <w:spacing w:val="0"/>
                <w:sz w:val="21"/>
                <w:szCs w:val="21"/>
                <w:highlight w:val="none"/>
                <w:shd w:val="clear" w:fill="FFFFFF"/>
              </w:rPr>
              <w:t>第二十六条</w:t>
            </w:r>
            <w:r>
              <w:rPr>
                <w:rFonts w:hint="eastAsia" w:ascii="Times New Roman" w:hAnsi="Times New Roman" w:eastAsia="方正仿宋_GBK" w:cs="Times New Roman"/>
                <w:i w:val="0"/>
                <w:iCs w:val="0"/>
                <w:caps w:val="0"/>
                <w:color w:val="000000"/>
                <w:spacing w:val="0"/>
                <w:sz w:val="21"/>
                <w:szCs w:val="21"/>
                <w:highlight w:val="none"/>
                <w:shd w:val="clear" w:fill="FFFFFF"/>
              </w:rPr>
              <w:t xml:space="preserve"> 对节能管理制度不健全、节能措施不落实、能源利用效率低的重点用能单位，管理节能工作的部门应当开展现场调查， 组织实施用能设备能源效率检测，责令实施能源审计，并提出书面整改要求，限期整改。重点用能单位无正当理由拒不落实整改要求或者整改没有达到要求的，由管理节能工作的部门处十万元以上三十万元以下罚款。</w:t>
            </w:r>
          </w:p>
          <w:p w14:paraId="6D9396C9">
            <w:pPr>
              <w:keepNext w:val="0"/>
              <w:keepLines w:val="0"/>
              <w:pageBreakBefore w:val="0"/>
              <w:numPr>
                <w:ilvl w:val="0"/>
                <w:numId w:val="0"/>
              </w:numPr>
              <w:kinsoku/>
              <w:wordWrap/>
              <w:overflowPunct/>
              <w:topLinePunct w:val="0"/>
              <w:autoSpaceDE/>
              <w:autoSpaceDN/>
              <w:bidi w:val="0"/>
              <w:adjustRightInd/>
              <w:snapToGrid/>
              <w:spacing w:beforeLines="0" w:afterLines="0" w:line="370" w:lineRule="exact"/>
              <w:ind w:leftChars="0"/>
              <w:jc w:val="both"/>
              <w:rPr>
                <w:rFonts w:hint="default" w:ascii="Times New Roman" w:hAnsi="Times New Roman" w:eastAsia="方正仿宋_GBK" w:cs="Times New Roman"/>
                <w:i w:val="0"/>
                <w:iCs w:val="0"/>
                <w:caps w:val="0"/>
                <w:color w:val="4874CB" w:themeColor="accent1"/>
                <w:spacing w:val="0"/>
                <w:sz w:val="21"/>
                <w:szCs w:val="21"/>
                <w:highlight w:val="none"/>
                <w:shd w:val="clear" w:fill="FFFFFF"/>
                <w14:textFill>
                  <w14:solidFill>
                    <w14:schemeClr w14:val="accent1"/>
                  </w14:solidFill>
                </w14:textFill>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eastAsia="zh-CN"/>
              </w:rPr>
              <w:t>地方性法规</w:t>
            </w:r>
            <w:r>
              <w:rPr>
                <w:rFonts w:hint="default" w:ascii="Times New Roman" w:hAnsi="Times New Roman" w:eastAsia="方正仿宋_GBK" w:cs="Times New Roman"/>
                <w:i w:val="0"/>
                <w:iCs w:val="0"/>
                <w:caps w:val="0"/>
                <w:color w:val="000000"/>
                <w:spacing w:val="0"/>
                <w:sz w:val="21"/>
                <w:szCs w:val="21"/>
                <w:highlight w:val="none"/>
                <w:shd w:val="clear" w:fill="FFFFFF"/>
              </w:rPr>
              <w:t>】《江苏省节约能源条例》</w:t>
            </w:r>
          </w:p>
          <w:p w14:paraId="4CF61BF8">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left"/>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b/>
                <w:bCs/>
                <w:i w:val="0"/>
                <w:iCs w:val="0"/>
                <w:caps w:val="0"/>
                <w:color w:val="000000"/>
                <w:spacing w:val="0"/>
                <w:sz w:val="21"/>
                <w:szCs w:val="21"/>
                <w:highlight w:val="none"/>
                <w:shd w:val="clear" w:fill="FFFFFF"/>
                <w:lang w:val="en-US" w:eastAsia="zh-CN"/>
              </w:rPr>
              <w:t>第四十九条</w:t>
            </w:r>
            <w:r>
              <w:rPr>
                <w:rFonts w:hint="default" w:ascii="Times New Roman" w:hAnsi="Times New Roman" w:eastAsia="方正仿宋_GBK" w:cs="Times New Roman"/>
                <w:i w:val="0"/>
                <w:iCs w:val="0"/>
                <w:caps w:val="0"/>
                <w:color w:val="000000"/>
                <w:spacing w:val="0"/>
                <w:sz w:val="21"/>
                <w:szCs w:val="21"/>
                <w:highlight w:val="none"/>
                <w:shd w:val="clear" w:fill="FFFFFF"/>
              </w:rPr>
              <w:t>  违反本条例第十五条第三款规定，设计、建设单位使用国家明令淘汰的用能设备或者生产工艺的，由节能主管部门责令停止使用，没收国家明令淘汰的用能设备；情节严重的，可以由节能主管部门提出意见，报请本级人民政府按照国务院规定的权限责令停业整顿或者关闭。</w:t>
            </w:r>
          </w:p>
        </w:tc>
        <w:tc>
          <w:tcPr>
            <w:tcW w:w="715" w:type="dxa"/>
            <w:vMerge w:val="restart"/>
            <w:vAlign w:val="center"/>
          </w:tcPr>
          <w:p w14:paraId="7126C356">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p>
          <w:p w14:paraId="134A61A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p w14:paraId="1AA97FAE">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p w14:paraId="391583A1">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p>
          <w:p w14:paraId="6A1F406F">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3959" w:type="dxa"/>
            <w:shd w:val="clear" w:color="auto" w:fill="auto"/>
            <w:vAlign w:val="center"/>
          </w:tcPr>
          <w:p w14:paraId="08583603">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固定资产投资项目未按规定进行节能审查或节能审查未获通过，擅自开工建设但尚未投入生产、使用的</w:t>
            </w:r>
            <w:r>
              <w:rPr>
                <w:rFonts w:hint="eastAsia"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K" w:cs="Times New Roman"/>
                <w:i w:val="0"/>
                <w:iCs w:val="0"/>
                <w:color w:val="000000"/>
                <w:kern w:val="0"/>
                <w:sz w:val="21"/>
                <w:szCs w:val="21"/>
                <w:u w:val="none"/>
                <w:lang w:val="en-US" w:eastAsia="zh-CN" w:bidi="ar"/>
              </w:rPr>
              <w:t>建设单位开工建设不符合强制性节能标准</w:t>
            </w:r>
            <w:r>
              <w:rPr>
                <w:rFonts w:hint="eastAsia" w:ascii="Times New Roman" w:hAnsi="Times New Roman" w:eastAsia="方正仿宋_GBK" w:cs="Times New Roman"/>
                <w:i w:val="0"/>
                <w:iCs w:val="0"/>
                <w:color w:val="000000"/>
                <w:kern w:val="0"/>
                <w:sz w:val="21"/>
                <w:szCs w:val="21"/>
                <w:u w:val="none"/>
                <w:lang w:val="en-US" w:eastAsia="zh-CN" w:bidi="ar"/>
              </w:rPr>
              <w:t>的项目，</w:t>
            </w:r>
            <w:r>
              <w:rPr>
                <w:rFonts w:hint="default" w:ascii="Times New Roman" w:hAnsi="Times New Roman" w:eastAsia="方正仿宋_GBK" w:cs="Times New Roman"/>
                <w:i w:val="0"/>
                <w:iCs w:val="0"/>
                <w:color w:val="000000"/>
                <w:kern w:val="0"/>
                <w:sz w:val="21"/>
                <w:szCs w:val="21"/>
                <w:u w:val="none"/>
                <w:lang w:val="en-US" w:eastAsia="zh-CN" w:bidi="ar"/>
              </w:rPr>
              <w:t>尚未投入生产、使用的</w:t>
            </w:r>
            <w:r>
              <w:rPr>
                <w:rFonts w:hint="eastAsia" w:ascii="Times New Roman" w:hAnsi="Times New Roman" w:eastAsia="方正仿宋_GBK" w:cs="Times New Roman"/>
                <w:i w:val="0"/>
                <w:iCs w:val="0"/>
                <w:color w:val="000000"/>
                <w:kern w:val="0"/>
                <w:sz w:val="21"/>
                <w:szCs w:val="21"/>
                <w:u w:val="none"/>
                <w:lang w:val="en-US" w:eastAsia="zh-CN" w:bidi="ar"/>
              </w:rPr>
              <w:t>。</w:t>
            </w:r>
          </w:p>
        </w:tc>
        <w:tc>
          <w:tcPr>
            <w:tcW w:w="653" w:type="dxa"/>
            <w:vMerge w:val="restart"/>
            <w:vAlign w:val="center"/>
          </w:tcPr>
          <w:p w14:paraId="08676B69">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p>
          <w:p w14:paraId="4A19E624">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p>
          <w:p w14:paraId="61B55542">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p w14:paraId="4DB23476">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p>
          <w:p w14:paraId="17A882C8">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1685" w:type="dxa"/>
            <w:vAlign w:val="center"/>
          </w:tcPr>
          <w:p w14:paraId="74658CF5">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0"/>
                <w:sz w:val="21"/>
                <w:szCs w:val="21"/>
                <w:u w:val="none"/>
                <w:lang w:val="en-US" w:eastAsia="zh-CN" w:bidi="ar"/>
              </w:rPr>
            </w:pPr>
          </w:p>
          <w:p w14:paraId="0B72D1E5">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2312" w:cs="Times New Roman"/>
                <w:sz w:val="21"/>
                <w:szCs w:val="21"/>
                <w:highlight w:val="none"/>
                <w:vertAlign w:val="baseline"/>
              </w:rPr>
            </w:pPr>
            <w:r>
              <w:rPr>
                <w:rFonts w:hint="default" w:ascii="Times New Roman" w:hAnsi="Times New Roman" w:eastAsia="方正仿宋_GBK" w:cs="Times New Roman"/>
                <w:i w:val="0"/>
                <w:iCs w:val="0"/>
                <w:color w:val="000000"/>
                <w:kern w:val="0"/>
                <w:sz w:val="21"/>
                <w:szCs w:val="21"/>
                <w:u w:val="none"/>
                <w:lang w:val="en-US" w:eastAsia="zh-CN" w:bidi="ar"/>
              </w:rPr>
              <w:t>责令停止建设，限期</w:t>
            </w:r>
            <w:r>
              <w:rPr>
                <w:rFonts w:hint="eastAsia" w:ascii="Times New Roman" w:hAnsi="Times New Roman" w:eastAsia="方正仿宋_GBK" w:cs="Times New Roman"/>
                <w:i w:val="0"/>
                <w:iCs w:val="0"/>
                <w:color w:val="000000"/>
                <w:kern w:val="0"/>
                <w:sz w:val="21"/>
                <w:szCs w:val="21"/>
                <w:u w:val="none"/>
                <w:lang w:val="en-US" w:eastAsia="zh-CN" w:bidi="ar"/>
              </w:rPr>
              <w:t>改造</w:t>
            </w:r>
          </w:p>
        </w:tc>
      </w:tr>
      <w:tr w14:paraId="159AE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jc w:val="center"/>
        </w:trPr>
        <w:tc>
          <w:tcPr>
            <w:tcW w:w="512" w:type="dxa"/>
            <w:vMerge w:val="continue"/>
          </w:tcPr>
          <w:p w14:paraId="405BD9A4">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1296" w:type="dxa"/>
            <w:vMerge w:val="continue"/>
            <w:vAlign w:val="center"/>
          </w:tcPr>
          <w:p w14:paraId="177014E3">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3244" w:type="dxa"/>
            <w:vMerge w:val="continue"/>
          </w:tcPr>
          <w:p w14:paraId="0FA137C4">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3398" w:type="dxa"/>
            <w:vMerge w:val="continue"/>
          </w:tcPr>
          <w:p w14:paraId="3C95E7C1">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715" w:type="dxa"/>
            <w:vMerge w:val="continue"/>
            <w:vAlign w:val="center"/>
          </w:tcPr>
          <w:p w14:paraId="279CC6CA">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p>
        </w:tc>
        <w:tc>
          <w:tcPr>
            <w:tcW w:w="3959" w:type="dxa"/>
            <w:shd w:val="clear" w:color="auto" w:fill="auto"/>
            <w:vAlign w:val="center"/>
          </w:tcPr>
          <w:p w14:paraId="4D67490B">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固定资产投资项目未按规定进行节能审查或节能审查未获通过，投入生产、使用的</w:t>
            </w:r>
            <w:r>
              <w:rPr>
                <w:rFonts w:hint="eastAsia"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K" w:cs="Times New Roman"/>
                <w:i w:val="0"/>
                <w:iCs w:val="0"/>
                <w:color w:val="000000"/>
                <w:kern w:val="0"/>
                <w:sz w:val="21"/>
                <w:szCs w:val="21"/>
                <w:u w:val="none"/>
                <w:lang w:val="en-US" w:eastAsia="zh-CN" w:bidi="ar"/>
              </w:rPr>
              <w:t>固定资产投资项目不符合强制性节能标准</w:t>
            </w:r>
            <w:r>
              <w:rPr>
                <w:rFonts w:hint="eastAsia"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K" w:cs="Times New Roman"/>
                <w:i w:val="0"/>
                <w:iCs w:val="0"/>
                <w:color w:val="000000"/>
                <w:kern w:val="0"/>
                <w:sz w:val="21"/>
                <w:szCs w:val="21"/>
                <w:u w:val="none"/>
                <w:lang w:val="en-US" w:eastAsia="zh-CN" w:bidi="ar"/>
              </w:rPr>
              <w:t>投入生产、使用的</w:t>
            </w:r>
            <w:r>
              <w:rPr>
                <w:rFonts w:hint="eastAsia"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743D547F">
            <w:pPr>
              <w:pStyle w:val="7"/>
              <w:keepNext w:val="0"/>
              <w:keepLines w:val="0"/>
              <w:pageBreakBefore w:val="0"/>
              <w:widowControl w:val="0"/>
              <w:kinsoku/>
              <w:wordWrap/>
              <w:overflowPunct/>
              <w:topLinePunct w:val="0"/>
              <w:autoSpaceDE/>
              <w:autoSpaceDN/>
              <w:bidi w:val="0"/>
              <w:adjustRightInd/>
              <w:snapToGrid/>
              <w:spacing w:before="87" w:line="370" w:lineRule="exact"/>
              <w:jc w:val="both"/>
              <w:textAlignment w:val="auto"/>
              <w:rPr>
                <w:rFonts w:hint="default" w:ascii="Times New Roman" w:hAnsi="Times New Roman" w:eastAsia="方正仿宋_GB2312" w:cs="Times New Roman"/>
                <w:spacing w:val="-2"/>
                <w:w w:val="105"/>
                <w:sz w:val="21"/>
                <w:szCs w:val="21"/>
                <w:highlight w:val="none"/>
              </w:rPr>
            </w:pPr>
          </w:p>
        </w:tc>
        <w:tc>
          <w:tcPr>
            <w:tcW w:w="1685" w:type="dxa"/>
            <w:vAlign w:val="center"/>
          </w:tcPr>
          <w:p w14:paraId="7B8190E1">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2312" w:cs="Times New Roman"/>
                <w:spacing w:val="-10"/>
                <w:w w:val="145"/>
                <w:sz w:val="21"/>
                <w:szCs w:val="21"/>
                <w:highlight w:val="none"/>
                <w:lang w:val="en-US" w:eastAsia="zh-CN"/>
              </w:rPr>
            </w:pPr>
            <w:r>
              <w:rPr>
                <w:rFonts w:hint="default" w:ascii="Times New Roman" w:hAnsi="Times New Roman" w:eastAsia="方正仿宋_GBK" w:cs="Times New Roman"/>
                <w:i w:val="0"/>
                <w:iCs w:val="0"/>
                <w:color w:val="000000"/>
                <w:kern w:val="0"/>
                <w:sz w:val="21"/>
                <w:szCs w:val="21"/>
                <w:u w:val="none"/>
                <w:lang w:val="en-US" w:eastAsia="zh-CN" w:bidi="ar"/>
              </w:rPr>
              <w:t>责令停止生产、使用，限期</w:t>
            </w:r>
            <w:r>
              <w:rPr>
                <w:rFonts w:hint="eastAsia" w:ascii="Times New Roman" w:hAnsi="Times New Roman" w:eastAsia="方正仿宋_GBK" w:cs="Times New Roman"/>
                <w:i w:val="0"/>
                <w:iCs w:val="0"/>
                <w:color w:val="000000"/>
                <w:kern w:val="0"/>
                <w:sz w:val="21"/>
                <w:szCs w:val="21"/>
                <w:u w:val="none"/>
                <w:lang w:val="en-US" w:eastAsia="zh-CN" w:bidi="ar"/>
              </w:rPr>
              <w:t>改造</w:t>
            </w:r>
          </w:p>
        </w:tc>
      </w:tr>
      <w:tr w14:paraId="2D7C6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512" w:type="dxa"/>
            <w:vMerge w:val="continue"/>
          </w:tcPr>
          <w:p w14:paraId="5FBCE2A1">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1296" w:type="dxa"/>
            <w:vMerge w:val="continue"/>
            <w:vAlign w:val="center"/>
          </w:tcPr>
          <w:p w14:paraId="58009DBD">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3244" w:type="dxa"/>
            <w:vMerge w:val="continue"/>
          </w:tcPr>
          <w:p w14:paraId="3AF99FF9">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3398" w:type="dxa"/>
            <w:vMerge w:val="continue"/>
          </w:tcPr>
          <w:p w14:paraId="1335A9C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715" w:type="dxa"/>
            <w:vMerge w:val="continue"/>
            <w:vAlign w:val="center"/>
          </w:tcPr>
          <w:p w14:paraId="4915C4E3">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p>
        </w:tc>
        <w:tc>
          <w:tcPr>
            <w:tcW w:w="3959" w:type="dxa"/>
            <w:shd w:val="clear" w:color="auto" w:fill="auto"/>
            <w:vAlign w:val="center"/>
          </w:tcPr>
          <w:p w14:paraId="4D66A46B">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i w:val="0"/>
                <w:iCs w:val="0"/>
                <w:color w:val="000000"/>
                <w:kern w:val="0"/>
                <w:sz w:val="21"/>
                <w:szCs w:val="21"/>
                <w:u w:val="none"/>
                <w:lang w:val="en-US" w:eastAsia="zh-CN" w:bidi="ar"/>
              </w:rPr>
              <w:t>固定资产投资项目</w:t>
            </w:r>
            <w:r>
              <w:rPr>
                <w:rFonts w:hint="default" w:ascii="Times New Roman" w:hAnsi="Times New Roman" w:eastAsia="方正仿宋_GBK" w:cs="Times New Roman"/>
                <w:i w:val="0"/>
                <w:iCs w:val="0"/>
                <w:caps w:val="0"/>
                <w:color w:val="000000"/>
                <w:spacing w:val="0"/>
                <w:sz w:val="21"/>
                <w:szCs w:val="21"/>
                <w:highlight w:val="none"/>
                <w:shd w:val="clear" w:fill="FFFFFF"/>
              </w:rPr>
              <w:t>设计、建设单位使用国家明令淘汰的用能设备的</w:t>
            </w:r>
            <w:r>
              <w:rPr>
                <w:rFonts w:hint="eastAsia" w:ascii="Times New Roman" w:hAnsi="Times New Roman" w:eastAsia="方正仿宋_GBK" w:cs="Times New Roman"/>
                <w:i w:val="0"/>
                <w:iCs w:val="0"/>
                <w:caps w:val="0"/>
                <w:color w:val="000000"/>
                <w:spacing w:val="0"/>
                <w:sz w:val="21"/>
                <w:szCs w:val="21"/>
                <w:highlight w:val="none"/>
                <w:shd w:val="clear" w:fill="FFFFFF"/>
                <w:lang w:eastAsia="zh-CN"/>
              </w:rPr>
              <w:t>。</w:t>
            </w:r>
          </w:p>
        </w:tc>
        <w:tc>
          <w:tcPr>
            <w:tcW w:w="653" w:type="dxa"/>
            <w:vMerge w:val="continue"/>
            <w:vAlign w:val="center"/>
          </w:tcPr>
          <w:p w14:paraId="66182561">
            <w:pPr>
              <w:pStyle w:val="7"/>
              <w:keepNext w:val="0"/>
              <w:keepLines w:val="0"/>
              <w:pageBreakBefore w:val="0"/>
              <w:widowControl w:val="0"/>
              <w:kinsoku/>
              <w:wordWrap/>
              <w:overflowPunct/>
              <w:topLinePunct w:val="0"/>
              <w:autoSpaceDE/>
              <w:autoSpaceDN/>
              <w:bidi w:val="0"/>
              <w:adjustRightInd/>
              <w:snapToGrid/>
              <w:spacing w:before="87" w:line="370" w:lineRule="exact"/>
              <w:jc w:val="both"/>
              <w:textAlignment w:val="auto"/>
              <w:rPr>
                <w:rFonts w:hint="default" w:ascii="Times New Roman" w:hAnsi="Times New Roman" w:eastAsia="方正仿宋_GB2312" w:cs="Times New Roman"/>
                <w:spacing w:val="-2"/>
                <w:w w:val="105"/>
                <w:sz w:val="21"/>
                <w:szCs w:val="21"/>
                <w:highlight w:val="none"/>
              </w:rPr>
            </w:pPr>
          </w:p>
        </w:tc>
        <w:tc>
          <w:tcPr>
            <w:tcW w:w="1685" w:type="dxa"/>
            <w:vAlign w:val="center"/>
          </w:tcPr>
          <w:p w14:paraId="4C875E59">
            <w:pPr>
              <w:keepNext w:val="0"/>
              <w:keepLines w:val="0"/>
              <w:pageBreakBefore w:val="0"/>
              <w:widowControl/>
              <w:suppressLineNumbers w:val="0"/>
              <w:kinsoku/>
              <w:wordWrap/>
              <w:overflowPunct/>
              <w:topLinePunct w:val="0"/>
              <w:autoSpaceDE/>
              <w:autoSpaceDN/>
              <w:bidi w:val="0"/>
              <w:adjustRightInd/>
              <w:snapToGrid/>
              <w:spacing w:line="370" w:lineRule="exact"/>
              <w:jc w:val="both"/>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i w:val="0"/>
                <w:iCs w:val="0"/>
                <w:caps w:val="0"/>
                <w:color w:val="000000"/>
                <w:spacing w:val="0"/>
                <w:sz w:val="21"/>
                <w:szCs w:val="21"/>
                <w:highlight w:val="none"/>
                <w:shd w:val="clear" w:fill="FFFFFF"/>
              </w:rPr>
              <w:t>没收国家明令淘汰的用能设备</w:t>
            </w:r>
          </w:p>
        </w:tc>
      </w:tr>
      <w:tr w14:paraId="3EE22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2" w:hRule="atLeast"/>
          <w:jc w:val="center"/>
        </w:trPr>
        <w:tc>
          <w:tcPr>
            <w:tcW w:w="512" w:type="dxa"/>
            <w:vMerge w:val="continue"/>
          </w:tcPr>
          <w:p w14:paraId="6393A100">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1296" w:type="dxa"/>
            <w:vMerge w:val="continue"/>
            <w:vAlign w:val="center"/>
          </w:tcPr>
          <w:p w14:paraId="5F59495A">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244" w:type="dxa"/>
            <w:vMerge w:val="continue"/>
          </w:tcPr>
          <w:p w14:paraId="56111191">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398" w:type="dxa"/>
            <w:vMerge w:val="continue"/>
          </w:tcPr>
          <w:p w14:paraId="06EC0B6A">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715" w:type="dxa"/>
            <w:vMerge w:val="continue"/>
            <w:vAlign w:val="center"/>
          </w:tcPr>
          <w:p w14:paraId="25DD895A">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p>
        </w:tc>
        <w:tc>
          <w:tcPr>
            <w:tcW w:w="3959" w:type="dxa"/>
            <w:shd w:val="clear" w:color="auto" w:fill="auto"/>
            <w:vAlign w:val="center"/>
          </w:tcPr>
          <w:p w14:paraId="68BD0F06">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sz w:val="21"/>
                <w:szCs w:val="21"/>
                <w:highlight w:val="none"/>
              </w:rPr>
              <w:t>重点用能单位</w:t>
            </w:r>
            <w:r>
              <w:rPr>
                <w:rFonts w:hint="eastAsia" w:ascii="Times New Roman" w:hAnsi="Times New Roman" w:eastAsia="方正仿宋_GBK" w:cs="Times New Roman"/>
                <w:sz w:val="21"/>
                <w:szCs w:val="21"/>
                <w:highlight w:val="none"/>
                <w:lang w:val="en-US" w:eastAsia="zh-CN"/>
              </w:rPr>
              <w:t>建设综合能源消耗量超过5000tce的固定资产投资项目，实际能源消耗量或者单位产品能耗指标超过节能审查批复值10%以内的，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期限届满拒不整改或整改未达到要求的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55BAC311">
            <w:pPr>
              <w:pStyle w:val="7"/>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pacing w:val="-2"/>
                <w:w w:val="105"/>
                <w:sz w:val="21"/>
                <w:szCs w:val="21"/>
                <w:highlight w:val="none"/>
                <w:lang w:val="en-US" w:eastAsia="zh-CN"/>
              </w:rPr>
            </w:pPr>
          </w:p>
        </w:tc>
        <w:tc>
          <w:tcPr>
            <w:tcW w:w="1685" w:type="dxa"/>
            <w:shd w:val="clear" w:color="auto" w:fill="auto"/>
            <w:vAlign w:val="center"/>
          </w:tcPr>
          <w:p w14:paraId="1D6C5F07">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i w:val="0"/>
                <w:iCs w:val="0"/>
                <w:color w:val="000000"/>
                <w:kern w:val="0"/>
                <w:sz w:val="21"/>
                <w:szCs w:val="21"/>
                <w:u w:val="none"/>
                <w:lang w:val="en-US" w:eastAsia="zh-CN" w:bidi="ar"/>
              </w:rPr>
              <w:t>责令停止生产、使用，限期</w:t>
            </w:r>
            <w:r>
              <w:rPr>
                <w:rFonts w:hint="eastAsia" w:ascii="Times New Roman" w:hAnsi="Times New Roman" w:eastAsia="方正仿宋_GBK" w:cs="Times New Roman"/>
                <w:i w:val="0"/>
                <w:iCs w:val="0"/>
                <w:color w:val="000000"/>
                <w:kern w:val="0"/>
                <w:sz w:val="21"/>
                <w:szCs w:val="21"/>
                <w:u w:val="none"/>
                <w:lang w:val="en-US" w:eastAsia="zh-CN" w:bidi="ar"/>
              </w:rPr>
              <w:t>改造，并处十万元以上十五万元以下罚款</w:t>
            </w:r>
          </w:p>
        </w:tc>
      </w:tr>
      <w:tr w14:paraId="6113E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2" w:hRule="atLeast"/>
          <w:jc w:val="center"/>
        </w:trPr>
        <w:tc>
          <w:tcPr>
            <w:tcW w:w="512" w:type="dxa"/>
            <w:vMerge w:val="continue"/>
          </w:tcPr>
          <w:p w14:paraId="3EA47157">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1296" w:type="dxa"/>
            <w:vMerge w:val="continue"/>
            <w:vAlign w:val="center"/>
          </w:tcPr>
          <w:p w14:paraId="6BB28BA4">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244" w:type="dxa"/>
            <w:vMerge w:val="continue"/>
          </w:tcPr>
          <w:p w14:paraId="22C4A2C9">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398" w:type="dxa"/>
            <w:vMerge w:val="continue"/>
          </w:tcPr>
          <w:p w14:paraId="4C6DC7FE">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715" w:type="dxa"/>
            <w:vMerge w:val="continue"/>
            <w:vAlign w:val="center"/>
          </w:tcPr>
          <w:p w14:paraId="0F5E6A1E">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p>
        </w:tc>
        <w:tc>
          <w:tcPr>
            <w:tcW w:w="3959" w:type="dxa"/>
            <w:shd w:val="clear" w:color="auto" w:fill="auto"/>
            <w:vAlign w:val="center"/>
          </w:tcPr>
          <w:p w14:paraId="1B4F805B">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sz w:val="21"/>
                <w:szCs w:val="21"/>
                <w:highlight w:val="none"/>
              </w:rPr>
              <w:t>重点用能单位</w:t>
            </w:r>
            <w:r>
              <w:rPr>
                <w:rFonts w:hint="eastAsia" w:ascii="Times New Roman" w:hAnsi="Times New Roman" w:eastAsia="方正仿宋_GBK" w:cs="Times New Roman"/>
                <w:sz w:val="21"/>
                <w:szCs w:val="21"/>
                <w:highlight w:val="none"/>
                <w:lang w:val="en-US" w:eastAsia="zh-CN"/>
              </w:rPr>
              <w:t>建设综合能源消耗量超过5000tce的固定资产投资项目，实际能源消耗量或者单位产品能耗指标超过节能审查批复值10%以上且20%以下的，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期限届满拒不整改或整改未达到要求的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39C69DAD">
            <w:pPr>
              <w:pStyle w:val="7"/>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pacing w:val="-2"/>
                <w:w w:val="105"/>
                <w:sz w:val="21"/>
                <w:szCs w:val="21"/>
                <w:highlight w:val="none"/>
                <w:lang w:val="en-US" w:eastAsia="zh-CN"/>
              </w:rPr>
            </w:pPr>
          </w:p>
        </w:tc>
        <w:tc>
          <w:tcPr>
            <w:tcW w:w="1685" w:type="dxa"/>
            <w:shd w:val="clear" w:color="auto" w:fill="auto"/>
            <w:vAlign w:val="center"/>
          </w:tcPr>
          <w:p w14:paraId="2F67B116">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i w:val="0"/>
                <w:iCs w:val="0"/>
                <w:color w:val="000000"/>
                <w:kern w:val="0"/>
                <w:sz w:val="21"/>
                <w:szCs w:val="21"/>
                <w:u w:val="none"/>
                <w:lang w:val="en-US" w:eastAsia="zh-CN" w:bidi="ar"/>
              </w:rPr>
              <w:t>责令停止生产、使用，限期</w:t>
            </w:r>
            <w:r>
              <w:rPr>
                <w:rFonts w:hint="eastAsia" w:ascii="Times New Roman" w:hAnsi="Times New Roman" w:eastAsia="方正仿宋_GBK" w:cs="Times New Roman"/>
                <w:i w:val="0"/>
                <w:iCs w:val="0"/>
                <w:color w:val="000000"/>
                <w:kern w:val="0"/>
                <w:sz w:val="21"/>
                <w:szCs w:val="21"/>
                <w:u w:val="none"/>
                <w:lang w:val="en-US" w:eastAsia="zh-CN" w:bidi="ar"/>
              </w:rPr>
              <w:t>改造，并处十五万元及以上二十万元以下罚款</w:t>
            </w:r>
          </w:p>
        </w:tc>
      </w:tr>
      <w:tr w14:paraId="0B369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tcPr>
          <w:p w14:paraId="5ABACB2F">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1296" w:type="dxa"/>
            <w:vMerge w:val="continue"/>
            <w:vAlign w:val="center"/>
          </w:tcPr>
          <w:p w14:paraId="22484800">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244" w:type="dxa"/>
            <w:vMerge w:val="continue"/>
          </w:tcPr>
          <w:p w14:paraId="2CAA9D52">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398" w:type="dxa"/>
            <w:vMerge w:val="continue"/>
          </w:tcPr>
          <w:p w14:paraId="784A1657">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715" w:type="dxa"/>
            <w:vMerge w:val="continue"/>
            <w:vAlign w:val="center"/>
          </w:tcPr>
          <w:p w14:paraId="609BBD7B">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p>
        </w:tc>
        <w:tc>
          <w:tcPr>
            <w:tcW w:w="3959" w:type="dxa"/>
            <w:shd w:val="clear" w:color="auto" w:fill="auto"/>
            <w:vAlign w:val="center"/>
          </w:tcPr>
          <w:p w14:paraId="7A9F941A">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sz w:val="21"/>
                <w:szCs w:val="21"/>
                <w:highlight w:val="none"/>
              </w:rPr>
              <w:t>重点用能单位</w:t>
            </w:r>
            <w:r>
              <w:rPr>
                <w:rFonts w:hint="eastAsia" w:ascii="Times New Roman" w:hAnsi="Times New Roman" w:eastAsia="方正仿宋_GBK" w:cs="Times New Roman"/>
                <w:sz w:val="21"/>
                <w:szCs w:val="21"/>
                <w:highlight w:val="none"/>
                <w:lang w:val="en-US" w:eastAsia="zh-CN"/>
              </w:rPr>
              <w:t>建设综合能源消耗量超过5000tce的固定资产投资项目，实际能源消耗量或者单位产品能耗指标超过节能审查批复值20%以上的，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期限届满拒不整改或整改未达到要求的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5D26271C">
            <w:pPr>
              <w:pStyle w:val="7"/>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pacing w:val="-2"/>
                <w:w w:val="105"/>
                <w:sz w:val="21"/>
                <w:szCs w:val="21"/>
                <w:highlight w:val="none"/>
                <w:lang w:val="en-US" w:eastAsia="zh-CN"/>
              </w:rPr>
            </w:pPr>
          </w:p>
        </w:tc>
        <w:tc>
          <w:tcPr>
            <w:tcW w:w="1685" w:type="dxa"/>
            <w:shd w:val="clear" w:color="auto" w:fill="auto"/>
            <w:vAlign w:val="center"/>
          </w:tcPr>
          <w:p w14:paraId="48F1E83C">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default" w:ascii="Times New Roman" w:hAnsi="Times New Roman" w:eastAsia="方正仿宋_GBK" w:cs="Times New Roman"/>
                <w:i w:val="0"/>
                <w:iCs w:val="0"/>
                <w:color w:val="000000"/>
                <w:kern w:val="0"/>
                <w:sz w:val="21"/>
                <w:szCs w:val="21"/>
                <w:u w:val="none"/>
                <w:lang w:val="en-US" w:eastAsia="zh-CN" w:bidi="ar"/>
              </w:rPr>
              <w:t>责令停止生产、使用，限期</w:t>
            </w:r>
            <w:r>
              <w:rPr>
                <w:rFonts w:hint="eastAsia" w:ascii="Times New Roman" w:hAnsi="Times New Roman" w:eastAsia="方正仿宋_GBK" w:cs="Times New Roman"/>
                <w:i w:val="0"/>
                <w:iCs w:val="0"/>
                <w:color w:val="000000"/>
                <w:kern w:val="0"/>
                <w:sz w:val="21"/>
                <w:szCs w:val="21"/>
                <w:u w:val="none"/>
                <w:lang w:val="en-US" w:eastAsia="zh-CN" w:bidi="ar"/>
              </w:rPr>
              <w:t>改造，并处二十万元及以上三十万元以下罚款</w:t>
            </w:r>
          </w:p>
        </w:tc>
      </w:tr>
      <w:tr w14:paraId="3F316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tcPr>
          <w:p w14:paraId="6808AFCA">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1296" w:type="dxa"/>
            <w:vMerge w:val="continue"/>
            <w:vAlign w:val="center"/>
          </w:tcPr>
          <w:p w14:paraId="1EAA8465">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244" w:type="dxa"/>
            <w:vMerge w:val="continue"/>
          </w:tcPr>
          <w:p w14:paraId="0F575F3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398" w:type="dxa"/>
            <w:vMerge w:val="continue"/>
          </w:tcPr>
          <w:p w14:paraId="4D6F2FEE">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715" w:type="dxa"/>
            <w:vAlign w:val="center"/>
          </w:tcPr>
          <w:p w14:paraId="444B3CAC">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2312" w:cs="Times New Roman"/>
                <w:sz w:val="21"/>
                <w:szCs w:val="21"/>
                <w:highlight w:val="none"/>
                <w:vertAlign w:val="baseline"/>
                <w:lang w:val="en-US" w:eastAsia="zh-CN"/>
              </w:rPr>
              <w:t>严重</w:t>
            </w:r>
          </w:p>
        </w:tc>
        <w:tc>
          <w:tcPr>
            <w:tcW w:w="3959" w:type="dxa"/>
            <w:shd w:val="clear" w:color="auto" w:fill="auto"/>
            <w:vAlign w:val="center"/>
          </w:tcPr>
          <w:p w14:paraId="5CCA6796">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固定资产投资项目</w:t>
            </w:r>
            <w:r>
              <w:rPr>
                <w:rFonts w:hint="eastAsia" w:ascii="Times New Roman" w:hAnsi="Times New Roman" w:eastAsia="方正仿宋_GBK" w:cs="Times New Roman"/>
                <w:i w:val="0"/>
                <w:iCs w:val="0"/>
                <w:color w:val="000000"/>
                <w:kern w:val="0"/>
                <w:sz w:val="21"/>
                <w:szCs w:val="21"/>
                <w:u w:val="none"/>
                <w:lang w:val="en-US" w:eastAsia="zh-CN" w:bidi="ar"/>
              </w:rPr>
              <w:t>未进行节能审查或未通过节能审查，</w:t>
            </w:r>
            <w:r>
              <w:rPr>
                <w:rFonts w:hint="default" w:ascii="Times New Roman" w:hAnsi="Times New Roman" w:eastAsia="方正仿宋_GBK" w:cs="Times New Roman"/>
                <w:i w:val="0"/>
                <w:iCs w:val="0"/>
                <w:caps w:val="0"/>
                <w:color w:val="auto"/>
                <w:spacing w:val="0"/>
                <w:sz w:val="21"/>
                <w:szCs w:val="21"/>
                <w:highlight w:val="none"/>
                <w:shd w:val="clear" w:fill="FFFFFF"/>
              </w:rPr>
              <w:t>擅自开工建设或擅自投入生产、使用的</w:t>
            </w:r>
            <w:r>
              <w:rPr>
                <w:rFonts w:hint="eastAsia"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K" w:cs="Times New Roman"/>
                <w:i w:val="0"/>
                <w:iCs w:val="0"/>
                <w:caps w:val="0"/>
                <w:color w:val="000000"/>
                <w:spacing w:val="0"/>
                <w:sz w:val="21"/>
                <w:szCs w:val="21"/>
                <w:highlight w:val="none"/>
                <w:shd w:val="clear" w:fill="FFFFFF"/>
              </w:rPr>
              <w:t>固定资产投资项目建设单位开工建设不符合强制性节能标准的项目或者将该项目投入生产、使用的</w:t>
            </w:r>
            <w:r>
              <w:rPr>
                <w:rFonts w:hint="eastAsia" w:ascii="Times New Roman" w:hAnsi="Times New Roman" w:eastAsia="方正仿宋_GBK" w:cs="Times New Roman"/>
                <w:i w:val="0"/>
                <w:iCs w:val="0"/>
                <w:caps w:val="0"/>
                <w:color w:val="000000"/>
                <w:spacing w:val="0"/>
                <w:sz w:val="21"/>
                <w:szCs w:val="21"/>
                <w:highlight w:val="none"/>
                <w:shd w:val="clear" w:fill="FFFFFF"/>
                <w:lang w:eastAsia="zh-CN"/>
              </w:rPr>
              <w:t>；</w:t>
            </w:r>
            <w:r>
              <w:rPr>
                <w:rFonts w:hint="default" w:ascii="Times New Roman" w:hAnsi="Times New Roman" w:eastAsia="方正仿宋_GBK" w:cs="Times New Roman"/>
                <w:i w:val="0"/>
                <w:iCs w:val="0"/>
                <w:color w:val="000000"/>
                <w:kern w:val="0"/>
                <w:sz w:val="21"/>
                <w:szCs w:val="21"/>
                <w:u w:val="none"/>
                <w:lang w:val="en-US" w:eastAsia="zh-CN" w:bidi="ar"/>
              </w:rPr>
              <w:t>固定资产投资项目</w:t>
            </w:r>
            <w:r>
              <w:rPr>
                <w:rFonts w:hint="default" w:ascii="Times New Roman" w:hAnsi="Times New Roman" w:eastAsia="方正仿宋_GBK" w:cs="Times New Roman"/>
                <w:i w:val="0"/>
                <w:iCs w:val="0"/>
                <w:caps w:val="0"/>
                <w:color w:val="000000"/>
                <w:spacing w:val="0"/>
                <w:sz w:val="21"/>
                <w:szCs w:val="21"/>
                <w:highlight w:val="none"/>
                <w:shd w:val="clear" w:fill="FFFFFF"/>
              </w:rPr>
              <w:t>设计、建设单位使用国家明令淘汰的</w:t>
            </w:r>
            <w:r>
              <w:rPr>
                <w:rFonts w:hint="eastAsia" w:ascii="Times New Roman" w:hAnsi="Times New Roman" w:eastAsia="方正仿宋_GBK" w:cs="Times New Roman"/>
                <w:i w:val="0"/>
                <w:iCs w:val="0"/>
                <w:caps w:val="0"/>
                <w:color w:val="000000"/>
                <w:spacing w:val="0"/>
                <w:sz w:val="21"/>
                <w:szCs w:val="21"/>
                <w:highlight w:val="none"/>
                <w:shd w:val="clear" w:fill="FFFFFF"/>
                <w:lang w:val="en-US" w:eastAsia="zh-CN"/>
              </w:rPr>
              <w:t>生产工艺</w:t>
            </w:r>
            <w:r>
              <w:rPr>
                <w:rFonts w:hint="default" w:ascii="Times New Roman" w:hAnsi="Times New Roman" w:eastAsia="方正仿宋_GBK" w:cs="Times New Roman"/>
                <w:i w:val="0"/>
                <w:iCs w:val="0"/>
                <w:caps w:val="0"/>
                <w:color w:val="000000"/>
                <w:spacing w:val="0"/>
                <w:sz w:val="21"/>
                <w:szCs w:val="21"/>
                <w:highlight w:val="none"/>
                <w:shd w:val="clear" w:fill="FFFFFF"/>
              </w:rPr>
              <w:t>的</w:t>
            </w:r>
            <w:r>
              <w:rPr>
                <w:rFonts w:hint="eastAsia" w:ascii="Times New Roman" w:hAnsi="Times New Roman" w:eastAsia="方正仿宋_GBK" w:cs="Times New Roman"/>
                <w:i w:val="0"/>
                <w:iCs w:val="0"/>
                <w:color w:val="000000"/>
                <w:kern w:val="0"/>
                <w:sz w:val="21"/>
                <w:szCs w:val="21"/>
                <w:u w:val="none"/>
                <w:lang w:val="en-US" w:eastAsia="zh-CN" w:bidi="ar"/>
              </w:rPr>
              <w:t>，</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期限届满拒不改造或改造未达到要求，满1年的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Align w:val="center"/>
          </w:tcPr>
          <w:p w14:paraId="362240DC">
            <w:pPr>
              <w:pStyle w:val="7"/>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pacing w:val="-2"/>
                <w:w w:val="105"/>
                <w:sz w:val="21"/>
                <w:szCs w:val="21"/>
                <w:highlight w:val="none"/>
                <w:lang w:val="en-US" w:eastAsia="zh-CN"/>
              </w:rPr>
            </w:pPr>
            <w:r>
              <w:rPr>
                <w:rFonts w:hint="default" w:ascii="Times New Roman" w:hAnsi="Times New Roman" w:eastAsia="方正仿宋_GB2312" w:cs="Times New Roman"/>
                <w:spacing w:val="-2"/>
                <w:w w:val="105"/>
                <w:sz w:val="21"/>
                <w:szCs w:val="21"/>
                <w:highlight w:val="none"/>
                <w:lang w:val="en-US" w:eastAsia="zh-CN"/>
              </w:rPr>
              <w:t>从重</w:t>
            </w:r>
          </w:p>
        </w:tc>
        <w:tc>
          <w:tcPr>
            <w:tcW w:w="1685" w:type="dxa"/>
            <w:shd w:val="clear" w:color="auto" w:fill="auto"/>
            <w:vAlign w:val="center"/>
          </w:tcPr>
          <w:p w14:paraId="0B0AFBE9">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报请本级人民政府责令关闭</w:t>
            </w:r>
          </w:p>
        </w:tc>
      </w:tr>
      <w:tr w14:paraId="4EC43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restart"/>
            <w:vAlign w:val="center"/>
          </w:tcPr>
          <w:p w14:paraId="4E5AA03D">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2985C1EB">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2EF055D7">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117C707B">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5740C886">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1450C769">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47B3281F">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37BE74B1">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14BEAE75">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74AD5AD5">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p>
          <w:p w14:paraId="340A4E9B">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9</w:t>
            </w:r>
          </w:p>
        </w:tc>
        <w:tc>
          <w:tcPr>
            <w:tcW w:w="1296" w:type="dxa"/>
            <w:vMerge w:val="restart"/>
            <w:vAlign w:val="center"/>
          </w:tcPr>
          <w:p w14:paraId="237F36F5">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pacing w:val="-2"/>
                <w:w w:val="105"/>
                <w:sz w:val="21"/>
                <w:szCs w:val="21"/>
                <w:highlight w:val="none"/>
              </w:rPr>
            </w:pPr>
          </w:p>
          <w:p w14:paraId="151D317F">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pacing w:val="-2"/>
                <w:w w:val="105"/>
                <w:sz w:val="21"/>
                <w:szCs w:val="21"/>
                <w:highlight w:val="none"/>
              </w:rPr>
            </w:pPr>
          </w:p>
          <w:p w14:paraId="6E9F2125">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pacing w:val="-2"/>
                <w:w w:val="105"/>
                <w:sz w:val="21"/>
                <w:szCs w:val="21"/>
                <w:highlight w:val="none"/>
              </w:rPr>
            </w:pPr>
          </w:p>
          <w:p w14:paraId="37DE3A31">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pacing w:val="-2"/>
                <w:w w:val="105"/>
                <w:sz w:val="21"/>
                <w:szCs w:val="21"/>
                <w:highlight w:val="none"/>
              </w:rPr>
            </w:pPr>
          </w:p>
          <w:p w14:paraId="6A1867A0">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pacing w:val="-2"/>
                <w:w w:val="105"/>
                <w:sz w:val="21"/>
                <w:szCs w:val="21"/>
                <w:highlight w:val="none"/>
              </w:rPr>
            </w:pPr>
          </w:p>
          <w:p w14:paraId="1AECF603">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pacing w:val="-2"/>
                <w:w w:val="105"/>
                <w:sz w:val="21"/>
                <w:szCs w:val="21"/>
                <w:highlight w:val="none"/>
              </w:rPr>
            </w:pPr>
          </w:p>
          <w:p w14:paraId="1BBC53BE">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pacing w:val="-2"/>
                <w:w w:val="105"/>
                <w:sz w:val="21"/>
                <w:szCs w:val="21"/>
                <w:highlight w:val="none"/>
              </w:rPr>
            </w:pPr>
          </w:p>
          <w:p w14:paraId="7C8ECBDB">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pacing w:val="-2"/>
                <w:w w:val="105"/>
                <w:sz w:val="21"/>
                <w:szCs w:val="21"/>
                <w:highlight w:val="none"/>
              </w:rPr>
            </w:pPr>
          </w:p>
          <w:p w14:paraId="0577FB42">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spacing w:val="-2"/>
                <w:w w:val="105"/>
                <w:sz w:val="21"/>
                <w:szCs w:val="21"/>
                <w:highlight w:val="none"/>
              </w:rPr>
            </w:pPr>
          </w:p>
          <w:p w14:paraId="27BBEE0C">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2312" w:cs="Times New Roman"/>
                <w:sz w:val="21"/>
                <w:szCs w:val="21"/>
                <w:highlight w:val="none"/>
                <w:vertAlign w:val="baseline"/>
              </w:rPr>
            </w:pPr>
            <w:r>
              <w:rPr>
                <w:rFonts w:hint="default" w:ascii="Times New Roman" w:hAnsi="Times New Roman" w:eastAsia="方正仿宋_GBK" w:cs="Times New Roman"/>
                <w:spacing w:val="-2"/>
                <w:w w:val="105"/>
                <w:sz w:val="21"/>
                <w:szCs w:val="21"/>
                <w:highlight w:val="none"/>
              </w:rPr>
              <w:t>对被监察单位拒绝依法实施的节能</w:t>
            </w:r>
            <w:r>
              <w:rPr>
                <w:rFonts w:hint="default" w:ascii="Times New Roman" w:hAnsi="Times New Roman" w:eastAsia="方正仿宋_GBK" w:cs="Times New Roman"/>
                <w:spacing w:val="-8"/>
                <w:sz w:val="21"/>
                <w:szCs w:val="21"/>
                <w:highlight w:val="none"/>
              </w:rPr>
              <w:t>监察、拒不改</w:t>
            </w:r>
            <w:r>
              <w:rPr>
                <w:rFonts w:hint="default" w:ascii="Times New Roman" w:hAnsi="Times New Roman" w:eastAsia="方正仿宋_GBK" w:cs="Times New Roman"/>
                <w:spacing w:val="-4"/>
                <w:w w:val="105"/>
                <w:sz w:val="21"/>
                <w:szCs w:val="21"/>
                <w:highlight w:val="none"/>
              </w:rPr>
              <w:t>正的处罚</w:t>
            </w:r>
          </w:p>
        </w:tc>
        <w:tc>
          <w:tcPr>
            <w:tcW w:w="3244" w:type="dxa"/>
            <w:vMerge w:val="restart"/>
            <w:vAlign w:val="center"/>
          </w:tcPr>
          <w:p w14:paraId="5EAD688E">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部门</w:t>
            </w:r>
            <w:r>
              <w:rPr>
                <w:rFonts w:hint="default" w:ascii="Times New Roman" w:hAnsi="Times New Roman" w:eastAsia="方正仿宋_GBK" w:cs="Times New Roman"/>
                <w:i w:val="0"/>
                <w:iCs w:val="0"/>
                <w:caps w:val="0"/>
                <w:color w:val="000000"/>
                <w:spacing w:val="0"/>
                <w:sz w:val="21"/>
                <w:szCs w:val="21"/>
                <w:highlight w:val="none"/>
                <w:shd w:val="clear" w:fill="FFFFFF"/>
              </w:rPr>
              <w:t>规章】《节能监察办法》</w:t>
            </w:r>
            <w:r>
              <w:rPr>
                <w:rFonts w:hint="default" w:ascii="Times New Roman" w:hAnsi="Times New Roman" w:eastAsia="方正仿宋_GBK" w:cs="Times New Roman"/>
                <w:i w:val="0"/>
                <w:iCs w:val="0"/>
                <w:caps w:val="0"/>
                <w:color w:val="000000"/>
                <w:spacing w:val="0"/>
                <w:sz w:val="21"/>
                <w:szCs w:val="21"/>
                <w:highlight w:val="none"/>
                <w:shd w:val="clear" w:fill="FFFFFF"/>
              </w:rPr>
              <w:br w:type="textWrapping"/>
            </w:r>
            <w:r>
              <w:rPr>
                <w:rFonts w:hint="default" w:ascii="Times New Roman" w:hAnsi="Times New Roman" w:eastAsia="方正仿宋_GBK" w:cs="Times New Roman"/>
                <w:b/>
                <w:bCs/>
                <w:i w:val="0"/>
                <w:iCs w:val="0"/>
                <w:caps w:val="0"/>
                <w:color w:val="000000"/>
                <w:spacing w:val="0"/>
                <w:sz w:val="21"/>
                <w:szCs w:val="21"/>
                <w:highlight w:val="none"/>
                <w:shd w:val="clear" w:fill="FFFFFF"/>
                <w:lang w:val="en-US" w:eastAsia="zh-CN"/>
              </w:rPr>
              <w:t>第六条</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K" w:cs="Times New Roman"/>
                <w:i w:val="0"/>
                <w:iCs w:val="0"/>
                <w:caps w:val="0"/>
                <w:color w:val="000000"/>
                <w:spacing w:val="0"/>
                <w:sz w:val="21"/>
                <w:szCs w:val="21"/>
                <w:highlight w:val="none"/>
                <w:shd w:val="clear" w:fill="FFFFFF"/>
              </w:rPr>
              <w:t>节能监察机构应当开展下列工作：</w:t>
            </w:r>
          </w:p>
          <w:p w14:paraId="26FC09CB">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　　（一）监督检查被监察单位执行节能法律、法规、规章和强制性节能标准的情况，督促被监察单位依法用能、合理用能，依法处理违法违规行为；</w:t>
            </w:r>
          </w:p>
          <w:p w14:paraId="0FFEC825">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　　（二）受理对违法违规用能行为的举报和投诉，办理其他行政执法单位依法移送或者政府有关部门交办的违法违规用能案件；</w:t>
            </w:r>
          </w:p>
          <w:p w14:paraId="5E897E38">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　　（三）协助政府管理节能工作的部门和有关部门开展其他节能监督管理工作；</w:t>
            </w:r>
          </w:p>
          <w:p w14:paraId="2A88F3C3">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　　（四）节能法律、法规、规章和规范性文件规定的其他工作。</w:t>
            </w:r>
          </w:p>
          <w:p w14:paraId="79D7A261">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地方性法规</w:t>
            </w:r>
            <w:r>
              <w:rPr>
                <w:rFonts w:hint="default" w:ascii="Times New Roman" w:hAnsi="Times New Roman" w:eastAsia="方正仿宋_GBK" w:cs="Times New Roman"/>
                <w:i w:val="0"/>
                <w:iCs w:val="0"/>
                <w:caps w:val="0"/>
                <w:color w:val="000000"/>
                <w:spacing w:val="0"/>
                <w:sz w:val="21"/>
                <w:szCs w:val="21"/>
                <w:highlight w:val="none"/>
                <w:shd w:val="clear" w:fill="FFFFFF"/>
              </w:rPr>
              <w:t>】《江苏省节约能源条例》</w:t>
            </w:r>
            <w:r>
              <w:rPr>
                <w:rFonts w:hint="default" w:ascii="Times New Roman" w:hAnsi="Times New Roman" w:eastAsia="方正仿宋_GBK" w:cs="Times New Roman"/>
                <w:i w:val="0"/>
                <w:iCs w:val="0"/>
                <w:caps w:val="0"/>
                <w:color w:val="000000"/>
                <w:spacing w:val="0"/>
                <w:sz w:val="21"/>
                <w:szCs w:val="21"/>
                <w:highlight w:val="none"/>
                <w:shd w:val="clear" w:fill="FFFFFF"/>
              </w:rPr>
              <w:br w:type="textWrapping"/>
            </w:r>
            <w:r>
              <w:rPr>
                <w:rFonts w:hint="default" w:ascii="Times New Roman" w:hAnsi="Times New Roman" w:eastAsia="方正仿宋_GBK" w:cs="Times New Roman"/>
                <w:b/>
                <w:bCs/>
                <w:i w:val="0"/>
                <w:iCs w:val="0"/>
                <w:caps w:val="0"/>
                <w:color w:val="000000"/>
                <w:spacing w:val="0"/>
                <w:sz w:val="21"/>
                <w:szCs w:val="21"/>
                <w:highlight w:val="none"/>
                <w:shd w:val="clear" w:fill="FFFFFF"/>
                <w:lang w:val="en-US" w:eastAsia="zh-CN"/>
              </w:rPr>
              <w:t>第十六条第二款</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被监督检查单位不得拒绝监督检查。</w:t>
            </w:r>
          </w:p>
        </w:tc>
        <w:tc>
          <w:tcPr>
            <w:tcW w:w="3398" w:type="dxa"/>
            <w:vMerge w:val="restart"/>
            <w:vAlign w:val="center"/>
          </w:tcPr>
          <w:p w14:paraId="470867DD">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部门</w:t>
            </w:r>
            <w:r>
              <w:rPr>
                <w:rFonts w:hint="default" w:ascii="Times New Roman" w:hAnsi="Times New Roman" w:eastAsia="方正仿宋_GBK" w:cs="Times New Roman"/>
                <w:i w:val="0"/>
                <w:iCs w:val="0"/>
                <w:caps w:val="0"/>
                <w:color w:val="000000"/>
                <w:spacing w:val="0"/>
                <w:sz w:val="21"/>
                <w:szCs w:val="21"/>
                <w:highlight w:val="none"/>
                <w:shd w:val="clear" w:fill="FFFFFF"/>
              </w:rPr>
              <w:t>规章】《节能监察办法》</w:t>
            </w:r>
          </w:p>
          <w:p w14:paraId="42D75F8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b/>
                <w:bCs/>
                <w:i w:val="0"/>
                <w:iCs w:val="0"/>
                <w:caps w:val="0"/>
                <w:color w:val="000000"/>
                <w:spacing w:val="0"/>
                <w:sz w:val="21"/>
                <w:szCs w:val="21"/>
                <w:highlight w:val="none"/>
                <w:shd w:val="clear" w:fill="FFFFFF"/>
              </w:rPr>
              <w:t>第二十三条</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K" w:cs="Times New Roman"/>
                <w:i w:val="0"/>
                <w:iCs w:val="0"/>
                <w:caps w:val="0"/>
                <w:color w:val="000000"/>
                <w:spacing w:val="0"/>
                <w:sz w:val="21"/>
                <w:szCs w:val="21"/>
                <w:highlight w:val="none"/>
                <w:shd w:val="clear" w:fill="FFFFFF"/>
              </w:rPr>
              <w:t>被监察单位应当配合节能监察人员依法实施节能监察。被监察单位拒绝依法实施的节能监察的，由有处罚权的节能监察机构或委托开展节能监的单位给予警告，责令限期改正；拒不改正的，处 1 万元以上 3 万元以下罚款。阻碍依法实施节能监察的，移交公安机关按照《治安管理处罚法》相关规定处理，构成犯罪的，依法追究刑事责任。</w:t>
            </w:r>
          </w:p>
          <w:p w14:paraId="7CD359AE">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地方性法规</w:t>
            </w:r>
            <w:r>
              <w:rPr>
                <w:rFonts w:hint="default" w:ascii="Times New Roman" w:hAnsi="Times New Roman" w:eastAsia="方正仿宋_GBK" w:cs="Times New Roman"/>
                <w:i w:val="0"/>
                <w:iCs w:val="0"/>
                <w:caps w:val="0"/>
                <w:color w:val="000000"/>
                <w:spacing w:val="0"/>
                <w:sz w:val="21"/>
                <w:szCs w:val="21"/>
                <w:highlight w:val="none"/>
                <w:shd w:val="clear" w:fill="FFFFFF"/>
              </w:rPr>
              <w:t>】《江苏省节约能源条例》</w:t>
            </w:r>
          </w:p>
          <w:p w14:paraId="5466AA82">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b/>
                <w:bCs/>
                <w:i w:val="0"/>
                <w:iCs w:val="0"/>
                <w:caps w:val="0"/>
                <w:color w:val="000000"/>
                <w:spacing w:val="0"/>
                <w:sz w:val="21"/>
                <w:szCs w:val="21"/>
                <w:highlight w:val="none"/>
                <w:shd w:val="clear" w:fill="FFFFFF"/>
              </w:rPr>
              <w:t>第五十条</w:t>
            </w:r>
            <w:r>
              <w:rPr>
                <w:rFonts w:hint="default" w:ascii="Times New Roman" w:hAnsi="Times New Roman" w:eastAsia="方正仿宋_GBK" w:cs="Times New Roman"/>
                <w:i w:val="0"/>
                <w:iCs w:val="0"/>
                <w:caps w:val="0"/>
                <w:color w:val="000000"/>
                <w:spacing w:val="0"/>
                <w:sz w:val="21"/>
                <w:szCs w:val="21"/>
                <w:highlight w:val="none"/>
                <w:shd w:val="clear" w:fill="FFFFFF"/>
                <w:lang w:val="en-US" w:eastAsia="zh-CN"/>
              </w:rPr>
              <w:t xml:space="preserve">  </w:t>
            </w:r>
            <w:r>
              <w:rPr>
                <w:rFonts w:hint="default" w:ascii="Times New Roman" w:hAnsi="Times New Roman" w:eastAsia="方正仿宋_GBK" w:cs="Times New Roman"/>
                <w:i w:val="0"/>
                <w:iCs w:val="0"/>
                <w:caps w:val="0"/>
                <w:color w:val="000000"/>
                <w:spacing w:val="0"/>
                <w:sz w:val="21"/>
                <w:szCs w:val="21"/>
                <w:highlight w:val="none"/>
                <w:shd w:val="clear" w:fill="FFFFFF"/>
              </w:rPr>
              <w:t>规定违反本条例第十六条第二款规定，被监督检查单位拒绝、阻碍节能监督检查的，由节能主管部门责令限期改正</w:t>
            </w:r>
            <w:r>
              <w:rPr>
                <w:rFonts w:hint="default" w:ascii="Times New Roman" w:hAnsi="Times New Roman" w:eastAsia="方正仿宋_GBK" w:cs="Times New Roman"/>
                <w:i w:val="0"/>
                <w:iCs w:val="0"/>
                <w:caps w:val="0"/>
                <w:color w:val="auto"/>
                <w:spacing w:val="0"/>
                <w:sz w:val="21"/>
                <w:szCs w:val="21"/>
                <w:highlight w:val="none"/>
                <w:shd w:val="clear" w:fill="FFFFFF"/>
              </w:rPr>
              <w:t>；违反《中华人民共和国治安管理处罚法》的，由公安机关依法处理。</w:t>
            </w:r>
          </w:p>
        </w:tc>
        <w:tc>
          <w:tcPr>
            <w:tcW w:w="715" w:type="dxa"/>
            <w:vAlign w:val="center"/>
          </w:tcPr>
          <w:p w14:paraId="6AEBBA27">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K" w:cs="Times New Roman"/>
                <w:sz w:val="21"/>
                <w:szCs w:val="21"/>
                <w:highlight w:val="none"/>
                <w:vertAlign w:val="baseline"/>
                <w:lang w:val="en-US" w:eastAsia="zh-CN"/>
              </w:rPr>
              <w:t>轻微</w:t>
            </w:r>
          </w:p>
        </w:tc>
        <w:tc>
          <w:tcPr>
            <w:tcW w:w="3959" w:type="dxa"/>
            <w:vAlign w:val="center"/>
          </w:tcPr>
          <w:p w14:paraId="19D4E175">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eastAsia="zh-CN"/>
              </w:rPr>
            </w:pPr>
            <w:r>
              <w:rPr>
                <w:rFonts w:hint="eastAsia" w:ascii="Times New Roman" w:hAnsi="Times New Roman" w:eastAsia="方正仿宋_GB2312" w:cs="Times New Roman"/>
                <w:spacing w:val="-2"/>
                <w:sz w:val="21"/>
                <w:szCs w:val="21"/>
                <w:highlight w:val="none"/>
                <w:lang w:val="en-US" w:eastAsia="zh-CN"/>
              </w:rPr>
              <w:t>拒不</w:t>
            </w:r>
            <w:r>
              <w:rPr>
                <w:rFonts w:hint="default" w:ascii="Times New Roman" w:hAnsi="Times New Roman" w:eastAsia="方正仿宋_GB2312" w:cs="Times New Roman"/>
                <w:spacing w:val="-2"/>
                <w:sz w:val="21"/>
                <w:szCs w:val="21"/>
                <w:highlight w:val="none"/>
                <w:lang w:val="en-US" w:eastAsia="zh-CN"/>
              </w:rPr>
              <w:t>配合节能监察的；</w:t>
            </w:r>
            <w:r>
              <w:rPr>
                <w:rFonts w:hint="default" w:ascii="Times New Roman" w:hAnsi="Times New Roman" w:eastAsia="方正仿宋_GB2312" w:cs="Times New Roman"/>
                <w:sz w:val="21"/>
                <w:szCs w:val="21"/>
                <w:highlight w:val="none"/>
                <w:vertAlign w:val="baseline"/>
                <w:lang w:eastAsia="zh-CN"/>
              </w:rPr>
              <w:t>未明确表示</w:t>
            </w:r>
            <w:r>
              <w:rPr>
                <w:rFonts w:hint="eastAsia" w:ascii="Times New Roman" w:hAnsi="Times New Roman" w:eastAsia="方正仿宋_GB2312" w:cs="Times New Roman"/>
                <w:sz w:val="21"/>
                <w:szCs w:val="21"/>
                <w:highlight w:val="none"/>
                <w:vertAlign w:val="baseline"/>
                <w:lang w:val="en-US" w:eastAsia="zh-CN"/>
              </w:rPr>
              <w:t>拒绝</w:t>
            </w:r>
            <w:r>
              <w:rPr>
                <w:rFonts w:hint="default" w:ascii="Times New Roman" w:hAnsi="Times New Roman" w:eastAsia="方正仿宋_GB2312" w:cs="Times New Roman"/>
                <w:sz w:val="21"/>
                <w:szCs w:val="21"/>
                <w:highlight w:val="none"/>
                <w:vertAlign w:val="baseline"/>
                <w:lang w:eastAsia="zh-CN"/>
              </w:rPr>
              <w:t>配合节能监察，但工作开展现场无人配合的；拒不提供相关台账资料或隐瞒相关台账资料的；经现场沟通教育，及时改正的。</w:t>
            </w:r>
          </w:p>
        </w:tc>
        <w:tc>
          <w:tcPr>
            <w:tcW w:w="653" w:type="dxa"/>
            <w:vAlign w:val="center"/>
          </w:tcPr>
          <w:p w14:paraId="46FBB6B7">
            <w:pPr>
              <w:keepNext w:val="0"/>
              <w:keepLines w:val="0"/>
              <w:pageBreakBefore w:val="0"/>
              <w:widowControl w:val="0"/>
              <w:numPr>
                <w:ilvl w:val="0"/>
                <w:numId w:val="0"/>
              </w:numPr>
              <w:kinsoku/>
              <w:wordWrap/>
              <w:overflowPunct/>
              <w:topLinePunct w:val="0"/>
              <w:autoSpaceDE/>
              <w:autoSpaceDN/>
              <w:bidi w:val="0"/>
              <w:adjustRightInd/>
              <w:snapToGrid/>
              <w:spacing w:line="370" w:lineRule="exact"/>
              <w:ind w:leftChars="0"/>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从轻</w:t>
            </w:r>
          </w:p>
        </w:tc>
        <w:tc>
          <w:tcPr>
            <w:tcW w:w="1685" w:type="dxa"/>
            <w:shd w:val="clear" w:color="auto" w:fill="auto"/>
            <w:vAlign w:val="center"/>
          </w:tcPr>
          <w:p w14:paraId="71CD0D11">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eastAsia" w:ascii="Times New Roman" w:hAnsi="Times New Roman" w:eastAsia="方正仿宋_GBK" w:cs="Times New Roman"/>
                <w:i w:val="0"/>
                <w:iCs w:val="0"/>
                <w:color w:val="000000"/>
                <w:kern w:val="0"/>
                <w:sz w:val="21"/>
                <w:szCs w:val="21"/>
                <w:u w:val="none"/>
                <w:lang w:val="en-US" w:eastAsia="zh-CN" w:bidi="ar"/>
              </w:rPr>
              <w:t>免予行政</w:t>
            </w:r>
            <w:r>
              <w:rPr>
                <w:rFonts w:hint="default" w:ascii="Times New Roman" w:hAnsi="Times New Roman" w:eastAsia="方正仿宋_GBK" w:cs="Times New Roman"/>
                <w:i w:val="0"/>
                <w:iCs w:val="0"/>
                <w:color w:val="000000"/>
                <w:kern w:val="0"/>
                <w:sz w:val="21"/>
                <w:szCs w:val="21"/>
                <w:u w:val="none"/>
                <w:lang w:val="en-US" w:eastAsia="zh-CN" w:bidi="ar"/>
              </w:rPr>
              <w:t>处罚</w:t>
            </w:r>
          </w:p>
        </w:tc>
      </w:tr>
      <w:tr w14:paraId="2C8AB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 w:hRule="atLeast"/>
          <w:jc w:val="center"/>
        </w:trPr>
        <w:tc>
          <w:tcPr>
            <w:tcW w:w="512" w:type="dxa"/>
            <w:vMerge w:val="continue"/>
          </w:tcPr>
          <w:p w14:paraId="3FC9C548">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1296" w:type="dxa"/>
            <w:vMerge w:val="continue"/>
            <w:vAlign w:val="center"/>
          </w:tcPr>
          <w:p w14:paraId="73733E13">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3244" w:type="dxa"/>
            <w:vMerge w:val="continue"/>
          </w:tcPr>
          <w:p w14:paraId="58FA57E6">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3398" w:type="dxa"/>
            <w:vMerge w:val="continue"/>
          </w:tcPr>
          <w:p w14:paraId="51BC9581">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rPr>
            </w:pPr>
          </w:p>
        </w:tc>
        <w:tc>
          <w:tcPr>
            <w:tcW w:w="715" w:type="dxa"/>
            <w:vMerge w:val="restart"/>
            <w:vAlign w:val="center"/>
          </w:tcPr>
          <w:p w14:paraId="64AA1283">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3959" w:type="dxa"/>
            <w:vAlign w:val="top"/>
          </w:tcPr>
          <w:p w14:paraId="367EB18C">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pacing w:val="-2"/>
                <w:sz w:val="21"/>
                <w:szCs w:val="21"/>
                <w:highlight w:val="none"/>
                <w:lang w:val="en-US" w:eastAsia="zh-CN"/>
              </w:rPr>
            </w:pPr>
            <w:r>
              <w:rPr>
                <w:rFonts w:hint="eastAsia" w:ascii="Times New Roman" w:hAnsi="Times New Roman" w:eastAsia="方正仿宋_GB2312" w:cs="Times New Roman"/>
                <w:spacing w:val="-2"/>
                <w:sz w:val="21"/>
                <w:szCs w:val="21"/>
                <w:highlight w:val="none"/>
                <w:lang w:val="en-US" w:eastAsia="zh-CN"/>
              </w:rPr>
              <w:t>拒不</w:t>
            </w:r>
            <w:r>
              <w:rPr>
                <w:rFonts w:hint="default" w:ascii="Times New Roman" w:hAnsi="Times New Roman" w:eastAsia="方正仿宋_GB2312" w:cs="Times New Roman"/>
                <w:spacing w:val="-2"/>
                <w:sz w:val="21"/>
                <w:szCs w:val="21"/>
                <w:highlight w:val="none"/>
                <w:lang w:val="en-US" w:eastAsia="zh-CN"/>
              </w:rPr>
              <w:t>配合节能监察的；</w:t>
            </w:r>
            <w:r>
              <w:rPr>
                <w:rFonts w:hint="default" w:ascii="Times New Roman" w:hAnsi="Times New Roman" w:eastAsia="方正仿宋_GB2312" w:cs="Times New Roman"/>
                <w:sz w:val="21"/>
                <w:szCs w:val="21"/>
                <w:highlight w:val="none"/>
                <w:vertAlign w:val="baseline"/>
                <w:lang w:eastAsia="zh-CN"/>
              </w:rPr>
              <w:t>拒不提供相关台账资料或隐瞒相关台账资料的</w:t>
            </w:r>
            <w:r>
              <w:rPr>
                <w:rFonts w:hint="eastAsia" w:ascii="Times New Roman" w:hAnsi="Times New Roman" w:eastAsia="方正仿宋_GB2312" w:cs="Times New Roman"/>
                <w:sz w:val="21"/>
                <w:szCs w:val="21"/>
                <w:highlight w:val="none"/>
                <w:vertAlign w:val="baseline"/>
                <w:lang w:eastAsia="zh-CN"/>
              </w:rPr>
              <w:t>；</w:t>
            </w:r>
            <w:r>
              <w:rPr>
                <w:rFonts w:hint="eastAsia" w:ascii="Times New Roman" w:hAnsi="Times New Roman" w:eastAsia="方正仿宋_GB2312" w:cs="Times New Roman"/>
                <w:sz w:val="21"/>
                <w:szCs w:val="21"/>
                <w:highlight w:val="none"/>
                <w:vertAlign w:val="baseline"/>
                <w:lang w:val="en-US" w:eastAsia="zh-CN"/>
              </w:rPr>
              <w:t>无正当理由</w:t>
            </w:r>
            <w:r>
              <w:rPr>
                <w:rFonts w:hint="default" w:ascii="Times New Roman" w:hAnsi="Times New Roman" w:eastAsia="方正仿宋_GB2312" w:cs="Times New Roman"/>
                <w:spacing w:val="-2"/>
                <w:sz w:val="21"/>
                <w:szCs w:val="21"/>
                <w:highlight w:val="none"/>
                <w:lang w:val="en-US" w:eastAsia="zh-CN"/>
              </w:rPr>
              <w:t>拒绝配合签字确认相关</w:t>
            </w:r>
            <w:r>
              <w:rPr>
                <w:rFonts w:hint="eastAsia" w:ascii="Times New Roman" w:hAnsi="Times New Roman" w:eastAsia="方正仿宋_GB2312" w:cs="Times New Roman"/>
                <w:spacing w:val="-2"/>
                <w:sz w:val="21"/>
                <w:szCs w:val="21"/>
                <w:highlight w:val="none"/>
                <w:lang w:val="en-US" w:eastAsia="zh-CN"/>
              </w:rPr>
              <w:t>执法</w:t>
            </w:r>
            <w:r>
              <w:rPr>
                <w:rFonts w:hint="default" w:ascii="Times New Roman" w:hAnsi="Times New Roman" w:eastAsia="方正仿宋_GB2312" w:cs="Times New Roman"/>
                <w:spacing w:val="-2"/>
                <w:sz w:val="21"/>
                <w:szCs w:val="21"/>
                <w:highlight w:val="none"/>
                <w:lang w:val="en-US" w:eastAsia="zh-CN"/>
              </w:rPr>
              <w:t>文书的</w:t>
            </w:r>
            <w:r>
              <w:rPr>
                <w:rFonts w:hint="eastAsia" w:ascii="Times New Roman" w:hAnsi="Times New Roman" w:eastAsia="方正仿宋_GB2312" w:cs="Times New Roman"/>
                <w:spacing w:val="-2"/>
                <w:sz w:val="21"/>
                <w:szCs w:val="21"/>
                <w:highlight w:val="none"/>
                <w:lang w:val="en-US" w:eastAsia="zh-CN"/>
              </w:rPr>
              <w:t>；</w:t>
            </w:r>
            <w:r>
              <w:rPr>
                <w:rFonts w:hint="eastAsia" w:ascii="Times New Roman" w:hAnsi="Times New Roman" w:eastAsia="方正仿宋_GBK" w:cs="Times New Roman"/>
                <w:i w:val="0"/>
                <w:iCs w:val="0"/>
                <w:color w:val="000000"/>
                <w:kern w:val="0"/>
                <w:sz w:val="21"/>
                <w:szCs w:val="21"/>
                <w:u w:val="none"/>
                <w:lang w:val="en-US" w:eastAsia="zh-CN" w:bidi="ar"/>
              </w:rPr>
              <w:t>责令限期整改期限内完成整改的</w:t>
            </w:r>
            <w:r>
              <w:rPr>
                <w:rFonts w:hint="eastAsia" w:ascii="Times New Roman" w:hAnsi="Times New Roman" w:eastAsia="方正仿宋_GB2312" w:cs="Times New Roman"/>
                <w:spacing w:val="-2"/>
                <w:sz w:val="21"/>
                <w:szCs w:val="21"/>
                <w:highlight w:val="none"/>
                <w:lang w:val="en-US" w:eastAsia="zh-CN"/>
              </w:rPr>
              <w:t>。</w:t>
            </w:r>
          </w:p>
        </w:tc>
        <w:tc>
          <w:tcPr>
            <w:tcW w:w="653" w:type="dxa"/>
            <w:vMerge w:val="restart"/>
            <w:vAlign w:val="center"/>
          </w:tcPr>
          <w:p w14:paraId="37B844B8">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default" w:ascii="Times New Roman" w:hAnsi="Times New Roman" w:eastAsia="方正仿宋_GB2312" w:cs="Times New Roman"/>
                <w:sz w:val="21"/>
                <w:szCs w:val="21"/>
                <w:highlight w:val="none"/>
                <w:vertAlign w:val="baseline"/>
                <w:lang w:val="en-US" w:eastAsia="zh-CN"/>
              </w:rPr>
              <w:t>一般</w:t>
            </w:r>
          </w:p>
        </w:tc>
        <w:tc>
          <w:tcPr>
            <w:tcW w:w="1685" w:type="dxa"/>
            <w:shd w:val="clear" w:color="auto" w:fill="auto"/>
            <w:vAlign w:val="center"/>
          </w:tcPr>
          <w:p w14:paraId="7DD1AEB5">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警告</w:t>
            </w:r>
          </w:p>
        </w:tc>
      </w:tr>
      <w:tr w14:paraId="64278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2" w:type="dxa"/>
            <w:vMerge w:val="continue"/>
          </w:tcPr>
          <w:p w14:paraId="72E787ED">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1296" w:type="dxa"/>
            <w:vMerge w:val="continue"/>
            <w:vAlign w:val="center"/>
          </w:tcPr>
          <w:p w14:paraId="1CBA7F68">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244" w:type="dxa"/>
            <w:vMerge w:val="continue"/>
          </w:tcPr>
          <w:p w14:paraId="4A9024C5">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398" w:type="dxa"/>
            <w:vMerge w:val="continue"/>
          </w:tcPr>
          <w:p w14:paraId="23D5DEF5">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715" w:type="dxa"/>
            <w:vMerge w:val="continue"/>
            <w:vAlign w:val="center"/>
          </w:tcPr>
          <w:p w14:paraId="374CCDBB">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p>
        </w:tc>
        <w:tc>
          <w:tcPr>
            <w:tcW w:w="3959" w:type="dxa"/>
            <w:shd w:val="clear" w:color="auto" w:fill="auto"/>
            <w:vAlign w:val="center"/>
          </w:tcPr>
          <w:p w14:paraId="43653959">
            <w:pPr>
              <w:keepNext w:val="0"/>
              <w:keepLines w:val="0"/>
              <w:pageBreakBefore w:val="0"/>
              <w:widowControl/>
              <w:numPr>
                <w:ilvl w:val="0"/>
                <w:numId w:val="0"/>
              </w:numPr>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eastAsia" w:ascii="Times New Roman" w:hAnsi="Times New Roman" w:eastAsia="方正仿宋_GB2312" w:cs="Times New Roman"/>
                <w:spacing w:val="-2"/>
                <w:sz w:val="21"/>
                <w:szCs w:val="21"/>
                <w:highlight w:val="none"/>
                <w:lang w:val="en-US" w:eastAsia="zh-CN"/>
              </w:rPr>
              <w:t>拒不</w:t>
            </w:r>
            <w:r>
              <w:rPr>
                <w:rFonts w:hint="default" w:ascii="Times New Roman" w:hAnsi="Times New Roman" w:eastAsia="方正仿宋_GB2312" w:cs="Times New Roman"/>
                <w:spacing w:val="-2"/>
                <w:sz w:val="21"/>
                <w:szCs w:val="21"/>
                <w:highlight w:val="none"/>
                <w:lang w:val="en-US" w:eastAsia="zh-CN"/>
              </w:rPr>
              <w:t>配合节能监察的；</w:t>
            </w:r>
            <w:r>
              <w:rPr>
                <w:rFonts w:hint="default" w:ascii="Times New Roman" w:hAnsi="Times New Roman" w:eastAsia="方正仿宋_GB2312" w:cs="Times New Roman"/>
                <w:sz w:val="21"/>
                <w:szCs w:val="21"/>
                <w:highlight w:val="none"/>
                <w:vertAlign w:val="baseline"/>
                <w:lang w:eastAsia="zh-CN"/>
              </w:rPr>
              <w:t>拒不提供相关台账资料或隐瞒相关台账资料的</w:t>
            </w:r>
            <w:r>
              <w:rPr>
                <w:rFonts w:hint="eastAsia" w:ascii="Times New Roman" w:hAnsi="Times New Roman" w:eastAsia="方正仿宋_GB2312" w:cs="Times New Roman"/>
                <w:sz w:val="21"/>
                <w:szCs w:val="21"/>
                <w:highlight w:val="none"/>
                <w:vertAlign w:val="baseline"/>
                <w:lang w:eastAsia="zh-CN"/>
              </w:rPr>
              <w:t>；</w:t>
            </w:r>
            <w:r>
              <w:rPr>
                <w:rFonts w:hint="eastAsia" w:ascii="Times New Roman" w:hAnsi="Times New Roman" w:eastAsia="方正仿宋_GB2312" w:cs="Times New Roman"/>
                <w:sz w:val="21"/>
                <w:szCs w:val="21"/>
                <w:highlight w:val="none"/>
                <w:vertAlign w:val="baseline"/>
                <w:lang w:val="en-US" w:eastAsia="zh-CN"/>
              </w:rPr>
              <w:t>无正当理由</w:t>
            </w:r>
            <w:r>
              <w:rPr>
                <w:rFonts w:hint="default" w:ascii="Times New Roman" w:hAnsi="Times New Roman" w:eastAsia="方正仿宋_GB2312" w:cs="Times New Roman"/>
                <w:spacing w:val="-2"/>
                <w:sz w:val="21"/>
                <w:szCs w:val="21"/>
                <w:highlight w:val="none"/>
                <w:lang w:val="en-US" w:eastAsia="zh-CN"/>
              </w:rPr>
              <w:t>拒绝配合签字确认相关</w:t>
            </w:r>
            <w:r>
              <w:rPr>
                <w:rFonts w:hint="eastAsia" w:ascii="Times New Roman" w:hAnsi="Times New Roman" w:eastAsia="方正仿宋_GB2312" w:cs="Times New Roman"/>
                <w:spacing w:val="-2"/>
                <w:sz w:val="21"/>
                <w:szCs w:val="21"/>
                <w:highlight w:val="none"/>
                <w:lang w:val="en-US" w:eastAsia="zh-CN"/>
              </w:rPr>
              <w:t>执法</w:t>
            </w:r>
            <w:r>
              <w:rPr>
                <w:rFonts w:hint="default" w:ascii="Times New Roman" w:hAnsi="Times New Roman" w:eastAsia="方正仿宋_GB2312" w:cs="Times New Roman"/>
                <w:spacing w:val="-2"/>
                <w:sz w:val="21"/>
                <w:szCs w:val="21"/>
                <w:highlight w:val="none"/>
                <w:lang w:val="en-US" w:eastAsia="zh-CN"/>
              </w:rPr>
              <w:t>文书的</w:t>
            </w:r>
            <w:r>
              <w:rPr>
                <w:rFonts w:hint="eastAsia" w:ascii="Times New Roman" w:hAnsi="Times New Roman" w:eastAsia="方正仿宋_GB2312" w:cs="Times New Roman"/>
                <w:spacing w:val="-2"/>
                <w:sz w:val="21"/>
                <w:szCs w:val="21"/>
                <w:highlight w:val="none"/>
                <w:lang w:val="en-US" w:eastAsia="zh-CN"/>
              </w:rPr>
              <w:t>；</w:t>
            </w:r>
            <w:r>
              <w:rPr>
                <w:rFonts w:hint="eastAsia" w:ascii="Times New Roman" w:hAnsi="Times New Roman" w:eastAsia="方正仿宋_GBK" w:cs="Times New Roman"/>
                <w:i w:val="0"/>
                <w:iCs w:val="0"/>
                <w:color w:val="000000"/>
                <w:kern w:val="0"/>
                <w:sz w:val="21"/>
                <w:szCs w:val="21"/>
                <w:u w:val="none"/>
                <w:lang w:val="en-US" w:eastAsia="zh-CN" w:bidi="ar"/>
              </w:rPr>
              <w:t>责令限期内完成整改的</w:t>
            </w:r>
            <w:r>
              <w:rPr>
                <w:rFonts w:hint="eastAsia" w:ascii="Times New Roman" w:hAnsi="Times New Roman" w:eastAsia="方正仿宋_GB2312" w:cs="Times New Roman"/>
                <w:spacing w:val="-2"/>
                <w:sz w:val="21"/>
                <w:szCs w:val="21"/>
                <w:highlight w:val="none"/>
                <w:lang w:val="en-US" w:eastAsia="zh-CN"/>
              </w:rPr>
              <w:t>。</w:t>
            </w:r>
          </w:p>
        </w:tc>
        <w:tc>
          <w:tcPr>
            <w:tcW w:w="653" w:type="dxa"/>
            <w:vMerge w:val="continue"/>
            <w:vAlign w:val="center"/>
          </w:tcPr>
          <w:p w14:paraId="181A4236">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p>
        </w:tc>
        <w:tc>
          <w:tcPr>
            <w:tcW w:w="1685" w:type="dxa"/>
            <w:shd w:val="clear" w:color="auto" w:fill="auto"/>
            <w:vAlign w:val="center"/>
          </w:tcPr>
          <w:p w14:paraId="22823DD1">
            <w:pPr>
              <w:keepNext w:val="0"/>
              <w:keepLines w:val="0"/>
              <w:pageBreakBefore w:val="0"/>
              <w:widowControl/>
              <w:suppressLineNumbers w:val="0"/>
              <w:kinsoku/>
              <w:wordWrap/>
              <w:overflowPunct/>
              <w:topLinePunct w:val="0"/>
              <w:autoSpaceDE/>
              <w:autoSpaceDN/>
              <w:bidi w:val="0"/>
              <w:adjustRightInd/>
              <w:snapToGrid/>
              <w:spacing w:line="370" w:lineRule="exact"/>
              <w:jc w:val="center"/>
              <w:textAlignment w:val="center"/>
              <w:rPr>
                <w:rFonts w:hint="default" w:ascii="方正仿宋_GBK" w:hAnsi="方正仿宋_GBK" w:eastAsia="方正仿宋_GBK" w:cs="方正仿宋_GBK"/>
                <w:i w:val="0"/>
                <w:iCs w:val="0"/>
                <w:color w:val="000000"/>
                <w:kern w:val="2"/>
                <w:sz w:val="36"/>
                <w:szCs w:val="36"/>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处</w:t>
            </w:r>
            <w:r>
              <w:rPr>
                <w:rFonts w:hint="eastAsia" w:ascii="Times New Roman" w:hAnsi="Times New Roman" w:eastAsia="方正仿宋_GBK" w:cs="Times New Roman"/>
                <w:i w:val="0"/>
                <w:iCs w:val="0"/>
                <w:color w:val="000000"/>
                <w:kern w:val="0"/>
                <w:sz w:val="21"/>
                <w:szCs w:val="21"/>
                <w:u w:val="none"/>
                <w:lang w:val="en-US" w:eastAsia="zh-CN" w:bidi="ar"/>
              </w:rPr>
              <w:t>一万元以上</w:t>
            </w:r>
            <w:r>
              <w:rPr>
                <w:rFonts w:hint="eastAsia" w:ascii="Times New Roman" w:hAnsi="Times New Roman" w:eastAsia="方正仿宋_GBK" w:cs="Times New Roman"/>
                <w:i w:val="0"/>
                <w:iCs w:val="0"/>
                <w:caps w:val="0"/>
                <w:color w:val="000000"/>
                <w:spacing w:val="0"/>
                <w:sz w:val="21"/>
                <w:szCs w:val="21"/>
                <w:highlight w:val="none"/>
                <w:shd w:val="clear" w:fill="FFFFFF"/>
                <w:lang w:val="en-US" w:eastAsia="zh-CN"/>
              </w:rPr>
              <w:t>三</w:t>
            </w:r>
            <w:r>
              <w:rPr>
                <w:rFonts w:hint="default" w:ascii="Times New Roman" w:hAnsi="Times New Roman" w:eastAsia="方正仿宋_GBK" w:cs="Times New Roman"/>
                <w:i w:val="0"/>
                <w:iCs w:val="0"/>
                <w:caps w:val="0"/>
                <w:color w:val="000000"/>
                <w:spacing w:val="0"/>
                <w:sz w:val="21"/>
                <w:szCs w:val="21"/>
                <w:highlight w:val="none"/>
                <w:shd w:val="clear" w:fill="FFFFFF"/>
              </w:rPr>
              <w:t>万元</w:t>
            </w:r>
            <w:r>
              <w:rPr>
                <w:rFonts w:hint="eastAsia" w:ascii="Times New Roman" w:hAnsi="Times New Roman" w:eastAsia="方正仿宋_GBK" w:cs="Times New Roman"/>
                <w:i w:val="0"/>
                <w:iCs w:val="0"/>
                <w:caps w:val="0"/>
                <w:color w:val="000000"/>
                <w:spacing w:val="0"/>
                <w:sz w:val="21"/>
                <w:szCs w:val="21"/>
                <w:highlight w:val="none"/>
                <w:shd w:val="clear" w:fill="FFFFFF"/>
                <w:lang w:val="en-US" w:eastAsia="zh-CN"/>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040A35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512" w:type="dxa"/>
            <w:vMerge w:val="continue"/>
          </w:tcPr>
          <w:p w14:paraId="5106E5E0">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1296" w:type="dxa"/>
            <w:vMerge w:val="continue"/>
            <w:vAlign w:val="center"/>
          </w:tcPr>
          <w:p w14:paraId="5411E5DF">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244" w:type="dxa"/>
            <w:vMerge w:val="continue"/>
          </w:tcPr>
          <w:p w14:paraId="3EA5E7B4">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398" w:type="dxa"/>
            <w:vMerge w:val="continue"/>
          </w:tcPr>
          <w:p w14:paraId="7007D30B">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715" w:type="dxa"/>
            <w:vAlign w:val="center"/>
          </w:tcPr>
          <w:p w14:paraId="158B14EE">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2312" w:cs="Times New Roman"/>
                <w:sz w:val="21"/>
                <w:szCs w:val="21"/>
                <w:highlight w:val="none"/>
                <w:vertAlign w:val="baseline"/>
                <w:lang w:val="en-US" w:eastAsia="zh-CN"/>
              </w:rPr>
              <w:t>严重</w:t>
            </w:r>
          </w:p>
        </w:tc>
        <w:tc>
          <w:tcPr>
            <w:tcW w:w="3959" w:type="dxa"/>
            <w:shd w:val="clear" w:color="auto" w:fill="auto"/>
            <w:vAlign w:val="center"/>
          </w:tcPr>
          <w:p w14:paraId="76EFF33B">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2"/>
                <w:sz w:val="21"/>
                <w:szCs w:val="21"/>
                <w:u w:val="none"/>
                <w:lang w:val="en-US" w:eastAsia="zh-CN" w:bidi="ar-SA"/>
              </w:rPr>
            </w:pPr>
            <w:r>
              <w:rPr>
                <w:rFonts w:hint="default" w:ascii="Times New Roman" w:hAnsi="Times New Roman" w:eastAsia="方正仿宋_GBK" w:cs="Times New Roman"/>
                <w:i w:val="0"/>
                <w:iCs w:val="0"/>
                <w:color w:val="000000"/>
                <w:kern w:val="0"/>
                <w:sz w:val="21"/>
                <w:szCs w:val="21"/>
                <w:u w:val="none"/>
                <w:lang w:val="en-US" w:eastAsia="zh-CN" w:bidi="ar"/>
              </w:rPr>
              <w:t>阻碍依法实施节能监察的。</w:t>
            </w:r>
          </w:p>
        </w:tc>
        <w:tc>
          <w:tcPr>
            <w:tcW w:w="653" w:type="dxa"/>
            <w:vAlign w:val="center"/>
          </w:tcPr>
          <w:p w14:paraId="23DB7177">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2312" w:cs="Times New Roman"/>
                <w:sz w:val="21"/>
                <w:szCs w:val="21"/>
                <w:highlight w:val="none"/>
                <w:vertAlign w:val="baseline"/>
                <w:lang w:val="en-US" w:eastAsia="zh-CN"/>
              </w:rPr>
              <w:t>从重</w:t>
            </w:r>
          </w:p>
        </w:tc>
        <w:tc>
          <w:tcPr>
            <w:tcW w:w="1685" w:type="dxa"/>
            <w:vAlign w:val="center"/>
          </w:tcPr>
          <w:p w14:paraId="0731D352">
            <w:pPr>
              <w:pStyle w:val="7"/>
              <w:keepNext w:val="0"/>
              <w:keepLines w:val="0"/>
              <w:pageBreakBefore w:val="0"/>
              <w:widowControl w:val="0"/>
              <w:kinsoku/>
              <w:wordWrap/>
              <w:overflowPunct/>
              <w:topLinePunct w:val="0"/>
              <w:autoSpaceDE/>
              <w:autoSpaceDN/>
              <w:bidi w:val="0"/>
              <w:adjustRightInd/>
              <w:snapToGrid/>
              <w:spacing w:line="370" w:lineRule="exact"/>
              <w:ind w:left="0" w:leftChars="0" w:right="0" w:rightChars="0"/>
              <w:jc w:val="both"/>
              <w:textAlignment w:val="auto"/>
              <w:rPr>
                <w:rFonts w:hint="default" w:ascii="Times New Roman" w:hAnsi="Times New Roman" w:eastAsia="方正仿宋_GB2312" w:cs="Times New Roman"/>
                <w:spacing w:val="-2"/>
                <w:w w:val="105"/>
                <w:sz w:val="21"/>
                <w:szCs w:val="21"/>
                <w:highlight w:val="none"/>
                <w:lang w:val="en-US" w:eastAsia="zh-CN"/>
              </w:rPr>
            </w:pPr>
            <w:r>
              <w:rPr>
                <w:rFonts w:hint="default" w:ascii="Times New Roman" w:hAnsi="Times New Roman" w:eastAsia="方正仿宋_GB2312" w:cs="Times New Roman"/>
                <w:spacing w:val="-2"/>
                <w:w w:val="105"/>
                <w:sz w:val="21"/>
                <w:szCs w:val="21"/>
                <w:highlight w:val="none"/>
                <w:lang w:val="en-US" w:eastAsia="zh-CN"/>
              </w:rPr>
              <w:t>移交公安机关</w:t>
            </w:r>
            <w:r>
              <w:rPr>
                <w:rFonts w:hint="eastAsia" w:ascii="Times New Roman" w:hAnsi="Times New Roman" w:eastAsia="方正仿宋_GB2312" w:cs="Times New Roman"/>
                <w:spacing w:val="-2"/>
                <w:w w:val="105"/>
                <w:sz w:val="21"/>
                <w:szCs w:val="21"/>
                <w:highlight w:val="none"/>
                <w:lang w:val="en-US" w:eastAsia="zh-CN"/>
              </w:rPr>
              <w:t>依法</w:t>
            </w:r>
            <w:r>
              <w:rPr>
                <w:rFonts w:hint="default" w:ascii="Times New Roman" w:hAnsi="Times New Roman" w:eastAsia="方正仿宋_GB2312" w:cs="Times New Roman"/>
                <w:spacing w:val="-2"/>
                <w:w w:val="105"/>
                <w:sz w:val="21"/>
                <w:szCs w:val="21"/>
                <w:highlight w:val="none"/>
                <w:lang w:val="en-US" w:eastAsia="zh-CN"/>
              </w:rPr>
              <w:t>处理</w:t>
            </w:r>
          </w:p>
        </w:tc>
      </w:tr>
      <w:tr w14:paraId="65642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5" w:hRule="atLeast"/>
          <w:jc w:val="center"/>
        </w:trPr>
        <w:tc>
          <w:tcPr>
            <w:tcW w:w="512" w:type="dxa"/>
            <w:vMerge w:val="continue"/>
          </w:tcPr>
          <w:p w14:paraId="7E6AE4FA">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1296" w:type="dxa"/>
            <w:vMerge w:val="continue"/>
            <w:vAlign w:val="center"/>
          </w:tcPr>
          <w:p w14:paraId="0EEE1B56">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3244" w:type="dxa"/>
            <w:vMerge w:val="continue"/>
          </w:tcPr>
          <w:p w14:paraId="1C90D55A">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3398" w:type="dxa"/>
            <w:vMerge w:val="continue"/>
          </w:tcPr>
          <w:p w14:paraId="7B472A45">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715" w:type="dxa"/>
            <w:vAlign w:val="center"/>
          </w:tcPr>
          <w:p w14:paraId="248DC93D">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p>
        </w:tc>
        <w:tc>
          <w:tcPr>
            <w:tcW w:w="3959" w:type="dxa"/>
            <w:shd w:val="clear" w:color="auto" w:fill="auto"/>
            <w:vAlign w:val="center"/>
          </w:tcPr>
          <w:p w14:paraId="18E2E0EF">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p>
        </w:tc>
        <w:tc>
          <w:tcPr>
            <w:tcW w:w="653" w:type="dxa"/>
            <w:vAlign w:val="center"/>
          </w:tcPr>
          <w:p w14:paraId="4D7DAAD6">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p>
        </w:tc>
        <w:tc>
          <w:tcPr>
            <w:tcW w:w="1685" w:type="dxa"/>
            <w:vAlign w:val="center"/>
          </w:tcPr>
          <w:p w14:paraId="4AF3B0C8">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p>
        </w:tc>
      </w:tr>
      <w:tr w14:paraId="31EC0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512" w:type="dxa"/>
            <w:vMerge w:val="restart"/>
          </w:tcPr>
          <w:p w14:paraId="0E80DD04">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2312" w:cs="Times New Roman"/>
                <w:sz w:val="21"/>
                <w:szCs w:val="21"/>
                <w:highlight w:val="none"/>
                <w:vertAlign w:val="baseline"/>
                <w:lang w:val="en-US" w:eastAsia="zh-CN"/>
              </w:rPr>
              <w:t>10</w:t>
            </w:r>
          </w:p>
        </w:tc>
        <w:tc>
          <w:tcPr>
            <w:tcW w:w="1296" w:type="dxa"/>
            <w:vMerge w:val="restart"/>
            <w:vAlign w:val="center"/>
          </w:tcPr>
          <w:p w14:paraId="2CDC1C85">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eastAsia" w:ascii="Times New Roman" w:hAnsi="Times New Roman" w:eastAsia="方正仿宋_GBK" w:cs="Times New Roman"/>
                <w:sz w:val="21"/>
                <w:szCs w:val="21"/>
                <w:highlight w:val="none"/>
                <w:vertAlign w:val="baseline"/>
                <w:lang w:val="en-US" w:eastAsia="zh-CN"/>
              </w:rPr>
            </w:pPr>
            <w:r>
              <w:rPr>
                <w:rFonts w:hint="eastAsia" w:ascii="Times New Roman" w:hAnsi="Times New Roman" w:eastAsia="方正仿宋_GBK" w:cs="Times New Roman"/>
                <w:spacing w:val="-2"/>
                <w:w w:val="105"/>
                <w:sz w:val="21"/>
                <w:szCs w:val="21"/>
                <w:highlight w:val="none"/>
                <w:lang w:val="en-US" w:eastAsia="zh-CN"/>
              </w:rPr>
              <w:t>对</w:t>
            </w:r>
            <w:r>
              <w:rPr>
                <w:rFonts w:hint="eastAsia" w:ascii="Times New Roman" w:hAnsi="Times New Roman" w:eastAsia="方正仿宋_GBK" w:cs="Times New Roman"/>
                <w:spacing w:val="-2"/>
                <w:w w:val="105"/>
                <w:sz w:val="21"/>
                <w:szCs w:val="21"/>
                <w:highlight w:val="none"/>
              </w:rPr>
              <w:t>重点用能单位不按要求开展能耗在线监测系统建设和能耗在线监测工作的</w:t>
            </w:r>
            <w:r>
              <w:rPr>
                <w:rFonts w:hint="eastAsia" w:ascii="Times New Roman" w:hAnsi="Times New Roman" w:eastAsia="方正仿宋_GBK" w:cs="Times New Roman"/>
                <w:spacing w:val="-2"/>
                <w:w w:val="105"/>
                <w:sz w:val="21"/>
                <w:szCs w:val="21"/>
                <w:highlight w:val="none"/>
                <w:lang w:val="en-US" w:eastAsia="zh-CN"/>
              </w:rPr>
              <w:t>处罚</w:t>
            </w:r>
          </w:p>
        </w:tc>
        <w:tc>
          <w:tcPr>
            <w:tcW w:w="3244" w:type="dxa"/>
            <w:vMerge w:val="restart"/>
          </w:tcPr>
          <w:p w14:paraId="6C814D7C">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【部门规章】《重点用能单位节能管理办法》</w:t>
            </w:r>
          </w:p>
          <w:p w14:paraId="73D57737">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eastAsia" w:ascii="Times New Roman" w:hAnsi="Times New Roman" w:eastAsia="方正仿宋_GBK" w:cs="Times New Roman"/>
                <w:b/>
                <w:bCs/>
                <w:i w:val="0"/>
                <w:iCs w:val="0"/>
                <w:caps w:val="0"/>
                <w:color w:val="000000"/>
                <w:spacing w:val="0"/>
                <w:sz w:val="21"/>
                <w:szCs w:val="21"/>
                <w:highlight w:val="none"/>
                <w:shd w:val="clear" w:fill="FFFFFF"/>
              </w:rPr>
              <w:t>第十五条</w:t>
            </w:r>
            <w:r>
              <w:rPr>
                <w:rFonts w:hint="eastAsia" w:ascii="Times New Roman" w:hAnsi="Times New Roman" w:eastAsia="方正仿宋_GBK" w:cs="Times New Roman"/>
                <w:i w:val="0"/>
                <w:iCs w:val="0"/>
                <w:caps w:val="0"/>
                <w:color w:val="000000"/>
                <w:spacing w:val="0"/>
                <w:sz w:val="21"/>
                <w:szCs w:val="21"/>
                <w:highlight w:val="none"/>
                <w:shd w:val="clear" w:fill="FFFFFF"/>
              </w:rPr>
              <w:t xml:space="preserve"> 重点用能单位应当结合现有能源管理信息化平台，加强能源计量基础能力建设，按照政府管理节能工作的部门、质量技术监督部门要求建设能耗在线监测系统，提升能源管理信息化水平。</w:t>
            </w:r>
          </w:p>
          <w:p w14:paraId="76ED455C">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default" w:ascii="Times New Roman" w:hAnsi="Times New Roman" w:eastAsia="方正仿宋_GB2312" w:cs="Times New Roman"/>
                <w:sz w:val="21"/>
                <w:szCs w:val="21"/>
                <w:highlight w:val="none"/>
                <w:vertAlign w:val="baseline"/>
                <w:lang w:val="en-US" w:eastAsia="zh-CN"/>
              </w:rPr>
            </w:pPr>
          </w:p>
        </w:tc>
        <w:tc>
          <w:tcPr>
            <w:tcW w:w="3398" w:type="dxa"/>
            <w:vMerge w:val="restart"/>
          </w:tcPr>
          <w:p w14:paraId="3002187E">
            <w:pPr>
              <w:keepNext w:val="0"/>
              <w:keepLines w:val="0"/>
              <w:pageBreakBefore w:val="0"/>
              <w:kinsoku/>
              <w:wordWrap/>
              <w:overflowPunct/>
              <w:topLinePunct w:val="0"/>
              <w:autoSpaceDE/>
              <w:autoSpaceDN/>
              <w:bidi w:val="0"/>
              <w:adjustRightInd/>
              <w:snapToGrid/>
              <w:spacing w:line="370" w:lineRule="exact"/>
              <w:jc w:val="both"/>
              <w:rPr>
                <w:rFonts w:hint="default" w:ascii="Times New Roman" w:hAnsi="Times New Roman" w:eastAsia="方正仿宋_GBK" w:cs="Times New Roman"/>
                <w:i w:val="0"/>
                <w:iCs w:val="0"/>
                <w:caps w:val="0"/>
                <w:color w:val="000000"/>
                <w:spacing w:val="0"/>
                <w:sz w:val="21"/>
                <w:szCs w:val="21"/>
                <w:highlight w:val="none"/>
                <w:shd w:val="clear" w:fill="FFFFFF"/>
              </w:rPr>
            </w:pPr>
            <w:r>
              <w:rPr>
                <w:rFonts w:hint="default" w:ascii="Times New Roman" w:hAnsi="Times New Roman" w:eastAsia="方正仿宋_GBK" w:cs="Times New Roman"/>
                <w:i w:val="0"/>
                <w:iCs w:val="0"/>
                <w:caps w:val="0"/>
                <w:color w:val="000000"/>
                <w:spacing w:val="0"/>
                <w:sz w:val="21"/>
                <w:szCs w:val="21"/>
                <w:highlight w:val="none"/>
                <w:shd w:val="clear" w:fill="FFFFFF"/>
              </w:rPr>
              <w:t>【部门规章】《重点用能单位节能管理办法》</w:t>
            </w:r>
          </w:p>
          <w:p w14:paraId="3884F9FD">
            <w:pPr>
              <w:keepNext w:val="0"/>
              <w:keepLines w:val="0"/>
              <w:pageBreakBefore w:val="0"/>
              <w:widowControl w:val="0"/>
              <w:kinsoku/>
              <w:wordWrap/>
              <w:overflowPunct/>
              <w:topLinePunct w:val="0"/>
              <w:autoSpaceDE/>
              <w:autoSpaceDN/>
              <w:bidi w:val="0"/>
              <w:adjustRightInd/>
              <w:snapToGrid/>
              <w:spacing w:line="370" w:lineRule="exact"/>
              <w:jc w:val="both"/>
              <w:textAlignment w:val="auto"/>
              <w:rPr>
                <w:rFonts w:hint="eastAsia" w:ascii="Times New Roman" w:hAnsi="Times New Roman" w:eastAsia="方正仿宋_GBK" w:cs="Times New Roman"/>
                <w:b/>
                <w:bCs/>
                <w:i w:val="0"/>
                <w:iCs w:val="0"/>
                <w:caps w:val="0"/>
                <w:color w:val="000000"/>
                <w:spacing w:val="0"/>
                <w:sz w:val="21"/>
                <w:szCs w:val="21"/>
                <w:highlight w:val="none"/>
                <w:shd w:val="clear" w:fill="FFFFFF"/>
              </w:rPr>
            </w:pPr>
            <w:r>
              <w:rPr>
                <w:rFonts w:hint="eastAsia" w:ascii="Times New Roman" w:hAnsi="Times New Roman" w:eastAsia="方正仿宋_GBK" w:cs="Times New Roman"/>
                <w:b/>
                <w:bCs/>
                <w:i w:val="0"/>
                <w:iCs w:val="0"/>
                <w:caps w:val="0"/>
                <w:color w:val="000000"/>
                <w:spacing w:val="0"/>
                <w:sz w:val="21"/>
                <w:szCs w:val="21"/>
                <w:highlight w:val="none"/>
                <w:shd w:val="clear" w:fill="FFFFFF"/>
              </w:rPr>
              <w:t>第三十一条</w:t>
            </w:r>
            <w:r>
              <w:rPr>
                <w:rFonts w:hint="eastAsia" w:ascii="Times New Roman" w:hAnsi="Times New Roman" w:eastAsia="方正仿宋_GBK" w:cs="Times New Roman"/>
                <w:i w:val="0"/>
                <w:iCs w:val="0"/>
                <w:caps w:val="0"/>
                <w:color w:val="000000"/>
                <w:spacing w:val="0"/>
                <w:sz w:val="21"/>
                <w:szCs w:val="21"/>
                <w:highlight w:val="none"/>
                <w:shd w:val="clear" w:fill="FFFFFF"/>
              </w:rPr>
              <w:t xml:space="preserve"> 重点用能单位不按要求开展能耗在线监测系统建设和能耗在线监测工作的，由管理节能工作的部门以书面形式责令限期整改；逾期不整改的或者没有达到整改要求的，由管理节能工作的部门处一万元以上三万元以下罚款。 </w:t>
            </w:r>
          </w:p>
        </w:tc>
        <w:tc>
          <w:tcPr>
            <w:tcW w:w="715" w:type="dxa"/>
            <w:vAlign w:val="center"/>
          </w:tcPr>
          <w:p w14:paraId="05FAE166">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2312" w:cs="Times New Roman"/>
                <w:sz w:val="21"/>
                <w:szCs w:val="21"/>
                <w:highlight w:val="none"/>
                <w:vertAlign w:val="baseline"/>
                <w:lang w:val="en-US" w:eastAsia="zh-CN"/>
              </w:rPr>
              <w:t>轻微</w:t>
            </w:r>
          </w:p>
        </w:tc>
        <w:tc>
          <w:tcPr>
            <w:tcW w:w="3959" w:type="dxa"/>
            <w:shd w:val="clear" w:color="auto" w:fill="auto"/>
            <w:vAlign w:val="center"/>
          </w:tcPr>
          <w:p w14:paraId="09A71B64">
            <w:pPr>
              <w:keepNext w:val="0"/>
              <w:keepLines w:val="0"/>
              <w:pageBreakBefore w:val="0"/>
              <w:widowControl/>
              <w:suppressLineNumbers w:val="0"/>
              <w:kinsoku/>
              <w:wordWrap/>
              <w:overflowPunct/>
              <w:topLinePunct w:val="0"/>
              <w:autoSpaceDE/>
              <w:autoSpaceDN/>
              <w:bidi w:val="0"/>
              <w:adjustRightInd/>
              <w:snapToGrid/>
              <w:spacing w:line="370" w:lineRule="exact"/>
              <w:jc w:val="left"/>
              <w:textAlignment w:val="center"/>
              <w:rPr>
                <w:rFonts w:hint="default" w:ascii="Times New Roman" w:hAnsi="Times New Roman" w:eastAsia="方正仿宋_GBK" w:cs="Times New Roman"/>
                <w:i w:val="0"/>
                <w:iCs w:val="0"/>
                <w:color w:val="000000"/>
                <w:kern w:val="0"/>
                <w:sz w:val="21"/>
                <w:szCs w:val="21"/>
                <w:u w:val="none"/>
                <w:lang w:val="en-US" w:eastAsia="zh-CN" w:bidi="ar"/>
              </w:rPr>
            </w:pPr>
            <w:r>
              <w:rPr>
                <w:rFonts w:hint="eastAsia" w:ascii="Times New Roman" w:hAnsi="Times New Roman" w:eastAsia="方正仿宋_GBK" w:cs="Times New Roman"/>
                <w:i w:val="0"/>
                <w:iCs w:val="0"/>
                <w:caps w:val="0"/>
                <w:color w:val="000000"/>
                <w:spacing w:val="0"/>
                <w:sz w:val="21"/>
                <w:szCs w:val="21"/>
                <w:highlight w:val="none"/>
                <w:shd w:val="clear" w:fill="FFFFFF"/>
              </w:rPr>
              <w:t>不按要求开展能耗在线监测系统建设和能耗在线监测工作的，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期内完成整改的。</w:t>
            </w:r>
          </w:p>
        </w:tc>
        <w:tc>
          <w:tcPr>
            <w:tcW w:w="653" w:type="dxa"/>
            <w:vAlign w:val="center"/>
          </w:tcPr>
          <w:p w14:paraId="0EA59533">
            <w:pPr>
              <w:keepNext w:val="0"/>
              <w:keepLines w:val="0"/>
              <w:pageBreakBefore w:val="0"/>
              <w:widowControl w:val="0"/>
              <w:numPr>
                <w:ilvl w:val="0"/>
                <w:numId w:val="0"/>
              </w:numPr>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2312" w:cs="Times New Roman"/>
                <w:sz w:val="21"/>
                <w:szCs w:val="21"/>
                <w:highlight w:val="none"/>
                <w:vertAlign w:val="baseline"/>
                <w:lang w:val="en-US" w:eastAsia="zh-CN"/>
              </w:rPr>
              <w:t>从轻</w:t>
            </w:r>
          </w:p>
        </w:tc>
        <w:tc>
          <w:tcPr>
            <w:tcW w:w="1685" w:type="dxa"/>
            <w:vAlign w:val="center"/>
          </w:tcPr>
          <w:p w14:paraId="54B18C99">
            <w:pPr>
              <w:pStyle w:val="7"/>
              <w:keepNext w:val="0"/>
              <w:keepLines w:val="0"/>
              <w:pageBreakBefore w:val="0"/>
              <w:widowControl w:val="0"/>
              <w:kinsoku/>
              <w:wordWrap/>
              <w:overflowPunct/>
              <w:topLinePunct w:val="0"/>
              <w:autoSpaceDE/>
              <w:autoSpaceDN/>
              <w:bidi w:val="0"/>
              <w:adjustRightInd/>
              <w:snapToGrid/>
              <w:spacing w:line="370" w:lineRule="exact"/>
              <w:ind w:left="0" w:leftChars="0" w:right="0" w:rightChars="0"/>
              <w:jc w:val="center"/>
              <w:textAlignment w:val="auto"/>
              <w:rPr>
                <w:rFonts w:hint="default" w:ascii="Times New Roman" w:hAnsi="Times New Roman" w:eastAsia="方正仿宋_GB2312" w:cs="Times New Roman"/>
                <w:spacing w:val="-2"/>
                <w:w w:val="105"/>
                <w:sz w:val="21"/>
                <w:szCs w:val="21"/>
                <w:highlight w:val="none"/>
                <w:lang w:val="en-US" w:eastAsia="zh-CN"/>
              </w:rPr>
            </w:pPr>
            <w:r>
              <w:rPr>
                <w:rFonts w:hint="eastAsia" w:ascii="Times New Roman" w:hAnsi="Times New Roman" w:eastAsia="方正仿宋_GBK" w:cs="Times New Roman"/>
                <w:i w:val="0"/>
                <w:iCs w:val="0"/>
                <w:color w:val="000000"/>
                <w:kern w:val="0"/>
                <w:sz w:val="21"/>
                <w:szCs w:val="21"/>
                <w:u w:val="none"/>
                <w:lang w:val="en-US" w:eastAsia="zh-CN" w:bidi="ar"/>
              </w:rPr>
              <w:t>免予行政</w:t>
            </w:r>
            <w:r>
              <w:rPr>
                <w:rFonts w:hint="default" w:ascii="Times New Roman" w:hAnsi="Times New Roman" w:eastAsia="方正仿宋_GBK" w:cs="Times New Roman"/>
                <w:i w:val="0"/>
                <w:iCs w:val="0"/>
                <w:color w:val="000000"/>
                <w:kern w:val="0"/>
                <w:sz w:val="21"/>
                <w:szCs w:val="21"/>
                <w:u w:val="none"/>
                <w:lang w:val="en-US" w:eastAsia="zh-CN" w:bidi="ar"/>
              </w:rPr>
              <w:t>处罚</w:t>
            </w:r>
          </w:p>
        </w:tc>
      </w:tr>
      <w:tr w14:paraId="0CEA4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12" w:type="dxa"/>
            <w:vMerge w:val="continue"/>
          </w:tcPr>
          <w:p w14:paraId="0B1BB6E1">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1296" w:type="dxa"/>
            <w:vMerge w:val="continue"/>
            <w:vAlign w:val="center"/>
          </w:tcPr>
          <w:p w14:paraId="751C0E94">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3244" w:type="dxa"/>
            <w:vMerge w:val="continue"/>
          </w:tcPr>
          <w:p w14:paraId="01332AA5">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3398" w:type="dxa"/>
            <w:vMerge w:val="continue"/>
          </w:tcPr>
          <w:p w14:paraId="2E820179">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715" w:type="dxa"/>
            <w:vMerge w:val="restart"/>
            <w:vAlign w:val="center"/>
          </w:tcPr>
          <w:p w14:paraId="6457573E">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2312" w:cs="Times New Roman"/>
                <w:sz w:val="21"/>
                <w:szCs w:val="21"/>
                <w:highlight w:val="none"/>
                <w:vertAlign w:val="baseline"/>
                <w:lang w:val="en-US" w:eastAsia="zh-CN"/>
              </w:rPr>
              <w:t>一般</w:t>
            </w:r>
          </w:p>
        </w:tc>
        <w:tc>
          <w:tcPr>
            <w:tcW w:w="3959" w:type="dxa"/>
            <w:shd w:val="clear" w:color="auto" w:fill="auto"/>
            <w:vAlign w:val="center"/>
          </w:tcPr>
          <w:p w14:paraId="5D0A52F9">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K" w:cs="Times New Roman"/>
                <w:i w:val="0"/>
                <w:iCs w:val="0"/>
                <w:caps w:val="0"/>
                <w:color w:val="000000"/>
                <w:spacing w:val="0"/>
                <w:sz w:val="21"/>
                <w:szCs w:val="21"/>
                <w:highlight w:val="none"/>
                <w:shd w:val="clear" w:fill="FFFFFF"/>
              </w:rPr>
              <w:t>不按要求开展能耗在线监测工作的，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期限届满拒不整改或整改未达到要求的。</w:t>
            </w:r>
          </w:p>
        </w:tc>
        <w:tc>
          <w:tcPr>
            <w:tcW w:w="653" w:type="dxa"/>
            <w:vMerge w:val="restart"/>
            <w:vAlign w:val="center"/>
          </w:tcPr>
          <w:p w14:paraId="4E30EFBF">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default" w:ascii="Times New Roman" w:hAnsi="Times New Roman" w:eastAsia="方正仿宋_GB2312" w:cs="Times New Roman"/>
                <w:sz w:val="21"/>
                <w:szCs w:val="21"/>
                <w:highlight w:val="none"/>
                <w:vertAlign w:val="baseline"/>
                <w:lang w:val="en-US" w:eastAsia="zh-CN"/>
              </w:rPr>
            </w:pPr>
            <w:r>
              <w:rPr>
                <w:rFonts w:hint="eastAsia" w:ascii="Times New Roman" w:hAnsi="Times New Roman" w:eastAsia="方正仿宋_GB2312" w:cs="Times New Roman"/>
                <w:sz w:val="21"/>
                <w:szCs w:val="21"/>
                <w:highlight w:val="none"/>
                <w:vertAlign w:val="baseline"/>
                <w:lang w:val="en-US" w:eastAsia="zh-CN"/>
              </w:rPr>
              <w:t>一般</w:t>
            </w:r>
          </w:p>
        </w:tc>
        <w:tc>
          <w:tcPr>
            <w:tcW w:w="1685" w:type="dxa"/>
            <w:vAlign w:val="center"/>
          </w:tcPr>
          <w:p w14:paraId="3691814D">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r>
              <w:rPr>
                <w:rFonts w:hint="default" w:ascii="Times New Roman" w:hAnsi="Times New Roman" w:eastAsia="方正仿宋_GBK" w:cs="Times New Roman"/>
                <w:i w:val="0"/>
                <w:iCs w:val="0"/>
                <w:color w:val="000000"/>
                <w:kern w:val="0"/>
                <w:sz w:val="21"/>
                <w:szCs w:val="21"/>
                <w:u w:val="none"/>
                <w:lang w:val="en-US" w:eastAsia="zh-CN" w:bidi="ar"/>
              </w:rPr>
              <w:t>处</w:t>
            </w:r>
            <w:r>
              <w:rPr>
                <w:rFonts w:hint="eastAsia" w:ascii="Times New Roman" w:hAnsi="Times New Roman" w:eastAsia="方正仿宋_GBK" w:cs="Times New Roman"/>
                <w:i w:val="0"/>
                <w:iCs w:val="0"/>
                <w:caps w:val="0"/>
                <w:color w:val="000000"/>
                <w:spacing w:val="0"/>
                <w:sz w:val="21"/>
                <w:szCs w:val="21"/>
                <w:highlight w:val="none"/>
                <w:shd w:val="clear" w:fill="FFFFFF"/>
              </w:rPr>
              <w:t>一万元以上</w:t>
            </w:r>
            <w:r>
              <w:rPr>
                <w:rFonts w:hint="eastAsia" w:ascii="Times New Roman" w:hAnsi="Times New Roman" w:eastAsia="方正仿宋_GBK" w:cs="Times New Roman"/>
                <w:i w:val="0"/>
                <w:iCs w:val="0"/>
                <w:caps w:val="0"/>
                <w:color w:val="000000"/>
                <w:spacing w:val="0"/>
                <w:sz w:val="21"/>
                <w:szCs w:val="21"/>
                <w:highlight w:val="none"/>
                <w:shd w:val="clear" w:fill="FFFFFF"/>
                <w:lang w:val="en-US" w:eastAsia="zh-CN"/>
              </w:rPr>
              <w:t>二</w:t>
            </w:r>
            <w:r>
              <w:rPr>
                <w:rFonts w:hint="default" w:ascii="Times New Roman" w:hAnsi="Times New Roman" w:eastAsia="方正仿宋_GBK" w:cs="Times New Roman"/>
                <w:i w:val="0"/>
                <w:iCs w:val="0"/>
                <w:caps w:val="0"/>
                <w:color w:val="000000"/>
                <w:spacing w:val="0"/>
                <w:sz w:val="21"/>
                <w:szCs w:val="21"/>
                <w:highlight w:val="none"/>
                <w:shd w:val="clear" w:fill="FFFFFF"/>
              </w:rPr>
              <w:t>万元</w:t>
            </w:r>
            <w:r>
              <w:rPr>
                <w:rFonts w:hint="eastAsia" w:ascii="Times New Roman" w:hAnsi="Times New Roman" w:eastAsia="方正仿宋_GBK" w:cs="Times New Roman"/>
                <w:i w:val="0"/>
                <w:iCs w:val="0"/>
                <w:caps w:val="0"/>
                <w:color w:val="000000"/>
                <w:spacing w:val="0"/>
                <w:sz w:val="21"/>
                <w:szCs w:val="21"/>
                <w:highlight w:val="none"/>
                <w:shd w:val="clear" w:fill="FFFFFF"/>
                <w:lang w:val="en-US" w:eastAsia="zh-CN"/>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r w14:paraId="685C36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512" w:type="dxa"/>
            <w:vMerge w:val="continue"/>
          </w:tcPr>
          <w:p w14:paraId="08112E5B">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1296" w:type="dxa"/>
            <w:vMerge w:val="continue"/>
            <w:vAlign w:val="center"/>
          </w:tcPr>
          <w:p w14:paraId="417F56FE">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3244" w:type="dxa"/>
            <w:vMerge w:val="continue"/>
          </w:tcPr>
          <w:p w14:paraId="0D7158CC">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3398" w:type="dxa"/>
            <w:vMerge w:val="continue"/>
          </w:tcPr>
          <w:p w14:paraId="2843DF1B">
            <w:pPr>
              <w:keepNext w:val="0"/>
              <w:keepLines w:val="0"/>
              <w:pageBreakBefore w:val="0"/>
              <w:widowControl w:val="0"/>
              <w:kinsoku/>
              <w:wordWrap/>
              <w:overflowPunct/>
              <w:topLinePunct w:val="0"/>
              <w:autoSpaceDE/>
              <w:autoSpaceDN/>
              <w:bidi w:val="0"/>
              <w:adjustRightInd/>
              <w:snapToGrid/>
              <w:spacing w:line="370" w:lineRule="exact"/>
              <w:jc w:val="center"/>
              <w:textAlignment w:val="auto"/>
            </w:pPr>
          </w:p>
        </w:tc>
        <w:tc>
          <w:tcPr>
            <w:tcW w:w="715" w:type="dxa"/>
            <w:vMerge w:val="continue"/>
            <w:vAlign w:val="center"/>
          </w:tcPr>
          <w:p w14:paraId="721ADDE9">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p>
        </w:tc>
        <w:tc>
          <w:tcPr>
            <w:tcW w:w="3959" w:type="dxa"/>
            <w:shd w:val="clear" w:color="auto" w:fill="auto"/>
            <w:vAlign w:val="center"/>
          </w:tcPr>
          <w:p w14:paraId="48191FF8">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K" w:cs="Times New Roman"/>
                <w:i w:val="0"/>
                <w:iCs w:val="0"/>
                <w:caps w:val="0"/>
                <w:color w:val="000000"/>
                <w:spacing w:val="0"/>
                <w:sz w:val="21"/>
                <w:szCs w:val="21"/>
                <w:highlight w:val="none"/>
                <w:shd w:val="clear" w:fill="FFFFFF"/>
              </w:rPr>
            </w:pPr>
            <w:r>
              <w:rPr>
                <w:rFonts w:hint="eastAsia" w:ascii="Times New Roman" w:hAnsi="Times New Roman" w:eastAsia="方正仿宋_GBK" w:cs="Times New Roman"/>
                <w:i w:val="0"/>
                <w:iCs w:val="0"/>
                <w:caps w:val="0"/>
                <w:color w:val="000000"/>
                <w:spacing w:val="0"/>
                <w:sz w:val="21"/>
                <w:szCs w:val="21"/>
                <w:highlight w:val="none"/>
                <w:shd w:val="clear" w:fill="FFFFFF"/>
              </w:rPr>
              <w:t>不按要求开展能耗在线监测系统建设的，</w:t>
            </w:r>
            <w:r>
              <w:rPr>
                <w:rFonts w:hint="default" w:ascii="Times New Roman" w:hAnsi="Times New Roman" w:eastAsia="方正仿宋_GB2312" w:cs="Times New Roman"/>
                <w:i w:val="0"/>
                <w:iCs w:val="0"/>
                <w:color w:val="000000"/>
                <w:kern w:val="2"/>
                <w:sz w:val="21"/>
                <w:szCs w:val="21"/>
                <w:highlight w:val="none"/>
                <w:u w:val="none"/>
                <w:shd w:val="clear" w:fill="FFFFFF"/>
                <w:lang w:val="en-US" w:eastAsia="zh-CN" w:bidi="ar"/>
              </w:rPr>
              <w:t>责令限期整改</w:t>
            </w:r>
            <w:r>
              <w:rPr>
                <w:rFonts w:hint="eastAsia" w:ascii="Times New Roman" w:hAnsi="Times New Roman" w:eastAsia="方正仿宋_GB2312" w:cs="Times New Roman"/>
                <w:i w:val="0"/>
                <w:iCs w:val="0"/>
                <w:color w:val="000000"/>
                <w:kern w:val="2"/>
                <w:sz w:val="21"/>
                <w:szCs w:val="21"/>
                <w:highlight w:val="none"/>
                <w:u w:val="none"/>
                <w:shd w:val="clear" w:fill="FFFFFF"/>
                <w:lang w:val="en-US" w:eastAsia="zh-CN" w:bidi="ar"/>
              </w:rPr>
              <w:t>期限届满拒不整改或整改未达到要求的</w:t>
            </w:r>
            <w:r>
              <w:rPr>
                <w:rFonts w:hint="default" w:ascii="Times New Roman" w:hAnsi="Times New Roman" w:eastAsia="方正仿宋_GBK" w:cs="Times New Roman"/>
                <w:i w:val="0"/>
                <w:iCs w:val="0"/>
                <w:color w:val="000000"/>
                <w:kern w:val="0"/>
                <w:sz w:val="21"/>
                <w:szCs w:val="21"/>
                <w:u w:val="none"/>
                <w:lang w:val="en-US" w:eastAsia="zh-CN" w:bidi="ar"/>
              </w:rPr>
              <w:t>。</w:t>
            </w:r>
          </w:p>
        </w:tc>
        <w:tc>
          <w:tcPr>
            <w:tcW w:w="653" w:type="dxa"/>
            <w:vMerge w:val="continue"/>
            <w:vAlign w:val="center"/>
          </w:tcPr>
          <w:p w14:paraId="4608E96C">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p>
        </w:tc>
        <w:tc>
          <w:tcPr>
            <w:tcW w:w="1685" w:type="dxa"/>
            <w:vAlign w:val="center"/>
          </w:tcPr>
          <w:p w14:paraId="6E3DEAC9">
            <w:pPr>
              <w:keepNext w:val="0"/>
              <w:keepLines w:val="0"/>
              <w:pageBreakBefore w:val="0"/>
              <w:widowControl w:val="0"/>
              <w:kinsoku/>
              <w:wordWrap/>
              <w:overflowPunct/>
              <w:topLinePunct w:val="0"/>
              <w:autoSpaceDE/>
              <w:autoSpaceDN/>
              <w:bidi w:val="0"/>
              <w:adjustRightInd/>
              <w:snapToGrid/>
              <w:spacing w:line="370" w:lineRule="exact"/>
              <w:jc w:val="center"/>
              <w:textAlignment w:val="auto"/>
              <w:rPr>
                <w:rFonts w:hint="eastAsia" w:ascii="Times New Roman" w:hAnsi="Times New Roman" w:eastAsia="方正仿宋_GB2312" w:cs="Times New Roman"/>
                <w:sz w:val="21"/>
                <w:szCs w:val="21"/>
                <w:highlight w:val="none"/>
                <w:vertAlign w:val="baseline"/>
                <w:lang w:val="en-US" w:eastAsia="zh-CN"/>
              </w:rPr>
            </w:pPr>
            <w:r>
              <w:rPr>
                <w:rFonts w:hint="default" w:ascii="Times New Roman" w:hAnsi="Times New Roman" w:eastAsia="方正仿宋_GBK" w:cs="Times New Roman"/>
                <w:i w:val="0"/>
                <w:iCs w:val="0"/>
                <w:color w:val="000000"/>
                <w:kern w:val="0"/>
                <w:sz w:val="21"/>
                <w:szCs w:val="21"/>
                <w:u w:val="none"/>
                <w:lang w:val="en-US" w:eastAsia="zh-CN" w:bidi="ar"/>
              </w:rPr>
              <w:t>处</w:t>
            </w:r>
            <w:r>
              <w:rPr>
                <w:rFonts w:hint="eastAsia" w:ascii="Times New Roman" w:hAnsi="Times New Roman" w:eastAsia="方正仿宋_GBK" w:cs="Times New Roman"/>
                <w:i w:val="0"/>
                <w:iCs w:val="0"/>
                <w:color w:val="000000"/>
                <w:kern w:val="0"/>
                <w:sz w:val="21"/>
                <w:szCs w:val="21"/>
                <w:u w:val="none"/>
                <w:lang w:val="en-US" w:eastAsia="zh-CN" w:bidi="ar"/>
              </w:rPr>
              <w:t>二万元及以上</w:t>
            </w:r>
            <w:r>
              <w:rPr>
                <w:rFonts w:hint="eastAsia" w:ascii="Times New Roman" w:hAnsi="Times New Roman" w:eastAsia="方正仿宋_GBK" w:cs="Times New Roman"/>
                <w:i w:val="0"/>
                <w:iCs w:val="0"/>
                <w:caps w:val="0"/>
                <w:color w:val="000000"/>
                <w:spacing w:val="0"/>
                <w:sz w:val="21"/>
                <w:szCs w:val="21"/>
                <w:highlight w:val="none"/>
                <w:shd w:val="clear" w:fill="FFFFFF"/>
                <w:lang w:val="en-US" w:eastAsia="zh-CN"/>
              </w:rPr>
              <w:t>三</w:t>
            </w:r>
            <w:r>
              <w:rPr>
                <w:rFonts w:hint="default" w:ascii="Times New Roman" w:hAnsi="Times New Roman" w:eastAsia="方正仿宋_GBK" w:cs="Times New Roman"/>
                <w:i w:val="0"/>
                <w:iCs w:val="0"/>
                <w:caps w:val="0"/>
                <w:color w:val="000000"/>
                <w:spacing w:val="0"/>
                <w:sz w:val="21"/>
                <w:szCs w:val="21"/>
                <w:highlight w:val="none"/>
                <w:shd w:val="clear" w:fill="FFFFFF"/>
              </w:rPr>
              <w:t>万元</w:t>
            </w:r>
            <w:r>
              <w:rPr>
                <w:rFonts w:hint="eastAsia" w:ascii="Times New Roman" w:hAnsi="Times New Roman" w:eastAsia="方正仿宋_GBK" w:cs="Times New Roman"/>
                <w:i w:val="0"/>
                <w:iCs w:val="0"/>
                <w:caps w:val="0"/>
                <w:color w:val="000000"/>
                <w:spacing w:val="0"/>
                <w:sz w:val="21"/>
                <w:szCs w:val="21"/>
                <w:highlight w:val="none"/>
                <w:shd w:val="clear" w:fill="FFFFFF"/>
                <w:lang w:val="en-US" w:eastAsia="zh-CN"/>
              </w:rPr>
              <w:t>以下</w:t>
            </w:r>
            <w:r>
              <w:rPr>
                <w:rFonts w:hint="default" w:ascii="Times New Roman" w:hAnsi="Times New Roman" w:eastAsia="方正仿宋_GBK" w:cs="Times New Roman"/>
                <w:i w:val="0"/>
                <w:iCs w:val="0"/>
                <w:color w:val="000000"/>
                <w:kern w:val="0"/>
                <w:sz w:val="21"/>
                <w:szCs w:val="21"/>
                <w:u w:val="none"/>
                <w:lang w:val="en-US" w:eastAsia="zh-CN" w:bidi="ar"/>
              </w:rPr>
              <w:t>罚款</w:t>
            </w:r>
          </w:p>
        </w:tc>
      </w:tr>
    </w:tbl>
    <w:p w14:paraId="0B9E46C2">
      <w:pPr>
        <w:keepNext w:val="0"/>
        <w:keepLines w:val="0"/>
        <w:pageBreakBefore w:val="0"/>
        <w:widowControl w:val="0"/>
        <w:kinsoku/>
        <w:wordWrap/>
        <w:overflowPunct/>
        <w:topLinePunct w:val="0"/>
        <w:autoSpaceDE/>
        <w:autoSpaceDN/>
        <w:bidi w:val="0"/>
        <w:adjustRightInd/>
        <w:snapToGrid/>
        <w:spacing w:line="410" w:lineRule="exact"/>
        <w:jc w:val="both"/>
        <w:textAlignment w:val="auto"/>
        <w:rPr>
          <w:sz w:val="28"/>
          <w:szCs w:val="28"/>
        </w:rPr>
      </w:pPr>
    </w:p>
    <w:p w14:paraId="7E07D39D">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shd w:val="clear" w:fill="FFFFFF"/>
        </w:rPr>
        <w:sectPr>
          <w:pgSz w:w="16838" w:h="11906" w:orient="landscape"/>
          <w:pgMar w:top="1800" w:right="1440" w:bottom="1800" w:left="1440" w:header="851" w:footer="992" w:gutter="0"/>
          <w:cols w:space="425" w:num="1"/>
          <w:docGrid w:type="lines" w:linePitch="312" w:charSpace="0"/>
        </w:sectPr>
      </w:pPr>
    </w:p>
    <w:p w14:paraId="1430DE3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val="0"/>
        <w:overflowPunct/>
        <w:topLinePunct w:val="0"/>
        <w:autoSpaceDE/>
        <w:autoSpaceDN/>
        <w:bidi w:val="0"/>
        <w:adjustRightInd/>
        <w:snapToGrid/>
        <w:spacing w:before="0" w:beforeAutospacing="0" w:after="0" w:afterAutospacing="0" w:line="590" w:lineRule="exact"/>
        <w:ind w:left="0" w:right="0" w:firstLine="516"/>
        <w:jc w:val="both"/>
        <w:rPr>
          <w:rFonts w:hint="eastAsia" w:ascii="方正仿宋_GBK" w:hAnsi="方正仿宋_GBK" w:eastAsia="方正仿宋_GBK" w:cs="方正仿宋_GBK"/>
          <w:i w:val="0"/>
          <w:iCs w:val="0"/>
          <w:caps w:val="0"/>
          <w:color w:val="auto"/>
          <w:spacing w:val="0"/>
          <w:sz w:val="32"/>
          <w:szCs w:val="32"/>
          <w:shd w:val="clear" w:fill="FFFFFF"/>
        </w:rPr>
      </w:pPr>
    </w:p>
    <w:p w14:paraId="1F365826">
      <w:pPr>
        <w:keepNext w:val="0"/>
        <w:keepLines w:val="0"/>
        <w:pageBreakBefore w:val="0"/>
        <w:shd w:val="clear"/>
        <w:kinsoku/>
        <w:overflowPunct/>
        <w:topLinePunct w:val="0"/>
        <w:autoSpaceDE/>
        <w:autoSpaceDN/>
        <w:bidi w:val="0"/>
        <w:adjustRightInd/>
        <w:snapToGrid/>
        <w:spacing w:line="590" w:lineRule="exact"/>
        <w:rPr>
          <w:rFonts w:hint="eastAsia" w:ascii="方正仿宋_GBK" w:hAnsi="方正仿宋_GBK" w:eastAsia="方正仿宋_GBK" w:cs="方正仿宋_GBK"/>
          <w:color w:val="auto"/>
          <w:sz w:val="32"/>
          <w:szCs w:val="32"/>
        </w:rPr>
        <w:sectPr>
          <w:pgSz w:w="11906" w:h="16838"/>
          <w:pgMar w:top="1440" w:right="1800" w:bottom="1440" w:left="1800" w:header="851" w:footer="992" w:gutter="0"/>
          <w:cols w:space="425" w:num="1"/>
          <w:docGrid w:type="lines" w:linePitch="312" w:charSpace="0"/>
        </w:sectPr>
      </w:pPr>
    </w:p>
    <w:p w14:paraId="3A1CC5D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Wingdings 3"/>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仿宋">
    <w:altName w:val="微软雅黑"/>
    <w:panose1 w:val="02010609060101010101"/>
    <w:charset w:val="86"/>
    <w:family w:val="modern"/>
    <w:pitch w:val="default"/>
    <w:sig w:usb0="00000000" w:usb1="00000000" w:usb2="00000016" w:usb3="00000000" w:csb0="00040001" w:csb1="00000000"/>
  </w:font>
  <w:font w:name="方正黑体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2312">
    <w:altName w:val="方正仿宋_GBK"/>
    <w:panose1 w:val="02000000000000000000"/>
    <w:charset w:val="86"/>
    <w:family w:val="auto"/>
    <w:pitch w:val="default"/>
    <w:sig w:usb0="00000000" w:usb1="00000000" w:usb2="00000012" w:usb3="00000000" w:csb0="00040001" w:csb1="00000000"/>
  </w:font>
  <w:font w:name="Wingdings 3">
    <w:panose1 w:val="05040102010807070707"/>
    <w:charset w:val="00"/>
    <w:family w:val="auto"/>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94B00C3"/>
    <w:rsid w:val="04B34717"/>
    <w:rsid w:val="094B00C3"/>
    <w:rsid w:val="6DB74349"/>
    <w:rsid w:val="CEDFE828"/>
    <w:rsid w:val="FB6F37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 w:cs="Times New Roman"/>
      <w:kern w:val="2"/>
      <w:sz w:val="32"/>
      <w:szCs w:val="22"/>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Hyperlink"/>
    <w:unhideWhenUsed/>
    <w:qFormat/>
    <w:uiPriority w:val="99"/>
    <w:rPr>
      <w:color w:val="0563C1"/>
      <w:u w:val="single"/>
    </w:rPr>
  </w:style>
  <w:style w:type="paragraph" w:customStyle="1" w:styleId="7">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266</Words>
  <Characters>310</Characters>
  <Lines>0</Lines>
  <Paragraphs>0</Paragraphs>
  <TotalTime>1</TotalTime>
  <ScaleCrop>false</ScaleCrop>
  <LinksUpToDate>false</LinksUpToDate>
  <CharactersWithSpaces>310</CharactersWithSpaces>
  <Application>WPS Office_12.1.2.25882_F1E327BC-269C-435d-A152-05C5408002CA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2026-07-13T16:38:00Z</dcterms:created>
  <dc:creator>娟娟</dc:creator>
  <cp:lastModifiedBy>user</cp:lastModifiedBy>
  <dcterms:modified xsi:type="dcterms:W3CDTF">2026-07-14T16:27:59Z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2052-12.1.2.25882</vt:lpwstr>
  </property>
  <property fmtid="{D5CDD505-2E9C-101B-9397-08002B2CF9AE}" pid="3" name="ICV">
    <vt:lpwstr>9403D0D03183904A05F3556A10D838E0_43</vt:lpwstr>
  </property>
  <property fmtid="{D5CDD505-2E9C-101B-9397-08002B2CF9AE}" pid="4" name="KSOTemplateDocerSaveRecord">
    <vt:lpwstr>eyJoZGlkIjoiNjQxOTUyYzE0NmNhZmM2ZTBjNDNhN2E2YmRkNmMxYWEiLCJ1c2VySWQiOiIzMTYyNzkwNTMifQ==</vt:lpwstr>
  </property>
</Properties>
</file>