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jc w:val="center"/>
        <w:rPr>
          <w:rFonts w:ascii="Times New Roman" w:hAnsi="Times New Roman" w:eastAsia="华文中宋"/>
          <w:color w:val="FF0000"/>
          <w:spacing w:val="-16"/>
          <w:w w:val="75"/>
          <w:sz w:val="102"/>
          <w:szCs w:val="110"/>
        </w:rPr>
      </w:pPr>
      <w:r>
        <w:rPr>
          <w:rFonts w:hint="eastAsia" w:ascii="Times New Roman" w:eastAsia="华文中宋"/>
          <w:color w:val="FF0000"/>
          <w:spacing w:val="-16"/>
          <w:w w:val="75"/>
          <w:sz w:val="102"/>
          <w:szCs w:val="110"/>
        </w:rPr>
        <w:t>江苏省工业和信息化厅文件</w:t>
      </w:r>
    </w:p>
    <w:p>
      <w:pPr>
        <w:adjustRightInd w:val="0"/>
        <w:snapToGrid w:val="0"/>
        <w:ind w:firstLine="640"/>
        <w:jc w:val="center"/>
        <w:rPr>
          <w:rFonts w:ascii="Times New Roman" w:hAnsi="Times New Roman" w:eastAsia="方正仿宋_GBK"/>
          <w:sz w:val="32"/>
          <w:szCs w:val="32"/>
        </w:rPr>
      </w:pPr>
    </w:p>
    <w:p>
      <w:pPr>
        <w:adjustRightInd w:val="0"/>
        <w:snapToGrid w:val="0"/>
        <w:spacing w:before="312" w:beforeLines="100"/>
        <w:jc w:val="center"/>
        <w:rPr>
          <w:rFonts w:ascii="Times New Roman" w:hAnsi="Times New Roman" w:eastAsia="方正仿宋_GBK"/>
          <w:sz w:val="32"/>
          <w:szCs w:val="32"/>
        </w:rPr>
      </w:pPr>
      <w:r>
        <w:rPr>
          <w:rFonts w:ascii="Times New Roman" w:hAnsi="Times New Roman" w:eastAsia="方正仿宋_GBK"/>
          <w:sz w:val="32"/>
          <w:szCs w:val="32"/>
        </w:rPr>
        <w:t>苏工信</w:t>
      </w:r>
      <w:r>
        <w:rPr>
          <w:rFonts w:hint="eastAsia" w:ascii="Times New Roman" w:hAnsi="Times New Roman" w:eastAsia="方正仿宋_GBK"/>
          <w:sz w:val="32"/>
          <w:szCs w:val="32"/>
        </w:rPr>
        <w:t>中小</w:t>
      </w:r>
      <w:r>
        <w:rPr>
          <w:rFonts w:ascii="Times New Roman" w:hAnsi="Times New Roman" w:eastAsia="方正仿宋_GBK"/>
          <w:sz w:val="32"/>
          <w:szCs w:val="32"/>
        </w:rPr>
        <w:t>〔202</w:t>
      </w:r>
      <w:r>
        <w:rPr>
          <w:rFonts w:hint="eastAsia" w:ascii="Times New Roman" w:hAnsi="Times New Roman" w:eastAsia="方正仿宋_GBK"/>
          <w:sz w:val="32"/>
          <w:szCs w:val="32"/>
          <w:lang w:val="en-US" w:eastAsia="zh-CN"/>
        </w:rPr>
        <w:t>2</w:t>
      </w:r>
      <w:r>
        <w:rPr>
          <w:rFonts w:ascii="Times New Roman" w:hAnsi="Times New Roman" w:eastAsia="方正仿宋_GBK"/>
          <w:sz w:val="32"/>
          <w:szCs w:val="32"/>
        </w:rPr>
        <w:t>〕</w:t>
      </w:r>
      <w:r>
        <w:rPr>
          <w:rFonts w:hint="eastAsia" w:ascii="Times New Roman" w:hAnsi="Times New Roman" w:eastAsia="方正仿宋_GBK"/>
          <w:sz w:val="32"/>
          <w:szCs w:val="32"/>
          <w:lang w:val="en-US" w:eastAsia="zh-CN"/>
        </w:rPr>
        <w:t>361</w:t>
      </w:r>
      <w:r>
        <w:rPr>
          <w:rFonts w:ascii="Times New Roman" w:hAnsi="Times New Roman" w:eastAsia="方正仿宋_GBK"/>
          <w:sz w:val="32"/>
          <w:szCs w:val="32"/>
        </w:rPr>
        <w:t xml:space="preserve">号                 </w:t>
      </w:r>
    </w:p>
    <w:tbl>
      <w:tblPr>
        <w:tblStyle w:val="7"/>
        <w:tblW w:w="5000" w:type="pct"/>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0"/>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5000" w:type="pct"/>
          </w:tcPr>
          <w:p>
            <w:pPr>
              <w:ind w:firstLine="420"/>
              <w:rPr>
                <w:rFonts w:ascii="Times New Roman" w:hAnsi="Times New Roman"/>
              </w:rPr>
            </w:pPr>
          </w:p>
        </w:tc>
      </w:tr>
    </w:tbl>
    <w:p>
      <w:pPr>
        <w:autoSpaceDN w:val="0"/>
        <w:spacing w:line="520" w:lineRule="exact"/>
        <w:jc w:val="center"/>
        <w:rPr>
          <w:rFonts w:hint="default" w:ascii="Times New Roman" w:hAnsi="Times New Roman" w:eastAsia="方正小标宋_GBK" w:cs="Times New Roman"/>
          <w:color w:val="000000"/>
          <w:sz w:val="44"/>
          <w:szCs w:val="44"/>
        </w:rPr>
      </w:pPr>
    </w:p>
    <w:p>
      <w:pPr>
        <w:autoSpaceDN w:val="0"/>
        <w:spacing w:line="520" w:lineRule="exact"/>
        <w:jc w:val="center"/>
        <w:rPr>
          <w:rFonts w:hint="default" w:ascii="Times New Roman" w:hAnsi="Times New Roman" w:eastAsia="方正小标宋_GBK" w:cs="Times New Roman"/>
          <w:color w:val="000000"/>
          <w:sz w:val="44"/>
          <w:szCs w:val="44"/>
        </w:rPr>
      </w:pPr>
      <w:r>
        <w:rPr>
          <w:rFonts w:hint="default" w:ascii="Times New Roman" w:hAnsi="Times New Roman" w:eastAsia="方正小标宋_GBK" w:cs="Times New Roman"/>
          <w:color w:val="000000"/>
          <w:sz w:val="44"/>
          <w:szCs w:val="44"/>
        </w:rPr>
        <w:t>关于组织开展2022年度“千企升级”企业入库培育和创新型中小企业评价工作的通知</w:t>
      </w:r>
    </w:p>
    <w:p>
      <w:pPr>
        <w:autoSpaceDN w:val="0"/>
        <w:spacing w:line="520" w:lineRule="exact"/>
        <w:rPr>
          <w:rFonts w:hint="default" w:ascii="Times New Roman" w:hAnsi="Times New Roman" w:eastAsia="仿宋" w:cs="Times New Roman"/>
          <w:color w:val="000000"/>
          <w:sz w:val="32"/>
          <w:szCs w:val="32"/>
        </w:rPr>
      </w:pPr>
    </w:p>
    <w:p>
      <w:pPr>
        <w:overflowPunct w:val="0"/>
        <w:spacing w:line="59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各设区市、县（市）工信局：</w:t>
      </w:r>
      <w:r>
        <w:rPr>
          <w:rFonts w:hint="eastAsia" w:ascii="Times New Roman" w:hAnsi="Times New Roman" w:eastAsia="方正仿宋_GBK" w:cs="Times New Roman"/>
          <w:sz w:val="32"/>
          <w:szCs w:val="32"/>
        </w:rPr>
        <w:t xml:space="preserve">   </w:t>
      </w:r>
    </w:p>
    <w:p>
      <w:pPr>
        <w:overflowPunct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为</w:t>
      </w:r>
      <w:r>
        <w:rPr>
          <w:rFonts w:ascii="Times New Roman" w:hAnsi="Times New Roman" w:eastAsia="方正仿宋_GBK" w:cs="Times New Roman"/>
          <w:sz w:val="32"/>
          <w:szCs w:val="32"/>
        </w:rPr>
        <w:t>推进实施《江苏省“千企升级”三年行动计划（2020－2022年）》和《2022年度中小企业量质提升工作重点任务清单》，现就组织开展2022年度“千企升级”企业入库培育</w:t>
      </w:r>
      <w:r>
        <w:rPr>
          <w:rFonts w:hint="eastAsia" w:ascii="Times New Roman" w:hAnsi="Times New Roman" w:eastAsia="方正仿宋_GBK" w:cs="Times New Roman"/>
          <w:sz w:val="32"/>
          <w:szCs w:val="32"/>
        </w:rPr>
        <w:t>和</w:t>
      </w:r>
      <w:r>
        <w:rPr>
          <w:rFonts w:ascii="Times New Roman" w:hAnsi="Times New Roman" w:eastAsia="方正仿宋_GBK" w:cs="Times New Roman"/>
          <w:sz w:val="32"/>
          <w:szCs w:val="32"/>
        </w:rPr>
        <w:t>创新型中小企业</w:t>
      </w:r>
      <w:r>
        <w:rPr>
          <w:rFonts w:hint="eastAsia" w:ascii="Times New Roman" w:hAnsi="Times New Roman" w:eastAsia="方正仿宋_GBK" w:cs="Times New Roman"/>
          <w:sz w:val="32"/>
          <w:szCs w:val="32"/>
        </w:rPr>
        <w:t>评价</w:t>
      </w:r>
      <w:r>
        <w:rPr>
          <w:rFonts w:ascii="Times New Roman" w:hAnsi="Times New Roman" w:eastAsia="方正仿宋_GBK" w:cs="Times New Roman"/>
          <w:sz w:val="32"/>
          <w:szCs w:val="32"/>
        </w:rPr>
        <w:t>工作有关事项通知如下：</w:t>
      </w:r>
    </w:p>
    <w:p>
      <w:pPr>
        <w:overflowPunct w:val="0"/>
        <w:spacing w:line="59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一、企业申报入库及</w:t>
      </w:r>
      <w:r>
        <w:rPr>
          <w:rFonts w:ascii="黑体" w:hAnsi="黑体" w:eastAsia="黑体" w:cs="Times New Roman"/>
          <w:sz w:val="32"/>
          <w:szCs w:val="32"/>
        </w:rPr>
        <w:t>信息更新</w:t>
      </w:r>
    </w:p>
    <w:p>
      <w:pPr>
        <w:overflowPunct w:val="0"/>
        <w:spacing w:line="590" w:lineRule="exact"/>
        <w:ind w:firstLine="640" w:firstLineChars="200"/>
        <w:rPr>
          <w:rFonts w:ascii="Times New Roman" w:hAnsi="Times New Roman" w:eastAsia="方正仿宋_GBK"/>
          <w:color w:val="000000"/>
          <w:sz w:val="32"/>
          <w:szCs w:val="32"/>
        </w:rPr>
      </w:pPr>
      <w:r>
        <w:rPr>
          <w:rFonts w:hint="eastAsia" w:ascii="方正楷体_GBK" w:hAnsi="Times New Roman" w:eastAsia="方正楷体_GBK" w:cs="Times New Roman"/>
          <w:sz w:val="32"/>
          <w:szCs w:val="32"/>
        </w:rPr>
        <w:t>（一）新增企业申报入库。</w:t>
      </w:r>
      <w:r>
        <w:rPr>
          <w:rFonts w:hint="eastAsia" w:ascii="Times New Roman" w:hAnsi="Times New Roman" w:eastAsia="方正仿宋_GBK"/>
          <w:color w:val="000000"/>
          <w:sz w:val="32"/>
          <w:szCs w:val="32"/>
        </w:rPr>
        <w:t>按自愿申报原则，新增企业在平台上按要求进行注册申报入库。</w:t>
      </w:r>
      <w:r>
        <w:rPr>
          <w:rFonts w:hint="eastAsia" w:ascii="Times New Roman" w:hAnsi="Times New Roman" w:eastAsia="方正仿宋_GBK" w:cs="Times New Roman"/>
          <w:sz w:val="32"/>
          <w:szCs w:val="32"/>
        </w:rPr>
        <w:t>各地</w:t>
      </w:r>
      <w:r>
        <w:rPr>
          <w:rFonts w:ascii="Times New Roman" w:hAnsi="Times New Roman" w:eastAsia="方正仿宋_GBK" w:cs="Times New Roman"/>
          <w:sz w:val="32"/>
          <w:szCs w:val="32"/>
        </w:rPr>
        <w:t>结合</w:t>
      </w:r>
      <w:r>
        <w:rPr>
          <w:rFonts w:hint="eastAsia" w:ascii="Times New Roman" w:hAnsi="Times New Roman" w:eastAsia="方正仿宋_GBK" w:cs="Times New Roman"/>
          <w:sz w:val="32"/>
          <w:szCs w:val="32"/>
        </w:rPr>
        <w:t>实际</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参考《</w:t>
      </w:r>
      <w:r>
        <w:rPr>
          <w:rFonts w:ascii="Times New Roman" w:hAnsi="Times New Roman" w:eastAsia="方正仿宋_GBK" w:cs="Times New Roman"/>
          <w:sz w:val="32"/>
          <w:szCs w:val="32"/>
        </w:rPr>
        <w:t>江苏省“千企升级”三年行动计划（</w:t>
      </w: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020-2022年）》的“企业分类入库标准条件”和《工信部优质中小企业梯度培育管理暂行办法》</w:t>
      </w:r>
      <w:r>
        <w:rPr>
          <w:rFonts w:hint="eastAsia" w:ascii="Times New Roman" w:hAnsi="Times New Roman" w:eastAsia="方正仿宋_GBK" w:cs="Times New Roman"/>
          <w:sz w:val="32"/>
          <w:szCs w:val="32"/>
        </w:rPr>
        <w:t>的“创新型中小企业评价标准”，</w:t>
      </w:r>
      <w:r>
        <w:rPr>
          <w:rFonts w:hint="eastAsia" w:ascii="Times New Roman" w:hAnsi="Times New Roman" w:eastAsia="方正仿宋_GBK"/>
          <w:color w:val="000000"/>
          <w:sz w:val="32"/>
          <w:szCs w:val="32"/>
        </w:rPr>
        <w:t>围绕先进制造业集群和产业链关键核心环节，聚焦工业“六基”领域（核心基础零部件、核心基础元器件、关键软件、先进基础工艺、关键基础材料、产业技术基础），组织推荐更多拥有核心技术的成长性好、专业化水平高、创新能力强、产品服务特色化明显的企业申报入库。</w:t>
      </w:r>
    </w:p>
    <w:p>
      <w:pPr>
        <w:overflowPunct w:val="0"/>
        <w:spacing w:line="590" w:lineRule="exact"/>
        <w:ind w:firstLine="640" w:firstLineChars="200"/>
        <w:rPr>
          <w:rFonts w:ascii="Times New Roman" w:hAnsi="Times New Roman" w:eastAsia="方正仿宋_GBK"/>
          <w:color w:val="000000"/>
          <w:sz w:val="32"/>
          <w:szCs w:val="32"/>
        </w:rPr>
      </w:pPr>
      <w:r>
        <w:rPr>
          <w:rFonts w:hint="eastAsia" w:ascii="方正楷体_GBK" w:hAnsi="Times New Roman" w:eastAsia="方正楷体_GBK"/>
          <w:color w:val="000000"/>
          <w:sz w:val="32"/>
          <w:szCs w:val="32"/>
        </w:rPr>
        <w:t>（二）在库企业信息更新。</w:t>
      </w:r>
      <w:r>
        <w:rPr>
          <w:rFonts w:hint="eastAsia" w:ascii="Times New Roman" w:hAnsi="Times New Roman" w:eastAsia="方正仿宋_GBK"/>
          <w:color w:val="000000"/>
          <w:sz w:val="32"/>
          <w:szCs w:val="32"/>
        </w:rPr>
        <w:t>往年已</w:t>
      </w:r>
      <w:r>
        <w:rPr>
          <w:rFonts w:ascii="Times New Roman" w:hAnsi="Times New Roman" w:eastAsia="方正仿宋_GBK"/>
          <w:color w:val="000000"/>
          <w:sz w:val="32"/>
          <w:szCs w:val="32"/>
        </w:rPr>
        <w:t>入库</w:t>
      </w:r>
      <w:r>
        <w:rPr>
          <w:rFonts w:hint="eastAsia" w:ascii="Times New Roman" w:hAnsi="Times New Roman" w:eastAsia="方正仿宋_GBK"/>
          <w:color w:val="000000"/>
          <w:sz w:val="32"/>
          <w:szCs w:val="32"/>
        </w:rPr>
        <w:t>的</w:t>
      </w:r>
      <w:r>
        <w:rPr>
          <w:rFonts w:ascii="Times New Roman" w:hAnsi="Times New Roman" w:eastAsia="方正仿宋_GBK"/>
          <w:color w:val="000000"/>
          <w:sz w:val="32"/>
          <w:szCs w:val="32"/>
        </w:rPr>
        <w:t>培育企业，须在平台上</w:t>
      </w:r>
      <w:r>
        <w:rPr>
          <w:rFonts w:hint="eastAsia" w:ascii="Times New Roman" w:hAnsi="Times New Roman" w:eastAsia="方正仿宋_GBK"/>
          <w:color w:val="000000"/>
          <w:sz w:val="32"/>
          <w:szCs w:val="32"/>
        </w:rPr>
        <w:t>按要求进行</w:t>
      </w:r>
      <w:r>
        <w:rPr>
          <w:rFonts w:ascii="Times New Roman" w:hAnsi="Times New Roman" w:eastAsia="方正仿宋_GBK"/>
          <w:color w:val="000000"/>
          <w:sz w:val="32"/>
          <w:szCs w:val="32"/>
        </w:rPr>
        <w:t>年度数据更新</w:t>
      </w:r>
      <w:r>
        <w:rPr>
          <w:rFonts w:hint="eastAsia" w:ascii="Times New Roman" w:hAnsi="Times New Roman" w:eastAsia="方正仿宋_GBK"/>
          <w:color w:val="000000"/>
          <w:sz w:val="32"/>
          <w:szCs w:val="32"/>
        </w:rPr>
        <w:t>，已</w:t>
      </w:r>
      <w:r>
        <w:rPr>
          <w:rFonts w:ascii="Times New Roman" w:hAnsi="Times New Roman" w:eastAsia="方正仿宋_GBK"/>
          <w:color w:val="000000"/>
          <w:sz w:val="32"/>
          <w:szCs w:val="32"/>
        </w:rPr>
        <w:t>获得省级以上</w:t>
      </w:r>
      <w:r>
        <w:rPr>
          <w:rFonts w:hint="eastAsia" w:ascii="Times New Roman" w:hAnsi="Times New Roman" w:eastAsia="方正仿宋_GBK"/>
          <w:color w:val="000000"/>
          <w:sz w:val="32"/>
          <w:szCs w:val="32"/>
        </w:rPr>
        <w:t>专精</w:t>
      </w:r>
      <w:r>
        <w:rPr>
          <w:rFonts w:ascii="Times New Roman" w:hAnsi="Times New Roman" w:eastAsia="方正仿宋_GBK"/>
          <w:color w:val="000000"/>
          <w:sz w:val="32"/>
          <w:szCs w:val="32"/>
        </w:rPr>
        <w:t>特新小巨人认定的企业也须同步进行信息更新，各地工信部门做好督促指导工作。</w:t>
      </w:r>
    </w:p>
    <w:p>
      <w:pPr>
        <w:overflowPunct w:val="0"/>
        <w:spacing w:line="59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二、申报审核管理</w:t>
      </w:r>
    </w:p>
    <w:p>
      <w:pPr>
        <w:overflowPunct w:val="0"/>
        <w:snapToGrid w:val="0"/>
        <w:spacing w:line="590" w:lineRule="exact"/>
        <w:ind w:firstLine="640"/>
        <w:rPr>
          <w:rFonts w:ascii="Times New Roman" w:hAnsi="Times New Roman" w:eastAsia="方正仿宋_GBK"/>
          <w:color w:val="000000"/>
          <w:sz w:val="32"/>
          <w:szCs w:val="32"/>
        </w:rPr>
      </w:pPr>
      <w:r>
        <w:rPr>
          <w:rFonts w:hint="eastAsia" w:ascii="Times New Roman" w:hAnsi="Times New Roman" w:eastAsia="方正楷体_GBK"/>
          <w:color w:val="000000"/>
          <w:sz w:val="32"/>
          <w:szCs w:val="32"/>
        </w:rPr>
        <w:t>（一）网上申报。</w:t>
      </w:r>
      <w:r>
        <w:rPr>
          <w:rFonts w:hint="eastAsia" w:ascii="Times New Roman" w:hAnsi="Times New Roman" w:eastAsia="方正仿宋_GBK"/>
          <w:color w:val="000000"/>
          <w:sz w:val="32"/>
          <w:szCs w:val="32"/>
        </w:rPr>
        <w:t>企业通过</w:t>
      </w:r>
      <w:r>
        <w:rPr>
          <w:rFonts w:ascii="Times New Roman" w:hAnsi="Times New Roman" w:eastAsia="方正仿宋_GBK"/>
          <w:color w:val="000000"/>
          <w:sz w:val="32"/>
          <w:szCs w:val="32"/>
        </w:rPr>
        <w:t xml:space="preserve"> “</w:t>
      </w:r>
      <w:r>
        <w:rPr>
          <w:rFonts w:hint="eastAsia" w:ascii="Times New Roman" w:hAnsi="Times New Roman" w:eastAsia="方正仿宋_GBK"/>
          <w:color w:val="000000"/>
          <w:sz w:val="32"/>
          <w:szCs w:val="32"/>
        </w:rPr>
        <w:t>江苏省千企升级平台</w:t>
      </w:r>
      <w:r>
        <w:rPr>
          <w:rFonts w:ascii="Times New Roman" w:hAnsi="Times New Roman" w:eastAsia="方正仿宋_GBK"/>
          <w:color w:val="000000"/>
          <w:sz w:val="32"/>
          <w:szCs w:val="32"/>
        </w:rPr>
        <w:t>”（</w:t>
      </w:r>
      <w:r>
        <w:t xml:space="preserve"> </w:t>
      </w:r>
      <w:r>
        <w:rPr>
          <w:rFonts w:ascii="Times New Roman" w:hAnsi="Times New Roman" w:eastAsia="方正仿宋_GBK"/>
          <w:color w:val="000000"/>
          <w:sz w:val="32"/>
          <w:szCs w:val="32"/>
        </w:rPr>
        <w:t>https://www.smejs.cn/qqapply.aspx）</w:t>
      </w:r>
      <w:r>
        <w:rPr>
          <w:rFonts w:hint="eastAsia" w:ascii="Times New Roman" w:hAnsi="Times New Roman" w:eastAsia="方正仿宋_GBK"/>
          <w:color w:val="000000"/>
          <w:sz w:val="32"/>
          <w:szCs w:val="32"/>
        </w:rPr>
        <w:t>进行网上申报，未注册企业需先注册成为平台用户。新申请入库企业点击“新增入库”后填报有关数据信息；在库企业（包括往年已入库企业和省级以上专精特新小巨人企业）点击“数据更新”及时更新有关数据。（具体要求参阅系统内相关说明）</w:t>
      </w:r>
    </w:p>
    <w:p>
      <w:pPr>
        <w:overflowPunct w:val="0"/>
        <w:snapToGrid w:val="0"/>
        <w:spacing w:line="590" w:lineRule="exact"/>
        <w:ind w:firstLine="640"/>
        <w:rPr>
          <w:rFonts w:ascii="Times New Roman" w:hAnsi="Times New Roman" w:eastAsia="方正仿宋_GBK"/>
          <w:color w:val="000000"/>
          <w:kern w:val="0"/>
          <w:sz w:val="32"/>
          <w:szCs w:val="32"/>
        </w:rPr>
      </w:pPr>
      <w:r>
        <w:rPr>
          <w:rFonts w:hint="eastAsia" w:ascii="Times New Roman" w:hAnsi="Times New Roman" w:eastAsia="方正楷体_GBK"/>
          <w:sz w:val="32"/>
          <w:szCs w:val="32"/>
        </w:rPr>
        <w:t>（二）审核确认。</w:t>
      </w:r>
      <w:r>
        <w:rPr>
          <w:rFonts w:hint="eastAsia" w:ascii="Times New Roman" w:hAnsi="Times New Roman" w:eastAsia="方正仿宋_GBK"/>
          <w:color w:val="000000"/>
          <w:kern w:val="0"/>
          <w:sz w:val="32"/>
          <w:szCs w:val="32"/>
        </w:rPr>
        <w:t>各县（市、区）工信部门负责在</w:t>
      </w:r>
      <w:r>
        <w:rPr>
          <w:rFonts w:ascii="Times New Roman" w:hAnsi="Times New Roman" w:eastAsia="方正仿宋_GBK"/>
          <w:color w:val="000000"/>
          <w:kern w:val="0"/>
          <w:sz w:val="32"/>
          <w:szCs w:val="32"/>
        </w:rPr>
        <w:t>“</w:t>
      </w:r>
      <w:r>
        <w:rPr>
          <w:rFonts w:hint="eastAsia" w:ascii="Times New Roman" w:hAnsi="Times New Roman" w:eastAsia="方正仿宋_GBK"/>
          <w:color w:val="000000"/>
          <w:kern w:val="0"/>
          <w:sz w:val="32"/>
          <w:szCs w:val="32"/>
        </w:rPr>
        <w:t>江苏省中小企业公共服务平台管理子系统</w:t>
      </w:r>
      <w:r>
        <w:rPr>
          <w:rFonts w:ascii="Times New Roman" w:hAnsi="Times New Roman" w:eastAsia="方正仿宋_GBK"/>
          <w:color w:val="000000"/>
          <w:kern w:val="0"/>
          <w:sz w:val="32"/>
          <w:szCs w:val="32"/>
        </w:rPr>
        <w:t>”</w:t>
      </w:r>
      <w:r>
        <w:rPr>
          <w:rFonts w:hint="eastAsia" w:ascii="Times New Roman" w:hAnsi="Times New Roman" w:eastAsia="方正仿宋_GBK"/>
          <w:color w:val="000000"/>
          <w:sz w:val="32"/>
          <w:szCs w:val="32"/>
        </w:rPr>
        <w:t>对</w:t>
      </w:r>
      <w:r>
        <w:rPr>
          <w:rFonts w:hint="eastAsia" w:ascii="Times New Roman" w:hAnsi="Times New Roman" w:eastAsia="方正仿宋_GBK"/>
          <w:color w:val="000000"/>
          <w:kern w:val="0"/>
          <w:sz w:val="32"/>
          <w:szCs w:val="32"/>
        </w:rPr>
        <w:t>入库申报和数据更新信息进行审核确认，各设区市工信部门加强指导。</w:t>
      </w:r>
    </w:p>
    <w:p>
      <w:pPr>
        <w:overflowPunct w:val="0"/>
        <w:spacing w:line="590" w:lineRule="exact"/>
        <w:ind w:firstLine="640" w:firstLineChars="200"/>
        <w:rPr>
          <w:rFonts w:ascii="Times New Roman" w:hAnsi="Times New Roman" w:eastAsia="方正仿宋_GBK"/>
          <w:color w:val="000000"/>
          <w:sz w:val="32"/>
          <w:szCs w:val="32"/>
        </w:rPr>
      </w:pPr>
      <w:r>
        <w:rPr>
          <w:rFonts w:hint="eastAsia" w:ascii="Times New Roman" w:hAnsi="Times New Roman" w:eastAsia="方正楷体_GBK"/>
          <w:color w:val="000000"/>
          <w:kern w:val="0"/>
          <w:sz w:val="32"/>
          <w:szCs w:val="32"/>
        </w:rPr>
        <w:t>（三）动态管理。</w:t>
      </w:r>
      <w:r>
        <w:rPr>
          <w:rFonts w:hint="eastAsia" w:ascii="Times New Roman" w:hAnsi="Times New Roman" w:eastAsia="方正仿宋_GBK"/>
          <w:color w:val="000000"/>
          <w:sz w:val="32"/>
          <w:szCs w:val="32"/>
        </w:rPr>
        <w:t>各地要加强对入库企业的培育指导和跟踪服务，对于未及时更新数据的企业，系统将在年度省级专精特新中小企业申报认定工作启动时自动清退出库。省工信厅将加强对在库企业运行态势的研判分析，定期汇总发布有关分析报告。</w:t>
      </w:r>
    </w:p>
    <w:p>
      <w:pPr>
        <w:overflowPunct w:val="0"/>
        <w:spacing w:line="590" w:lineRule="exact"/>
        <w:ind w:firstLine="640" w:firstLineChars="200"/>
        <w:rPr>
          <w:rFonts w:ascii="黑体" w:hAnsi="黑体" w:eastAsia="黑体" w:cs="Times New Roman"/>
          <w:sz w:val="32"/>
          <w:szCs w:val="32"/>
        </w:rPr>
      </w:pPr>
      <w:r>
        <w:rPr>
          <w:rFonts w:hint="eastAsia" w:ascii="黑体" w:hAnsi="黑体" w:eastAsia="黑体"/>
          <w:color w:val="000000"/>
          <w:kern w:val="0"/>
          <w:sz w:val="32"/>
          <w:szCs w:val="32"/>
        </w:rPr>
        <w:t>三、</w:t>
      </w:r>
      <w:r>
        <w:rPr>
          <w:rFonts w:hint="eastAsia" w:ascii="黑体" w:hAnsi="黑体" w:eastAsia="黑体" w:cs="Times New Roman"/>
          <w:sz w:val="32"/>
          <w:szCs w:val="32"/>
        </w:rPr>
        <w:t>有关要求</w:t>
      </w:r>
    </w:p>
    <w:p>
      <w:pPr>
        <w:pStyle w:val="2"/>
        <w:overflowPunct w:val="0"/>
        <w:snapToGrid w:val="0"/>
        <w:spacing w:line="590" w:lineRule="exact"/>
        <w:ind w:firstLine="640" w:firstLineChars="200"/>
        <w:rPr>
          <w:rFonts w:ascii="Times New Roman" w:hAnsi="Times New Roman" w:eastAsia="方正楷体_GBK" w:cs="Times New Roman"/>
          <w:sz w:val="32"/>
          <w:szCs w:val="32"/>
        </w:rPr>
      </w:pPr>
      <w:r>
        <w:rPr>
          <w:rFonts w:hint="eastAsia" w:ascii="Times New Roman" w:hAnsi="Times New Roman" w:eastAsia="方正仿宋_GBK"/>
          <w:color w:val="000000"/>
          <w:sz w:val="32"/>
          <w:szCs w:val="32"/>
        </w:rPr>
        <w:t>（一）</w:t>
      </w:r>
      <w:r>
        <w:rPr>
          <w:rFonts w:hint="eastAsia" w:ascii="Times New Roman" w:hAnsi="Times New Roman" w:eastAsia="方正仿宋_GBK" w:cs="Times New Roman"/>
          <w:sz w:val="32"/>
          <w:szCs w:val="32"/>
        </w:rPr>
        <w:t>各地工信部门要高度重视、广泛发动，加强统筹协调和跟踪服务，坚持“应入尽入、能入则入”的原则积极组织好本地企业入库和信息更新，要指导企业认真、准确填报（更新）数据信息，对企业申报材料做到及时审核、严格把关，确保各项数据准确可靠。</w:t>
      </w:r>
    </w:p>
    <w:p>
      <w:pPr>
        <w:overflowPunct w:val="0"/>
        <w:spacing w:line="590" w:lineRule="exact"/>
        <w:ind w:firstLine="640" w:firstLineChars="200"/>
        <w:rPr>
          <w:rFonts w:ascii="Times New Roman" w:hAnsi="Times New Roman" w:eastAsia="方正仿宋_GBK"/>
          <w:color w:val="000000"/>
          <w:sz w:val="32"/>
          <w:szCs w:val="32"/>
        </w:rPr>
      </w:pPr>
      <w:r>
        <w:rPr>
          <w:rFonts w:hint="eastAsia" w:ascii="Times New Roman" w:hAnsi="Times New Roman" w:eastAsia="方正仿宋_GBK" w:cs="Times New Roman"/>
          <w:sz w:val="32"/>
          <w:szCs w:val="32"/>
        </w:rPr>
        <w:t>（二）开展</w:t>
      </w:r>
      <w:r>
        <w:rPr>
          <w:rFonts w:ascii="Times New Roman" w:hAnsi="Times New Roman" w:eastAsia="方正仿宋_GBK"/>
          <w:color w:val="000000"/>
          <w:sz w:val="32"/>
          <w:szCs w:val="32"/>
        </w:rPr>
        <w:t>创新型中小企业</w:t>
      </w:r>
      <w:r>
        <w:rPr>
          <w:rFonts w:hint="eastAsia" w:ascii="Times New Roman" w:hAnsi="Times New Roman" w:eastAsia="方正仿宋_GBK"/>
          <w:color w:val="000000"/>
          <w:sz w:val="32"/>
          <w:szCs w:val="32"/>
        </w:rPr>
        <w:t>评价。各设区市工信部门依据</w:t>
      </w:r>
      <w:r>
        <w:rPr>
          <w:rFonts w:hint="eastAsia" w:ascii="Times New Roman" w:hAnsi="Times New Roman" w:eastAsia="方正仿宋_GBK" w:cs="Times New Roman"/>
          <w:sz w:val="32"/>
          <w:szCs w:val="32"/>
        </w:rPr>
        <w:t>“创新型中小企业评价标准”</w:t>
      </w:r>
      <w:r>
        <w:rPr>
          <w:rFonts w:hint="eastAsia" w:ascii="Times New Roman" w:hAnsi="Times New Roman" w:eastAsia="方正仿宋_GBK"/>
          <w:color w:val="000000"/>
          <w:sz w:val="32"/>
          <w:szCs w:val="32"/>
        </w:rPr>
        <w:t>，组织各县（市、区）工信部门对审核确认的入库企业进行综合评价，确认创新型中小企业名单并及时公告。同时，将名单报省工信厅中小企业局备案。</w:t>
      </w:r>
    </w:p>
    <w:p>
      <w:pPr>
        <w:pStyle w:val="2"/>
        <w:overflowPunct w:val="0"/>
        <w:snapToGrid w:val="0"/>
        <w:spacing w:line="590" w:lineRule="exact"/>
        <w:ind w:firstLine="640" w:firstLineChars="200"/>
        <w:rPr>
          <w:rFonts w:ascii="Times New Roman" w:hAnsi="Times New Roman" w:eastAsia="方正仿宋_GBK"/>
          <w:color w:val="000000"/>
          <w:sz w:val="32"/>
          <w:szCs w:val="32"/>
        </w:rPr>
      </w:pPr>
      <w:r>
        <w:rPr>
          <w:rFonts w:hint="eastAsia" w:ascii="Times New Roman" w:hAnsi="Times New Roman" w:eastAsia="方正仿宋_GBK" w:cs="Times New Roman"/>
          <w:sz w:val="32"/>
          <w:szCs w:val="32"/>
        </w:rPr>
        <w:t>（三）</w:t>
      </w:r>
      <w:r>
        <w:rPr>
          <w:rFonts w:hint="eastAsia" w:ascii="Times New Roman" w:hAnsi="Times New Roman" w:eastAsia="方正仿宋_GBK"/>
          <w:color w:val="000000"/>
          <w:sz w:val="32"/>
          <w:szCs w:val="32"/>
        </w:rPr>
        <w:t>按照梯度培育要求，省级专精特新中小企业和国家专精特新“小巨人”企业申报和复核须从入库企业中予以推荐，原则上从创新型中小企业中遴选。</w:t>
      </w:r>
    </w:p>
    <w:p>
      <w:pPr>
        <w:overflowPunct w:val="0"/>
        <w:snapToGrid w:val="0"/>
        <w:spacing w:line="590" w:lineRule="exact"/>
        <w:ind w:firstLine="640"/>
        <w:rPr>
          <w:rFonts w:ascii="Times New Roman" w:hAnsi="Times New Roman" w:eastAsia="方正仿宋_GBK"/>
          <w:color w:val="000000"/>
          <w:kern w:val="0"/>
          <w:sz w:val="32"/>
          <w:szCs w:val="32"/>
        </w:rPr>
      </w:pPr>
      <w:r>
        <w:rPr>
          <w:rFonts w:hint="eastAsia" w:ascii="Times New Roman" w:hAnsi="Times New Roman" w:eastAsia="方正仿宋_GBK"/>
          <w:sz w:val="32"/>
          <w:szCs w:val="32"/>
        </w:rPr>
        <w:t>（四）入库申报系统于</w:t>
      </w:r>
      <w:r>
        <w:rPr>
          <w:rFonts w:ascii="Times New Roman" w:hAnsi="Times New Roman" w:eastAsia="方正仿宋_GBK"/>
          <w:sz w:val="32"/>
          <w:szCs w:val="32"/>
        </w:rPr>
        <w:t>7</w:t>
      </w:r>
      <w:r>
        <w:rPr>
          <w:rFonts w:hint="eastAsia" w:ascii="Times New Roman" w:hAnsi="Times New Roman" w:eastAsia="方正仿宋_GBK"/>
          <w:sz w:val="32"/>
          <w:szCs w:val="32"/>
        </w:rPr>
        <w:t>月2</w:t>
      </w:r>
      <w:r>
        <w:rPr>
          <w:rFonts w:ascii="Times New Roman" w:hAnsi="Times New Roman" w:eastAsia="方正仿宋_GBK"/>
          <w:sz w:val="32"/>
          <w:szCs w:val="32"/>
        </w:rPr>
        <w:t>5</w:t>
      </w:r>
      <w:r>
        <w:rPr>
          <w:rFonts w:hint="eastAsia" w:ascii="Times New Roman" w:hAnsi="Times New Roman" w:eastAsia="方正仿宋_GBK"/>
          <w:sz w:val="32"/>
          <w:szCs w:val="32"/>
        </w:rPr>
        <w:t>日开放，8月2</w:t>
      </w:r>
      <w:r>
        <w:rPr>
          <w:rFonts w:ascii="Times New Roman" w:hAnsi="Times New Roman" w:eastAsia="方正仿宋_GBK"/>
          <w:sz w:val="32"/>
          <w:szCs w:val="32"/>
        </w:rPr>
        <w:t>8日关闭。</w:t>
      </w:r>
      <w:r>
        <w:rPr>
          <w:rFonts w:hint="eastAsia" w:ascii="Times New Roman" w:hAnsi="Times New Roman" w:eastAsia="方正仿宋_GBK"/>
          <w:sz w:val="32"/>
          <w:szCs w:val="32"/>
        </w:rPr>
        <w:t>各县（市、区）工信部门要于8月3</w:t>
      </w:r>
      <w:r>
        <w:rPr>
          <w:rFonts w:ascii="Times New Roman" w:hAnsi="Times New Roman" w:eastAsia="方正仿宋_GBK"/>
          <w:sz w:val="32"/>
          <w:szCs w:val="32"/>
        </w:rPr>
        <w:t>0日前完成对</w:t>
      </w:r>
      <w:r>
        <w:rPr>
          <w:rFonts w:hint="eastAsia" w:ascii="Times New Roman" w:hAnsi="Times New Roman" w:eastAsia="方正仿宋_GBK"/>
          <w:sz w:val="32"/>
          <w:szCs w:val="32"/>
        </w:rPr>
        <w:t>企业入库填报和数据更新的审核确认。各设区市工信部门要加强统筹指导，按照不低于各设区市入库企业数量指标（见附件2）完成任务，并于9月4日前完成创新型中小企业评价工作。</w:t>
      </w:r>
    </w:p>
    <w:p>
      <w:pPr>
        <w:overflowPunct w:val="0"/>
        <w:snapToGrid w:val="0"/>
        <w:spacing w:line="590" w:lineRule="exact"/>
        <w:ind w:firstLine="640"/>
        <w:rPr>
          <w:rFonts w:ascii="Times New Roman" w:hAnsi="Times New Roman" w:eastAsia="方正仿宋_GBK"/>
          <w:color w:val="000000"/>
          <w:kern w:val="0"/>
          <w:sz w:val="32"/>
          <w:szCs w:val="32"/>
        </w:rPr>
      </w:pPr>
      <w:r>
        <w:rPr>
          <w:rFonts w:hint="eastAsia" w:ascii="Times New Roman" w:hAnsi="Times New Roman" w:eastAsia="方正仿宋_GBK"/>
          <w:sz w:val="32"/>
          <w:szCs w:val="32"/>
        </w:rPr>
        <w:t>工作咨询电话：</w:t>
      </w:r>
    </w:p>
    <w:p>
      <w:pPr>
        <w:overflowPunct w:val="0"/>
        <w:snapToGrid w:val="0"/>
        <w:spacing w:line="590" w:lineRule="exact"/>
        <w:ind w:firstLine="640"/>
        <w:rPr>
          <w:rFonts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省中小企业发展中心：</w:t>
      </w:r>
      <w:r>
        <w:rPr>
          <w:rFonts w:ascii="Times New Roman" w:hAnsi="Times New Roman" w:eastAsia="方正仿宋_GBK"/>
          <w:color w:val="000000"/>
          <w:kern w:val="0"/>
          <w:sz w:val="32"/>
          <w:szCs w:val="32"/>
        </w:rPr>
        <w:t>025-83673201；</w:t>
      </w:r>
    </w:p>
    <w:p>
      <w:pPr>
        <w:overflowPunct w:val="0"/>
        <w:snapToGrid w:val="0"/>
        <w:spacing w:line="590" w:lineRule="exact"/>
        <w:ind w:firstLine="640"/>
        <w:rPr>
          <w:rFonts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技术支持：</w:t>
      </w:r>
      <w:r>
        <w:rPr>
          <w:rFonts w:ascii="Times New Roman" w:hAnsi="Times New Roman" w:eastAsia="方正仿宋_GBK"/>
          <w:color w:val="000000"/>
          <w:kern w:val="0"/>
          <w:sz w:val="32"/>
          <w:szCs w:val="32"/>
        </w:rPr>
        <w:t>025-52686657</w:t>
      </w:r>
      <w:bookmarkStart w:id="0" w:name="_GoBack"/>
      <w:bookmarkEnd w:id="0"/>
      <w:r>
        <w:rPr>
          <w:rFonts w:ascii="Times New Roman" w:hAnsi="Times New Roman" w:eastAsia="方正仿宋_GBK"/>
          <w:color w:val="000000"/>
          <w:kern w:val="0"/>
          <w:sz w:val="32"/>
          <w:szCs w:val="32"/>
        </w:rPr>
        <w:t>；</w:t>
      </w:r>
    </w:p>
    <w:p>
      <w:pPr>
        <w:overflowPunct w:val="0"/>
        <w:spacing w:line="590" w:lineRule="exact"/>
        <w:ind w:firstLine="640" w:firstLineChars="200"/>
        <w:rPr>
          <w:rFonts w:ascii="Times New Roman" w:hAnsi="Times New Roman" w:eastAsia="方正仿宋_GBK"/>
          <w:color w:val="000000"/>
          <w:kern w:val="0"/>
          <w:sz w:val="32"/>
          <w:szCs w:val="32"/>
        </w:rPr>
      </w:pPr>
      <w:r>
        <w:rPr>
          <w:rFonts w:hint="eastAsia" w:ascii="Times New Roman" w:hAnsi="Times New Roman" w:eastAsia="方正仿宋_GBK"/>
          <w:color w:val="000000"/>
          <w:kern w:val="0"/>
          <w:sz w:val="32"/>
          <w:szCs w:val="32"/>
        </w:rPr>
        <w:t>省工</w:t>
      </w:r>
      <w:r>
        <w:rPr>
          <w:rFonts w:ascii="Times New Roman" w:hAnsi="Times New Roman" w:eastAsia="方正仿宋_GBK"/>
          <w:color w:val="000000"/>
          <w:kern w:val="0"/>
          <w:sz w:val="32"/>
          <w:szCs w:val="32"/>
        </w:rPr>
        <w:t>信厅：</w:t>
      </w:r>
      <w:r>
        <w:rPr>
          <w:rFonts w:hint="eastAsia" w:ascii="Times New Roman" w:hAnsi="Times New Roman" w:eastAsia="方正仿宋_GBK"/>
          <w:color w:val="000000"/>
          <w:kern w:val="0"/>
          <w:sz w:val="32"/>
          <w:szCs w:val="32"/>
        </w:rPr>
        <w:t>025</w:t>
      </w:r>
      <w:r>
        <w:rPr>
          <w:rFonts w:ascii="Times New Roman" w:hAnsi="Times New Roman" w:eastAsia="方正仿宋_GBK"/>
          <w:color w:val="000000"/>
          <w:kern w:val="0"/>
          <w:sz w:val="32"/>
          <w:szCs w:val="32"/>
        </w:rPr>
        <w:t>-</w:t>
      </w:r>
      <w:r>
        <w:rPr>
          <w:rFonts w:hint="eastAsia" w:ascii="Times New Roman" w:hAnsi="Times New Roman" w:eastAsia="方正仿宋_GBK"/>
          <w:color w:val="000000"/>
          <w:kern w:val="0"/>
          <w:sz w:val="32"/>
          <w:szCs w:val="32"/>
        </w:rPr>
        <w:t>69652765，69652751。</w:t>
      </w:r>
    </w:p>
    <w:p>
      <w:pPr>
        <w:overflowPunct w:val="0"/>
        <w:spacing w:line="590" w:lineRule="exact"/>
        <w:ind w:firstLine="640" w:firstLineChars="200"/>
        <w:rPr>
          <w:rFonts w:ascii="Times New Roman" w:hAnsi="Times New Roman" w:eastAsia="方正仿宋_GBK"/>
          <w:color w:val="000000"/>
          <w:kern w:val="0"/>
          <w:sz w:val="32"/>
          <w:szCs w:val="32"/>
        </w:rPr>
      </w:pPr>
    </w:p>
    <w:p>
      <w:pPr>
        <w:overflowPunct w:val="0"/>
        <w:spacing w:line="59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olor w:val="000000"/>
          <w:kern w:val="0"/>
          <w:sz w:val="32"/>
          <w:szCs w:val="32"/>
        </w:rPr>
        <w:t>附</w:t>
      </w:r>
      <w:r>
        <w:rPr>
          <w:rFonts w:hint="eastAsia" w:ascii="Times New Roman" w:hAnsi="Times New Roman" w:eastAsia="方正仿宋_GBK" w:cs="Times New Roman"/>
          <w:sz w:val="32"/>
          <w:szCs w:val="32"/>
        </w:rPr>
        <w:t>件：1.</w:t>
      </w:r>
      <w:r>
        <w:rPr>
          <w:rFonts w:ascii="Times New Roman" w:hAnsi="Times New Roman" w:eastAsia="方正仿宋_GBK" w:cs="Times New Roman"/>
          <w:sz w:val="32"/>
          <w:szCs w:val="32"/>
        </w:rPr>
        <w:t>创新型中小企业评价标准</w:t>
      </w:r>
    </w:p>
    <w:p>
      <w:pPr>
        <w:overflowPunct w:val="0"/>
        <w:autoSpaceDN w:val="0"/>
        <w:spacing w:line="590" w:lineRule="exact"/>
        <w:ind w:firstLine="1600" w:firstLineChars="500"/>
        <w:rPr>
          <w:rFonts w:hint="default" w:ascii="Times New Roman" w:hAnsi="Times New Roman" w:eastAsia="方正仿宋_GBK" w:cs="Times New Roman"/>
          <w:color w:val="000000"/>
          <w:sz w:val="32"/>
          <w:szCs w:val="32"/>
        </w:rPr>
      </w:pPr>
      <w:r>
        <w:rPr>
          <w:rFonts w:hint="eastAsia" w:ascii="Times New Roman" w:hAnsi="Times New Roman" w:eastAsia="方正仿宋_GBK" w:cs="Times New Roman"/>
          <w:sz w:val="32"/>
          <w:szCs w:val="32"/>
        </w:rPr>
        <w:t>2.各设区市入库企业数量指标</w:t>
      </w:r>
    </w:p>
    <w:p>
      <w:pPr>
        <w:overflowPunct w:val="0"/>
        <w:autoSpaceDN w:val="0"/>
        <w:spacing w:line="590" w:lineRule="exact"/>
        <w:ind w:left="525" w:leftChars="250" w:firstLine="4160" w:firstLineChars="13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江苏省工业和信息化厅</w:t>
      </w:r>
    </w:p>
    <w:p>
      <w:pPr>
        <w:overflowPunct w:val="0"/>
        <w:autoSpaceDN w:val="0"/>
        <w:spacing w:line="590" w:lineRule="exact"/>
        <w:ind w:left="525" w:leftChars="250" w:firstLine="4640" w:firstLineChars="145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2022年 </w:t>
      </w:r>
      <w:r>
        <w:rPr>
          <w:rFonts w:hint="eastAsia" w:ascii="Times New Roman" w:hAnsi="Times New Roman" w:eastAsia="方正仿宋_GBK" w:cs="Times New Roman"/>
          <w:color w:val="000000"/>
          <w:sz w:val="32"/>
          <w:szCs w:val="32"/>
          <w:lang w:val="en-US" w:eastAsia="zh-CN"/>
        </w:rPr>
        <w:t>7</w:t>
      </w:r>
      <w:r>
        <w:rPr>
          <w:rFonts w:hint="default" w:ascii="Times New Roman" w:hAnsi="Times New Roman" w:eastAsia="方正仿宋_GBK" w:cs="Times New Roman"/>
          <w:color w:val="000000"/>
          <w:sz w:val="32"/>
          <w:szCs w:val="32"/>
        </w:rPr>
        <w:t>月</w:t>
      </w:r>
      <w:r>
        <w:rPr>
          <w:rFonts w:hint="default" w:ascii="Times New Roman" w:hAnsi="Times New Roman" w:eastAsia="方正仿宋_GBK" w:cs="Times New Roman"/>
          <w:color w:val="000000"/>
          <w:sz w:val="32"/>
          <w:szCs w:val="32"/>
          <w:lang w:val="en-US" w:eastAsia="zh-CN"/>
        </w:rPr>
        <w:t xml:space="preserve"> </w:t>
      </w:r>
      <w:r>
        <w:rPr>
          <w:rFonts w:hint="default" w:ascii="Times New Roman" w:hAnsi="Times New Roman" w:eastAsia="方正仿宋_GBK" w:cs="Times New Roman"/>
          <w:color w:val="000000"/>
          <w:sz w:val="32"/>
          <w:szCs w:val="32"/>
          <w:lang w:val="en"/>
        </w:rPr>
        <w:t>2</w:t>
      </w:r>
      <w:r>
        <w:rPr>
          <w:rFonts w:hint="eastAsia" w:ascii="Times New Roman" w:hAnsi="Times New Roman" w:eastAsia="方正仿宋_GBK" w:cs="Times New Roman"/>
          <w:color w:val="000000"/>
          <w:sz w:val="32"/>
          <w:szCs w:val="32"/>
          <w:lang w:val="en-US" w:eastAsia="zh-CN"/>
        </w:rPr>
        <w:t>6</w:t>
      </w:r>
      <w:r>
        <w:rPr>
          <w:rFonts w:hint="default" w:ascii="Times New Roman" w:hAnsi="Times New Roman" w:eastAsia="方正仿宋_GBK" w:cs="Times New Roman"/>
          <w:color w:val="000000"/>
          <w:sz w:val="32"/>
          <w:szCs w:val="32"/>
        </w:rPr>
        <w:t>日</w:t>
      </w: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tbl>
      <w:tblPr>
        <w:tblStyle w:val="7"/>
        <w:tblW w:w="0" w:type="auto"/>
        <w:tblInd w:w="0" w:type="dxa"/>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9060"/>
      </w:tblGrid>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PrEx>
        <w:tc>
          <w:tcPr>
            <w:tcW w:w="9060" w:type="dxa"/>
          </w:tcPr>
          <w:p>
            <w:pPr>
              <w:adjustRightInd w:val="0"/>
              <w:snapToGrid w:val="0"/>
              <w:spacing w:before="78" w:beforeLines="25" w:after="78" w:afterLines="25"/>
              <w:jc w:val="center"/>
              <w:rPr>
                <w:rFonts w:ascii="Times New Roman" w:hAnsi="Times New Roman" w:eastAsia="方正仿宋_GBK"/>
                <w:sz w:val="32"/>
                <w:szCs w:val="32"/>
              </w:rPr>
            </w:pPr>
            <w:r>
              <w:rPr>
                <w:rFonts w:ascii="Times New Roman" w:hAnsi="Times New Roman" w:eastAsia="方正仿宋_GBK" w:cs="Times New Roman"/>
                <w:sz w:val="32"/>
                <w:szCs w:val="32"/>
              </w:rPr>
              <w:br w:type="page"/>
            </w:r>
            <w:r>
              <w:rPr>
                <w:rFonts w:ascii="Times New Roman" w:hAnsi="Times New Roman" w:eastAsia="方正仿宋_GBK"/>
                <w:sz w:val="32"/>
                <w:szCs w:val="32"/>
              </w:rPr>
              <w:t xml:space="preserve">江苏省工信厅办公室      </w:t>
            </w:r>
            <w:r>
              <w:rPr>
                <w:rFonts w:hint="eastAsia" w:ascii="Times New Roman" w:hAnsi="Times New Roman" w:eastAsia="方正仿宋_GBK"/>
                <w:sz w:val="32"/>
                <w:szCs w:val="32"/>
              </w:rPr>
              <w:t xml:space="preserve"> </w:t>
            </w:r>
            <w:r>
              <w:rPr>
                <w:rFonts w:ascii="Times New Roman" w:hAnsi="Times New Roman" w:eastAsia="方正仿宋_GBK"/>
                <w:sz w:val="32"/>
                <w:szCs w:val="32"/>
              </w:rPr>
              <w:t xml:space="preserve">        202</w:t>
            </w:r>
            <w:r>
              <w:rPr>
                <w:rFonts w:hint="eastAsia" w:ascii="Times New Roman" w:hAnsi="Times New Roman" w:eastAsia="方正仿宋_GBK"/>
                <w:sz w:val="32"/>
                <w:szCs w:val="32"/>
                <w:lang w:val="en-US" w:eastAsia="zh-CN"/>
              </w:rPr>
              <w:t>2</w:t>
            </w:r>
            <w:r>
              <w:rPr>
                <w:rFonts w:ascii="Times New Roman" w:hAnsi="Times New Roman" w:eastAsia="方正仿宋_GBK"/>
                <w:sz w:val="32"/>
                <w:szCs w:val="32"/>
              </w:rPr>
              <w:t>年</w:t>
            </w:r>
            <w:r>
              <w:rPr>
                <w:rFonts w:hint="eastAsia" w:ascii="Times New Roman" w:hAnsi="Times New Roman" w:eastAsia="方正仿宋_GBK"/>
                <w:sz w:val="32"/>
                <w:szCs w:val="32"/>
                <w:lang w:val="en-US" w:eastAsia="zh-CN"/>
              </w:rPr>
              <w:t>7</w:t>
            </w:r>
            <w:r>
              <w:rPr>
                <w:rFonts w:ascii="Times New Roman" w:hAnsi="Times New Roman" w:eastAsia="方正仿宋_GBK"/>
                <w:sz w:val="32"/>
                <w:szCs w:val="32"/>
              </w:rPr>
              <w:t>月</w:t>
            </w:r>
            <w:r>
              <w:rPr>
                <w:rFonts w:hint="eastAsia" w:ascii="Times New Roman" w:hAnsi="Times New Roman" w:eastAsia="方正仿宋_GBK"/>
                <w:sz w:val="32"/>
                <w:szCs w:val="32"/>
                <w:lang w:val="en-US" w:eastAsia="zh-CN"/>
              </w:rPr>
              <w:t>26</w:t>
            </w:r>
            <w:r>
              <w:rPr>
                <w:rFonts w:ascii="Times New Roman" w:hAnsi="Times New Roman" w:eastAsia="方正仿宋_GBK"/>
                <w:sz w:val="32"/>
                <w:szCs w:val="32"/>
              </w:rPr>
              <w:t>日印发</w:t>
            </w:r>
          </w:p>
        </w:tc>
      </w:tr>
    </w:tbl>
    <w:p>
      <w:pPr>
        <w:widowControl/>
        <w:shd w:val="clear" w:color="auto" w:fill="FFFFFF"/>
        <w:adjustRightInd w:val="0"/>
        <w:snapToGrid w:val="0"/>
        <w:spacing w:line="20" w:lineRule="exact"/>
        <w:ind w:firstLine="640" w:firstLineChars="200"/>
        <w:jc w:val="center"/>
        <w:rPr>
          <w:rFonts w:ascii="Times New Roman" w:hAnsi="Times New Roman" w:eastAsia="方正仿宋_GBK" w:cs="Times New Roman"/>
          <w:sz w:val="32"/>
          <w:szCs w:val="32"/>
        </w:rPr>
      </w:pPr>
    </w:p>
    <w:sectPr>
      <w:footerReference r:id="rId3" w:type="default"/>
      <w:footerReference r:id="rId4" w:type="even"/>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
    <w:altName w:val="微软雅黑"/>
    <w:panose1 w:val="02010609060101010101"/>
    <w:charset w:val="00"/>
    <w:family w:val="modern"/>
    <w:pitch w:val="default"/>
    <w:sig w:usb0="00000000" w:usb1="00000000" w:usb2="00000016" w:usb3="00000000" w:csb0="00040001"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right"/>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1</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2</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evenAndOddHeaders w:val="true"/>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765"/>
    <w:rsid w:val="00042D45"/>
    <w:rsid w:val="000C3151"/>
    <w:rsid w:val="000C577F"/>
    <w:rsid w:val="00133648"/>
    <w:rsid w:val="00153C17"/>
    <w:rsid w:val="001A673F"/>
    <w:rsid w:val="001C34FF"/>
    <w:rsid w:val="001D450B"/>
    <w:rsid w:val="001E2DED"/>
    <w:rsid w:val="002D1096"/>
    <w:rsid w:val="0035342D"/>
    <w:rsid w:val="00433CED"/>
    <w:rsid w:val="0050288A"/>
    <w:rsid w:val="00675242"/>
    <w:rsid w:val="008235FC"/>
    <w:rsid w:val="00865F2E"/>
    <w:rsid w:val="00873D29"/>
    <w:rsid w:val="00980E4D"/>
    <w:rsid w:val="00A65757"/>
    <w:rsid w:val="00AF7D83"/>
    <w:rsid w:val="00B15E0F"/>
    <w:rsid w:val="00B3139A"/>
    <w:rsid w:val="00B4403C"/>
    <w:rsid w:val="00C55609"/>
    <w:rsid w:val="00C80172"/>
    <w:rsid w:val="00C97AC0"/>
    <w:rsid w:val="00CB61D2"/>
    <w:rsid w:val="00CF4BBB"/>
    <w:rsid w:val="00E11F45"/>
    <w:rsid w:val="00E32765"/>
    <w:rsid w:val="00F64453"/>
    <w:rsid w:val="00F9615D"/>
    <w:rsid w:val="1FFFF294"/>
    <w:rsid w:val="3FCDC646"/>
    <w:rsid w:val="51EB715E"/>
    <w:rsid w:val="6F3045D9"/>
    <w:rsid w:val="72EB5072"/>
    <w:rsid w:val="76FB00D2"/>
    <w:rsid w:val="F4FF5A94"/>
    <w:rsid w:val="F9CFB952"/>
    <w:rsid w:val="FA07F8D7"/>
    <w:rsid w:val="FDFEA11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Date"/>
    <w:basedOn w:val="1"/>
    <w:next w:val="1"/>
    <w:link w:val="13"/>
    <w:semiHidden/>
    <w:unhideWhenUsed/>
    <w:qFormat/>
    <w:uiPriority w:val="99"/>
    <w:pPr>
      <w:ind w:left="100" w:leftChars="2500"/>
    </w:pPr>
  </w:style>
  <w:style w:type="paragraph" w:styleId="4">
    <w:name w:val="Balloon Text"/>
    <w:basedOn w:val="1"/>
    <w:link w:val="10"/>
    <w:semiHidden/>
    <w:unhideWhenUsed/>
    <w:qFormat/>
    <w:uiPriority w:val="99"/>
    <w:rPr>
      <w:sz w:val="18"/>
      <w:szCs w:val="18"/>
    </w:rPr>
  </w:style>
  <w:style w:type="paragraph" w:styleId="5">
    <w:name w:val="footer"/>
    <w:basedOn w:val="1"/>
    <w:link w:val="12"/>
    <w:unhideWhenUsed/>
    <w:qFormat/>
    <w:uiPriority w:val="0"/>
    <w:pPr>
      <w:tabs>
        <w:tab w:val="center" w:pos="4153"/>
        <w:tab w:val="right" w:pos="8306"/>
      </w:tabs>
      <w:snapToGrid w:val="0"/>
      <w:jc w:val="left"/>
    </w:pPr>
    <w:rPr>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character" w:styleId="9">
    <w:name w:val="Hyperlink"/>
    <w:unhideWhenUsed/>
    <w:qFormat/>
    <w:uiPriority w:val="0"/>
    <w:rPr>
      <w:color w:val="0000FF"/>
      <w:u w:val="single"/>
    </w:rPr>
  </w:style>
  <w:style w:type="character" w:customStyle="1" w:styleId="10">
    <w:name w:val="批注框文本 Char"/>
    <w:basedOn w:val="8"/>
    <w:link w:val="4"/>
    <w:semiHidden/>
    <w:qFormat/>
    <w:uiPriority w:val="99"/>
    <w:rPr>
      <w:sz w:val="18"/>
      <w:szCs w:val="18"/>
    </w:rPr>
  </w:style>
  <w:style w:type="character" w:customStyle="1" w:styleId="11">
    <w:name w:val="页眉 Char"/>
    <w:basedOn w:val="8"/>
    <w:link w:val="6"/>
    <w:qFormat/>
    <w:uiPriority w:val="99"/>
    <w:rPr>
      <w:sz w:val="18"/>
      <w:szCs w:val="18"/>
    </w:rPr>
  </w:style>
  <w:style w:type="character" w:customStyle="1" w:styleId="12">
    <w:name w:val="页脚 Char"/>
    <w:basedOn w:val="8"/>
    <w:link w:val="5"/>
    <w:qFormat/>
    <w:uiPriority w:val="99"/>
    <w:rPr>
      <w:sz w:val="18"/>
      <w:szCs w:val="18"/>
    </w:rPr>
  </w:style>
  <w:style w:type="character" w:customStyle="1" w:styleId="13">
    <w:name w:val="日期 Char"/>
    <w:basedOn w:val="8"/>
    <w:link w:val="3"/>
    <w:semiHidden/>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85</Words>
  <Characters>489</Characters>
  <Lines>4</Lines>
  <Paragraphs>1</Paragraphs>
  <TotalTime>1</TotalTime>
  <ScaleCrop>false</ScaleCrop>
  <LinksUpToDate>false</LinksUpToDate>
  <CharactersWithSpaces>573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2021-12-29T09:42:00Z</dcterms:created>
  <dc:creator>PC</dc:creator>
  <cp:lastModifiedBy>uos</cp:lastModifiedBy>
  <cp:lastPrinted>2021-12-18T07:25:00Z</cp:lastPrinted>
  <dcterms:modified xsi:type="dcterms:W3CDTF">2022-07-26T17:46:44Z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