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eastAsia" w:ascii="方正黑体_GBK" w:hAnsi="Times New Roman" w:eastAsia="方正黑体_GBK" w:cs="Times New Roman"/>
          <w:sz w:val="32"/>
          <w:szCs w:val="32"/>
          <w:lang w:eastAsia="zh-CN"/>
        </w:rPr>
      </w:pPr>
      <w:r>
        <w:rPr>
          <w:rFonts w:hint="eastAsia" w:ascii="方正黑体_GBK" w:hAnsi="Times New Roman" w:eastAsia="方正黑体_GBK" w:cs="Times New Roman"/>
          <w:sz w:val="32"/>
          <w:szCs w:val="32"/>
        </w:rPr>
        <w:t>附件</w:t>
      </w:r>
      <w:r>
        <w:rPr>
          <w:rFonts w:hint="eastAsia" w:ascii="方正黑体_GBK" w:hAnsi="Times New Roman" w:eastAsia="方正黑体_GBK" w:cs="Times New Roman"/>
          <w:sz w:val="32"/>
          <w:szCs w:val="32"/>
          <w:lang w:val="en-US" w:eastAsia="zh-CN"/>
        </w:rPr>
        <w:t>1</w:t>
      </w:r>
    </w:p>
    <w:p>
      <w:pPr>
        <w:jc w:val="center"/>
        <w:rPr>
          <w:rFonts w:ascii="方正小标宋_GBK" w:eastAsia="方正小标宋_GBK"/>
          <w:sz w:val="40"/>
          <w:szCs w:val="40"/>
        </w:rPr>
      </w:pPr>
      <w:r>
        <w:rPr>
          <w:rFonts w:hint="eastAsia" w:ascii="方正小标宋_GBK" w:eastAsia="方正小标宋_GBK"/>
          <w:sz w:val="44"/>
          <w:szCs w:val="40"/>
        </w:rPr>
        <w:t>省星级上云企业评定工作指南（</w:t>
      </w:r>
      <w:r>
        <w:rPr>
          <w:rFonts w:ascii="Times New Roman" w:hAnsi="Times New Roman" w:eastAsia="方正小标宋_GBK" w:cs="Times New Roman"/>
          <w:sz w:val="44"/>
          <w:szCs w:val="40"/>
        </w:rPr>
        <w:t>2023</w:t>
      </w:r>
      <w:r>
        <w:rPr>
          <w:rFonts w:hint="eastAsia" w:ascii="方正小标宋_GBK" w:eastAsia="方正小标宋_GBK"/>
          <w:sz w:val="44"/>
          <w:szCs w:val="40"/>
        </w:rPr>
        <w:t>年版）</w:t>
      </w:r>
    </w:p>
    <w:p>
      <w:pPr>
        <w:tabs>
          <w:tab w:val="left" w:pos="2773"/>
          <w:tab w:val="center" w:pos="4153"/>
        </w:tabs>
        <w:spacing w:line="560" w:lineRule="exact"/>
        <w:ind w:firstLine="640" w:firstLineChars="200"/>
        <w:jc w:val="left"/>
        <w:rPr>
          <w:rFonts w:eastAsia="黑体"/>
          <w:bCs/>
          <w:sz w:val="32"/>
          <w:szCs w:val="32"/>
        </w:rPr>
      </w:pPr>
    </w:p>
    <w:p>
      <w:pPr>
        <w:tabs>
          <w:tab w:val="left" w:pos="2773"/>
          <w:tab w:val="center" w:pos="4153"/>
        </w:tabs>
        <w:spacing w:line="560" w:lineRule="exact"/>
        <w:ind w:firstLine="640" w:firstLineChars="200"/>
        <w:jc w:val="left"/>
        <w:rPr>
          <w:rFonts w:eastAsia="黑体"/>
          <w:bCs/>
          <w:sz w:val="32"/>
          <w:szCs w:val="32"/>
        </w:rPr>
      </w:pPr>
      <w:r>
        <w:rPr>
          <w:rFonts w:eastAsia="黑体"/>
          <w:bCs/>
          <w:sz w:val="32"/>
          <w:szCs w:val="32"/>
        </w:rPr>
        <w:t>一、总则</w:t>
      </w:r>
    </w:p>
    <w:p>
      <w:pPr>
        <w:spacing w:line="560" w:lineRule="exact"/>
        <w:ind w:firstLine="640" w:firstLineChars="200"/>
        <w:rPr>
          <w:rFonts w:eastAsia="方正楷体_GBK"/>
          <w:sz w:val="32"/>
          <w:szCs w:val="32"/>
        </w:rPr>
      </w:pPr>
      <w:r>
        <w:rPr>
          <w:rFonts w:eastAsia="方正楷体_GBK"/>
          <w:sz w:val="32"/>
          <w:szCs w:val="32"/>
        </w:rPr>
        <w:t>（一）目的</w:t>
      </w:r>
    </w:p>
    <w:p>
      <w:pPr>
        <w:spacing w:line="560" w:lineRule="exact"/>
        <w:ind w:firstLine="64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为贯彻落实《省政府关于深化“互联网+先进制造业”发展工业互联网的实施意见》《江苏省制造业智能化改造和数字化转型三年行动计划（2022—2024年）》和《江苏省加快推进工业互联网创新发展三年行动计划（2021—2023年）》，大力推动“企业上云”，强化星级上云企业建设，特制订本指南。</w:t>
      </w:r>
    </w:p>
    <w:p>
      <w:pPr>
        <w:spacing w:line="560" w:lineRule="exact"/>
        <w:ind w:firstLine="640" w:firstLineChars="200"/>
        <w:rPr>
          <w:rFonts w:eastAsia="方正楷体_GBK"/>
          <w:sz w:val="32"/>
          <w:szCs w:val="32"/>
        </w:rPr>
      </w:pPr>
      <w:r>
        <w:rPr>
          <w:rFonts w:eastAsia="方正楷体_GBK"/>
          <w:sz w:val="32"/>
          <w:szCs w:val="32"/>
        </w:rPr>
        <w:t>（二）适用范围</w:t>
      </w:r>
    </w:p>
    <w:p>
      <w:pPr>
        <w:spacing w:line="560" w:lineRule="exact"/>
        <w:ind w:firstLine="64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1、本指南适用于在江苏省注册且具有独立法人地位的企业。</w:t>
      </w:r>
    </w:p>
    <w:p>
      <w:pPr>
        <w:spacing w:line="560" w:lineRule="exact"/>
        <w:ind w:firstLine="64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2、三星、四星和五星级上云企业可通过采购公有云服务、自建私有云或以混合云等形式上云。</w:t>
      </w:r>
    </w:p>
    <w:p>
      <w:pPr>
        <w:spacing w:line="560" w:lineRule="exact"/>
        <w:ind w:firstLine="64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3、三星级上云企业应属于工业或软件和信息服务业企业，四星和五星级上云企业仅限工业企业。</w:t>
      </w:r>
    </w:p>
    <w:p>
      <w:pPr>
        <w:spacing w:line="560" w:lineRule="exact"/>
        <w:ind w:firstLine="640" w:firstLineChars="200"/>
        <w:rPr>
          <w:rFonts w:eastAsia="黑体"/>
          <w:bCs/>
          <w:sz w:val="32"/>
          <w:szCs w:val="32"/>
        </w:rPr>
      </w:pPr>
      <w:r>
        <w:rPr>
          <w:rFonts w:eastAsia="黑体"/>
          <w:bCs/>
          <w:sz w:val="32"/>
          <w:szCs w:val="32"/>
        </w:rPr>
        <w:t>二、组织管理</w:t>
      </w:r>
    </w:p>
    <w:p>
      <w:pPr>
        <w:spacing w:line="560" w:lineRule="exact"/>
        <w:ind w:firstLine="640" w:firstLineChars="200"/>
        <w:rPr>
          <w:rFonts w:eastAsia="方正楷体_GBK"/>
          <w:sz w:val="32"/>
          <w:szCs w:val="32"/>
        </w:rPr>
      </w:pPr>
      <w:r>
        <w:rPr>
          <w:rFonts w:eastAsia="方正楷体_GBK"/>
          <w:sz w:val="32"/>
          <w:szCs w:val="32"/>
        </w:rPr>
        <w:t>（一）主管部门</w:t>
      </w:r>
    </w:p>
    <w:p>
      <w:pPr>
        <w:spacing w:line="560" w:lineRule="exact"/>
        <w:ind w:firstLine="64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江苏省工信厅，各设区市工信局负责组织星级上云企业评定工作。</w:t>
      </w:r>
    </w:p>
    <w:p>
      <w:pPr>
        <w:spacing w:line="560" w:lineRule="exact"/>
        <w:ind w:firstLine="640" w:firstLineChars="200"/>
        <w:rPr>
          <w:rFonts w:eastAsia="方正楷体_GBK"/>
          <w:sz w:val="32"/>
          <w:szCs w:val="32"/>
        </w:rPr>
      </w:pPr>
      <w:r>
        <w:rPr>
          <w:rFonts w:eastAsia="方正楷体_GBK"/>
          <w:sz w:val="32"/>
          <w:szCs w:val="32"/>
        </w:rPr>
        <w:t>（二）分级管理</w:t>
      </w:r>
    </w:p>
    <w:p>
      <w:pPr>
        <w:spacing w:line="560" w:lineRule="exact"/>
        <w:ind w:firstLine="64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三星级、四星级上云企业由各设区市工信局组织评定，评定结果报省工信厅备案。五星级上云企业由各设区市工信局组织项目推荐，并由省工信厅组织评定。</w:t>
      </w:r>
    </w:p>
    <w:p>
      <w:pPr>
        <w:spacing w:line="560" w:lineRule="exact"/>
        <w:ind w:firstLine="640" w:firstLineChars="200"/>
        <w:rPr>
          <w:rFonts w:eastAsia="黑体"/>
          <w:bCs/>
          <w:sz w:val="32"/>
          <w:szCs w:val="32"/>
        </w:rPr>
      </w:pPr>
      <w:r>
        <w:rPr>
          <w:rFonts w:eastAsia="黑体"/>
          <w:bCs/>
          <w:sz w:val="32"/>
          <w:szCs w:val="32"/>
        </w:rPr>
        <w:t>三、上云范围及内容</w:t>
      </w:r>
    </w:p>
    <w:p>
      <w:pPr>
        <w:spacing w:line="560" w:lineRule="exact"/>
        <w:ind w:firstLine="640" w:firstLineChars="200"/>
        <w:rPr>
          <w:rFonts w:eastAsia="方正楷体_GBK"/>
          <w:sz w:val="32"/>
          <w:szCs w:val="32"/>
        </w:rPr>
      </w:pPr>
      <w:r>
        <w:rPr>
          <w:rFonts w:eastAsia="方正楷体_GBK"/>
          <w:sz w:val="32"/>
          <w:szCs w:val="32"/>
        </w:rPr>
        <w:t>（一）业务上云</w:t>
      </w:r>
    </w:p>
    <w:p>
      <w:pPr>
        <w:spacing w:line="560" w:lineRule="exact"/>
        <w:ind w:firstLine="64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企业通过购买公有云服务，或建设私有云、混合云等方式，应用基础云服务及工业APP，实现基础、设计、生产、物流、销售、服务等核心数据和业务上云。</w:t>
      </w:r>
    </w:p>
    <w:p>
      <w:pPr>
        <w:spacing w:line="560" w:lineRule="exact"/>
        <w:ind w:firstLine="640" w:firstLineChars="200"/>
        <w:rPr>
          <w:rFonts w:eastAsia="方正仿宋_GBK"/>
          <w:b/>
          <w:bCs/>
          <w:sz w:val="32"/>
          <w:szCs w:val="32"/>
        </w:rPr>
      </w:pPr>
      <w:r>
        <w:rPr>
          <w:rFonts w:eastAsia="方正仿宋_GBK"/>
          <w:b/>
          <w:bCs/>
          <w:sz w:val="32"/>
          <w:szCs w:val="32"/>
        </w:rPr>
        <w:t>1、基础云服务</w:t>
      </w:r>
    </w:p>
    <w:p>
      <w:pPr>
        <w:spacing w:line="560" w:lineRule="exact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sz w:val="32"/>
          <w:szCs w:val="32"/>
        </w:rPr>
        <w:t xml:space="preserve">    </w:t>
      </w:r>
      <w:r>
        <w:rPr>
          <w:rFonts w:eastAsia="方正仿宋_GBK"/>
          <w:color w:val="000000"/>
          <w:sz w:val="32"/>
          <w:szCs w:val="32"/>
        </w:rPr>
        <w:t>（1）计算资源。根据业务需求，选择云服务器、容器、弹性伸缩、GPU等不同类型的计算服务，实现集中资源管理和动态分配。</w:t>
      </w:r>
    </w:p>
    <w:p>
      <w:pPr>
        <w:spacing w:line="560" w:lineRule="exact"/>
        <w:ind w:firstLine="640" w:firstLineChars="20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（2）存储资源。根据数据的冷热属性，选择对象存储、块存储、文件存储、归档存储等不同类型的存储服务，提高数据存储经济性、安全性、可靠性。</w:t>
      </w:r>
    </w:p>
    <w:p>
      <w:pPr>
        <w:spacing w:line="560" w:lineRule="exact"/>
        <w:ind w:firstLine="640" w:firstLineChars="20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（3）数据库。选用数据库云托管服务或关系型、分布式、时序等不同类型的云数据库，及数据复制与管理服务，实现跨平台、跨业务的数据库统一管理。</w:t>
      </w:r>
    </w:p>
    <w:p>
      <w:pPr>
        <w:spacing w:line="560" w:lineRule="exact"/>
        <w:ind w:firstLine="640" w:firstLineChars="20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（4）管理工具。采用微服务、应用运维、应用性能等云运维产品，实现应用系统的云化智能运维。</w:t>
      </w:r>
    </w:p>
    <w:p>
      <w:pPr>
        <w:spacing w:line="560" w:lineRule="exact"/>
        <w:ind w:firstLine="640" w:firstLineChars="20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（5）安全</w:t>
      </w:r>
    </w:p>
    <w:p>
      <w:pPr>
        <w:numPr>
          <w:ilvl w:val="0"/>
          <w:numId w:val="1"/>
        </w:numPr>
        <w:spacing w:line="560" w:lineRule="exact"/>
        <w:ind w:left="0" w:firstLine="84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数据安全。选用数据云安全产品和服务，实现企业数据防篡改、防盗用保护。</w:t>
      </w:r>
    </w:p>
    <w:p>
      <w:pPr>
        <w:numPr>
          <w:ilvl w:val="0"/>
          <w:numId w:val="1"/>
        </w:numPr>
        <w:spacing w:line="560" w:lineRule="exact"/>
        <w:ind w:left="0" w:firstLine="84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业务安全。选用注册保护、登录保护、漏洞巡检、应用加固等不同类型的业务云安全产品和服务，监控业务运行状态，及时预警业务运行风险，通过关联性分析生成风险解决方案并实施，持续优化业务安全防御，保障业务稳定安全运行。</w:t>
      </w:r>
    </w:p>
    <w:p>
      <w:pPr>
        <w:numPr>
          <w:ilvl w:val="0"/>
          <w:numId w:val="1"/>
        </w:numPr>
        <w:spacing w:line="560" w:lineRule="exact"/>
        <w:ind w:left="0" w:firstLine="84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网络安全。选用子账户管理、访问控制，漏洞扫描与修复、入侵检测防御、防火墙、分布式拒绝服务防护、Docker镜像安全检测等不同类型的网络云安全产品和服务，保障企业网络安全，降低网络安全构建成本。</w:t>
      </w:r>
    </w:p>
    <w:p>
      <w:pPr>
        <w:numPr>
          <w:ilvl w:val="0"/>
          <w:numId w:val="1"/>
        </w:numPr>
        <w:spacing w:line="560" w:lineRule="exact"/>
        <w:ind w:left="0" w:firstLine="84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工业系统安全。选用具有设备、工控系统、关键零部件等安全防护机制的工业互联网/工业云平台，主动防护漏洞危害与病毒风险，提升安全可靠能力。</w:t>
      </w:r>
    </w:p>
    <w:p>
      <w:pPr>
        <w:numPr>
          <w:ilvl w:val="0"/>
          <w:numId w:val="1"/>
        </w:numPr>
        <w:spacing w:line="560" w:lineRule="exact"/>
        <w:ind w:left="0" w:firstLine="84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云灾备。在云端对生产业务系统及业务数据进行容灾备份，提升系统与数据的可靠性和可用性。</w:t>
      </w:r>
    </w:p>
    <w:p>
      <w:pPr>
        <w:spacing w:line="560" w:lineRule="exact"/>
        <w:ind w:firstLine="640" w:firstLineChars="200"/>
        <w:rPr>
          <w:rFonts w:eastAsia="方正仿宋_GBK"/>
          <w:b/>
          <w:bCs/>
          <w:sz w:val="32"/>
          <w:szCs w:val="32"/>
        </w:rPr>
      </w:pPr>
      <w:r>
        <w:rPr>
          <w:rFonts w:eastAsia="方正仿宋_GBK"/>
          <w:b/>
          <w:bCs/>
          <w:sz w:val="32"/>
          <w:szCs w:val="32"/>
        </w:rPr>
        <w:t>2、工业APP应用</w:t>
      </w:r>
    </w:p>
    <w:p>
      <w:pPr>
        <w:spacing w:line="560" w:lineRule="exact"/>
        <w:ind w:firstLine="640" w:firstLineChars="20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（1）设计</w:t>
      </w:r>
    </w:p>
    <w:p>
      <w:pPr>
        <w:numPr>
          <w:ilvl w:val="0"/>
          <w:numId w:val="1"/>
        </w:numPr>
        <w:spacing w:line="560" w:lineRule="exact"/>
        <w:ind w:left="0" w:firstLine="84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研发设计应用。选用建模、分析、制图、工艺、仿真、逆向、试验、数控编程等云端研发设计服务，共享研发设计工具，降低成本，保障研发设计信息安全。</w:t>
      </w:r>
    </w:p>
    <w:p>
      <w:pPr>
        <w:numPr>
          <w:ilvl w:val="0"/>
          <w:numId w:val="1"/>
        </w:numPr>
        <w:spacing w:line="560" w:lineRule="exact"/>
        <w:ind w:left="0" w:firstLine="84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研发设计案例库。建设云端研发设计案例库，实现研发设计案例的在线分析、集成、共享和管理。</w:t>
      </w:r>
    </w:p>
    <w:p>
      <w:pPr>
        <w:numPr>
          <w:ilvl w:val="0"/>
          <w:numId w:val="1"/>
        </w:numPr>
        <w:spacing w:line="560" w:lineRule="exact"/>
        <w:ind w:left="0" w:firstLine="84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 xml:space="preserve">研发设计协同。选用任务分发、任务众包、分工协作等云设计服务，实现部门及企业间跨地域、多语言的协同开发。 </w:t>
      </w:r>
    </w:p>
    <w:p>
      <w:pPr>
        <w:numPr>
          <w:ilvl w:val="0"/>
          <w:numId w:val="2"/>
        </w:numPr>
        <w:spacing w:line="560" w:lineRule="exact"/>
        <w:ind w:firstLine="640" w:firstLineChars="20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生产</w:t>
      </w:r>
    </w:p>
    <w:p>
      <w:pPr>
        <w:numPr>
          <w:ilvl w:val="0"/>
          <w:numId w:val="1"/>
        </w:numPr>
        <w:spacing w:line="560" w:lineRule="exact"/>
        <w:ind w:left="0" w:firstLine="84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生产排产管理。在云端制定预排产计划，并分析计划与现场实际的偏差，动态调整排产计划。</w:t>
      </w:r>
    </w:p>
    <w:p>
      <w:pPr>
        <w:numPr>
          <w:ilvl w:val="0"/>
          <w:numId w:val="1"/>
        </w:numPr>
        <w:spacing w:line="560" w:lineRule="exact"/>
        <w:ind w:left="0" w:firstLine="84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制造执行系统。选用云端MES，进行制造数据管理、计划排程管理、生产调度管理、质量管理、人员管理、工作中心、工具工装管理、生产过程控制、底层数据集成分析、上层数据集成分解等管理模块，为企业打造一个扎实、可靠、全面、可行的制造协同管理平台。</w:t>
      </w:r>
    </w:p>
    <w:p>
      <w:pPr>
        <w:numPr>
          <w:ilvl w:val="0"/>
          <w:numId w:val="2"/>
        </w:numPr>
        <w:spacing w:line="560" w:lineRule="exact"/>
        <w:ind w:firstLine="640" w:firstLineChars="20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物流</w:t>
      </w:r>
    </w:p>
    <w:p>
      <w:pPr>
        <w:numPr>
          <w:ilvl w:val="0"/>
          <w:numId w:val="1"/>
        </w:numPr>
        <w:spacing w:line="560" w:lineRule="exact"/>
        <w:ind w:left="0" w:firstLine="84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供应商关系管理。选用云端SRM，通过供应商分类选择、战略关系发展、供应商谈判和供应商绩效评价等服务，在供需双方间建立和维持长久、稳定、紧密的伙伴关系，从而降低采购成本、提升工作效率，为企业创造巨大价值。</w:t>
      </w:r>
    </w:p>
    <w:p>
      <w:pPr>
        <w:numPr>
          <w:ilvl w:val="0"/>
          <w:numId w:val="1"/>
        </w:numPr>
        <w:spacing w:line="560" w:lineRule="exact"/>
        <w:ind w:left="0" w:firstLine="84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采购管理。选用云端采购管理系统，明确需采购的产品种类与数量，对采购订单、交货日期、预发货清单等进行统一管理，帮助授权用户从云端获得供应商、采购价格行情参考和分析等相关数据和信息。</w:t>
      </w:r>
    </w:p>
    <w:p>
      <w:pPr>
        <w:numPr>
          <w:ilvl w:val="0"/>
          <w:numId w:val="1"/>
        </w:numPr>
        <w:spacing w:line="560" w:lineRule="exact"/>
        <w:ind w:left="0" w:firstLine="84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物流管理。选用云端物流管理系统，统计分析物料库存状态、制定物流计划、统一管理运力并追踪产品物流信息。</w:t>
      </w:r>
    </w:p>
    <w:p>
      <w:pPr>
        <w:numPr>
          <w:ilvl w:val="0"/>
          <w:numId w:val="1"/>
        </w:numPr>
        <w:spacing w:line="560" w:lineRule="exact"/>
        <w:ind w:left="0" w:firstLine="84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企业资源规划。选用云端ERP，对信息进行充分整理、有效传递，使企业的人、财、物等资源在购、存、产、销各个方面能够得到合理地配置与利用，从而实现企业经营效率的提高。</w:t>
      </w:r>
    </w:p>
    <w:p>
      <w:pPr>
        <w:numPr>
          <w:ilvl w:val="0"/>
          <w:numId w:val="2"/>
        </w:numPr>
        <w:spacing w:line="560" w:lineRule="exact"/>
        <w:ind w:firstLine="640" w:firstLineChars="20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销售</w:t>
      </w:r>
    </w:p>
    <w:p>
      <w:pPr>
        <w:spacing w:line="560" w:lineRule="exact"/>
        <w:ind w:firstLine="640" w:firstLineChars="20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利用电商云、工业互联网/工业云平台等渠道，推动商品展示推广、交易管理、支付管理等应用场景上云，降低企业电子商务部署成本。</w:t>
      </w:r>
    </w:p>
    <w:p>
      <w:pPr>
        <w:numPr>
          <w:ilvl w:val="0"/>
          <w:numId w:val="2"/>
        </w:numPr>
        <w:spacing w:line="560" w:lineRule="exact"/>
        <w:ind w:firstLine="640" w:firstLineChars="20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服务</w:t>
      </w:r>
    </w:p>
    <w:p>
      <w:pPr>
        <w:numPr>
          <w:ilvl w:val="0"/>
          <w:numId w:val="1"/>
        </w:numPr>
        <w:spacing w:line="560" w:lineRule="exact"/>
        <w:ind w:left="0" w:firstLine="84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客户资源管理。选用云端CRM，协调企业与顾客间在</w:t>
      </w:r>
      <w:r>
        <w:fldChar w:fldCharType="begin"/>
      </w:r>
      <w:r>
        <w:instrText xml:space="preserve"> HYPERLINK "https://baike.baidu.com/item/%E9%94%80%E5%94%AE/239410" \t "_blank" </w:instrText>
      </w:r>
      <w:r>
        <w:fldChar w:fldCharType="separate"/>
      </w:r>
      <w:r>
        <w:rPr>
          <w:rFonts w:eastAsia="方正仿宋_GBK"/>
          <w:color w:val="000000"/>
          <w:sz w:val="32"/>
          <w:szCs w:val="32"/>
        </w:rPr>
        <w:t>销售</w:t>
      </w:r>
      <w:r>
        <w:rPr>
          <w:rFonts w:eastAsia="方正仿宋_GBK"/>
          <w:color w:val="000000"/>
          <w:sz w:val="32"/>
          <w:szCs w:val="32"/>
        </w:rPr>
        <w:fldChar w:fldCharType="end"/>
      </w:r>
      <w:r>
        <w:rPr>
          <w:rFonts w:eastAsia="方正仿宋_GBK"/>
          <w:color w:val="000000"/>
          <w:sz w:val="32"/>
          <w:szCs w:val="32"/>
        </w:rPr>
        <w:t>、</w:t>
      </w:r>
      <w:r>
        <w:fldChar w:fldCharType="begin"/>
      </w:r>
      <w:r>
        <w:instrText xml:space="preserve"> HYPERLINK "https://baike.baidu.com/item/%E8%90%A5%E9%94%80" \t "_blank" </w:instrText>
      </w:r>
      <w:r>
        <w:fldChar w:fldCharType="separate"/>
      </w:r>
      <w:r>
        <w:rPr>
          <w:rFonts w:eastAsia="方正仿宋_GBK"/>
          <w:color w:val="000000"/>
          <w:sz w:val="32"/>
          <w:szCs w:val="32"/>
        </w:rPr>
        <w:t>营销</w:t>
      </w:r>
      <w:r>
        <w:rPr>
          <w:rFonts w:eastAsia="方正仿宋_GBK"/>
          <w:color w:val="000000"/>
          <w:sz w:val="32"/>
          <w:szCs w:val="32"/>
        </w:rPr>
        <w:fldChar w:fldCharType="end"/>
      </w:r>
      <w:r>
        <w:rPr>
          <w:rFonts w:eastAsia="方正仿宋_GBK"/>
          <w:color w:val="000000"/>
          <w:sz w:val="32"/>
          <w:szCs w:val="32"/>
        </w:rPr>
        <w:t>和服务上的交互，从而提升企业</w:t>
      </w:r>
      <w:r>
        <w:fldChar w:fldCharType="begin"/>
      </w:r>
      <w:r>
        <w:instrText xml:space="preserve"> HYPERLINK "https://baike.baidu.com/item/%E7%AE%A1%E7%90%86%E6%96%B9%E5%BC%8F" \t "_blank" </w:instrText>
      </w:r>
      <w:r>
        <w:fldChar w:fldCharType="separate"/>
      </w:r>
      <w:r>
        <w:rPr>
          <w:rFonts w:eastAsia="方正仿宋_GBK"/>
          <w:color w:val="000000"/>
          <w:sz w:val="32"/>
          <w:szCs w:val="32"/>
        </w:rPr>
        <w:t>管理方式</w:t>
      </w:r>
      <w:r>
        <w:rPr>
          <w:rFonts w:eastAsia="方正仿宋_GBK"/>
          <w:color w:val="000000"/>
          <w:sz w:val="32"/>
          <w:szCs w:val="32"/>
        </w:rPr>
        <w:fldChar w:fldCharType="end"/>
      </w:r>
      <w:r>
        <w:rPr>
          <w:rFonts w:eastAsia="方正仿宋_GBK"/>
          <w:color w:val="000000"/>
          <w:sz w:val="32"/>
          <w:szCs w:val="32"/>
        </w:rPr>
        <w:t>，向客户提供创新的、个性化的交互和服务。</w:t>
      </w:r>
    </w:p>
    <w:p>
      <w:pPr>
        <w:numPr>
          <w:ilvl w:val="0"/>
          <w:numId w:val="1"/>
        </w:numPr>
        <w:spacing w:line="560" w:lineRule="exact"/>
        <w:ind w:left="0" w:firstLine="84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客户服务。选用呼叫中心、客服工作台、智能客服机器人等云端客户服务，打造高效智能客服体系，向客户提供智能服务和个性化服务。</w:t>
      </w:r>
    </w:p>
    <w:p>
      <w:pPr>
        <w:spacing w:line="560" w:lineRule="exact"/>
        <w:ind w:firstLine="640" w:firstLineChars="200"/>
        <w:rPr>
          <w:rFonts w:eastAsia="方正仿宋_GBK"/>
          <w:b/>
          <w:bCs/>
          <w:sz w:val="32"/>
          <w:szCs w:val="32"/>
        </w:rPr>
      </w:pPr>
      <w:r>
        <w:rPr>
          <w:rFonts w:eastAsia="方正仿宋_GBK"/>
          <w:b/>
          <w:bCs/>
          <w:sz w:val="32"/>
          <w:szCs w:val="32"/>
        </w:rPr>
        <w:t>3、数据上云</w:t>
      </w:r>
    </w:p>
    <w:p>
      <w:pPr>
        <w:spacing w:line="560" w:lineRule="exact"/>
        <w:ind w:firstLine="64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（1）基础数据。将企业在人力资源、财务、行政等日常经营管理过程中产生的数据上传到云端，并对其进行分析及展现。</w:t>
      </w:r>
    </w:p>
    <w:p>
      <w:pPr>
        <w:spacing w:line="560" w:lineRule="exact"/>
        <w:ind w:firstLine="64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（2）设计数据。将设计过程的制图、仿真、逆向、试验、优化等数据上传到云端，并对其进行分析及展现。</w:t>
      </w:r>
    </w:p>
    <w:p>
      <w:pPr>
        <w:spacing w:line="560" w:lineRule="exact"/>
        <w:ind w:firstLine="64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（3）生产数据。将生产过程的产能、进度、质量、耗损等数据上传至云端，并对其进行分析及展现。</w:t>
      </w:r>
    </w:p>
    <w:p>
      <w:pPr>
        <w:tabs>
          <w:tab w:val="center" w:pos="4153"/>
        </w:tabs>
        <w:spacing w:line="560" w:lineRule="exact"/>
        <w:ind w:firstLine="64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（4）物流数据。将物流、资金流、信息流、商流等数据上传至云端，并对其进行分析及展现。</w:t>
      </w:r>
    </w:p>
    <w:p>
      <w:pPr>
        <w:spacing w:line="560" w:lineRule="exact"/>
        <w:ind w:firstLine="64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（5）销售数据。将销售过程的销售额、销售利润、订单信息、用户消费习惯等数据上传到云端，并对其进行分析及展现。</w:t>
      </w:r>
    </w:p>
    <w:p>
      <w:pPr>
        <w:spacing w:line="560" w:lineRule="exact"/>
        <w:ind w:firstLine="64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（6）服务数据。将服务过程的客户信息、客户满意度、产品运行、健康状况等数据上传到云端，并对其进行分析及展现。</w:t>
      </w:r>
    </w:p>
    <w:p>
      <w:pPr>
        <w:spacing w:line="560" w:lineRule="exact"/>
        <w:ind w:firstLine="640" w:firstLineChars="200"/>
        <w:rPr>
          <w:rFonts w:eastAsia="方正楷体_GBK"/>
          <w:sz w:val="32"/>
          <w:szCs w:val="32"/>
        </w:rPr>
      </w:pPr>
      <w:r>
        <w:rPr>
          <w:rFonts w:eastAsia="方正楷体_GBK"/>
          <w:sz w:val="32"/>
          <w:szCs w:val="32"/>
        </w:rPr>
        <w:t>（二）设备上云</w:t>
      </w:r>
    </w:p>
    <w:p>
      <w:pPr>
        <w:spacing w:line="560" w:lineRule="exact"/>
        <w:ind w:firstLine="640" w:firstLineChars="200"/>
        <w:rPr>
          <w:rFonts w:eastAsia="方正仿宋_GBK"/>
          <w:bCs/>
          <w:sz w:val="32"/>
          <w:szCs w:val="32"/>
        </w:rPr>
      </w:pPr>
      <w:r>
        <w:rPr>
          <w:rFonts w:eastAsia="方正仿宋_GBK"/>
          <w:sz w:val="32"/>
          <w:szCs w:val="32"/>
        </w:rPr>
        <w:t>企业可通过私有云、公有云或混合云的模式，实现高能耗设备、通用动力设备、新能源设备、智能装备等工业设备接入云端，结合边缘侧对数据处理和分析，获得设备管理、数据监控、决策优化等云端服务。</w:t>
      </w:r>
    </w:p>
    <w:p>
      <w:pPr>
        <w:spacing w:line="560" w:lineRule="exact"/>
        <w:ind w:firstLine="640"/>
        <w:rPr>
          <w:rFonts w:eastAsia="方正仿宋_GBK"/>
          <w:b/>
          <w:bCs/>
          <w:sz w:val="32"/>
          <w:szCs w:val="32"/>
        </w:rPr>
      </w:pPr>
      <w:r>
        <w:rPr>
          <w:rFonts w:eastAsia="方正仿宋_GBK"/>
          <w:b/>
          <w:bCs/>
          <w:sz w:val="32"/>
          <w:szCs w:val="32"/>
        </w:rPr>
        <w:t>1、设备接入</w:t>
      </w:r>
    </w:p>
    <w:p>
      <w:pPr>
        <w:spacing w:line="56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（1）高能耗设备。将炼铁高炉、工业锅炉等高能耗设备接入云端，开展设备状态监测、工况优化、故障诊断和远程运维等服务，提高设备能源利用效率、减少污染物排放、强化风险防范能力。</w:t>
      </w:r>
    </w:p>
    <w:p>
      <w:pPr>
        <w:spacing w:line="56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（2）通用动力设备。将柴油发动机、大中型电机、大型空压机等通用动力设备接入云端，开展运行监测、故障预警、预测性维护、能效优化等服务，保障设备安全、可靠、稳定、高效运行。</w:t>
      </w:r>
    </w:p>
    <w:p>
      <w:pPr>
        <w:spacing w:line="56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（3）新能源设备。将风电、光伏等新能源设备接入云端，开展设备建模、功率预测、调度优化等服务，提高发电效率、降低运维成本，提高并网效率。</w:t>
      </w:r>
    </w:p>
    <w:p>
      <w:pPr>
        <w:spacing w:line="56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（4）智能装备。将工程机械、数控机床等智能化水平较高的设备接入云端，开展设备资产管理、健康监测、运营优化、能力交易、安全操作等服务，培育网络化协同制造、供应链金融、设备租赁等新模式。</w:t>
      </w:r>
    </w:p>
    <w:p>
      <w:pPr>
        <w:spacing w:line="560" w:lineRule="exact"/>
        <w:ind w:firstLine="640" w:firstLineChars="200"/>
        <w:rPr>
          <w:rFonts w:eastAsia="方正仿宋_GBK"/>
          <w:b/>
          <w:bCs/>
          <w:sz w:val="32"/>
          <w:szCs w:val="32"/>
        </w:rPr>
      </w:pPr>
      <w:r>
        <w:rPr>
          <w:rFonts w:eastAsia="方正仿宋_GBK"/>
          <w:b/>
          <w:bCs/>
          <w:sz w:val="32"/>
          <w:szCs w:val="32"/>
        </w:rPr>
        <w:t>2、边缘计算</w:t>
      </w:r>
    </w:p>
    <w:p>
      <w:pPr>
        <w:spacing w:line="56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（1）数据处理。在边缘侧对数据进行筛选、压缩、加密等操作，剔除其中无效、异常或冗余的数据，降低数据包容量，提升数据的准确性、可靠性、安全性和保密性等。</w:t>
      </w:r>
    </w:p>
    <w:p>
      <w:pPr>
        <w:spacing w:line="56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（2）数据分析。在边缘侧对处理后的数据进行计算分析，减轻云端计算的压力，形成有用的信息和结论。</w:t>
      </w:r>
    </w:p>
    <w:p>
      <w:pPr>
        <w:spacing w:line="560" w:lineRule="exact"/>
        <w:ind w:firstLine="640" w:firstLineChars="200"/>
        <w:rPr>
          <w:rFonts w:eastAsia="方正仿宋_GBK"/>
          <w:b/>
          <w:bCs/>
          <w:sz w:val="32"/>
          <w:szCs w:val="32"/>
        </w:rPr>
      </w:pPr>
      <w:r>
        <w:rPr>
          <w:rFonts w:eastAsia="方正仿宋_GBK"/>
          <w:b/>
          <w:bCs/>
          <w:sz w:val="32"/>
          <w:szCs w:val="32"/>
        </w:rPr>
        <w:t>3、设备服务</w:t>
      </w:r>
    </w:p>
    <w:p>
      <w:pPr>
        <w:spacing w:line="56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（1）设备管理</w:t>
      </w:r>
    </w:p>
    <w:p>
      <w:pPr>
        <w:numPr>
          <w:ilvl w:val="0"/>
          <w:numId w:val="1"/>
        </w:numPr>
        <w:spacing w:line="560" w:lineRule="exact"/>
        <w:ind w:left="0" w:firstLine="84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设备台账。对设备型号、规格、功能描述等在云端进行电子化管理，形成设备档案，实现设备历史维保记录的追溯。</w:t>
      </w:r>
    </w:p>
    <w:p>
      <w:pPr>
        <w:numPr>
          <w:ilvl w:val="0"/>
          <w:numId w:val="1"/>
        </w:numPr>
        <w:spacing w:line="560" w:lineRule="exact"/>
        <w:ind w:left="0" w:firstLine="84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设备点检。云化实现设备定时提醒、定位打卡、结果上报等功能，加速企业点检过程。</w:t>
      </w:r>
    </w:p>
    <w:p>
      <w:pPr>
        <w:numPr>
          <w:ilvl w:val="0"/>
          <w:numId w:val="1"/>
        </w:numPr>
        <w:spacing w:line="560" w:lineRule="exact"/>
        <w:ind w:left="0" w:firstLine="84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工单管理。通过自定义流程子系统，实现工单在云端的柔性化管理，企业可以自定义工单类型、触发条件、闭环流程等，使企业各类事件能够快速响应。</w:t>
      </w:r>
    </w:p>
    <w:p>
      <w:pPr>
        <w:numPr>
          <w:ilvl w:val="0"/>
          <w:numId w:val="1"/>
        </w:numPr>
        <w:spacing w:line="560" w:lineRule="exact"/>
        <w:ind w:left="0" w:firstLine="856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维修保养。实现设备保养计划、维修申请、现场操作、维保决策等环节在云端的信息化管控，提高企业设备管理效率，降低维保不到位带来的风险。</w:t>
      </w:r>
    </w:p>
    <w:p>
      <w:pPr>
        <w:spacing w:line="56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（2）数据监控</w:t>
      </w:r>
    </w:p>
    <w:p>
      <w:pPr>
        <w:numPr>
          <w:ilvl w:val="0"/>
          <w:numId w:val="1"/>
        </w:numPr>
        <w:spacing w:line="560" w:lineRule="exact"/>
        <w:ind w:left="0" w:firstLine="84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实时数据。通过数据采集链路，将设备的运行状态与运行参数实时展示，数据可以通过订阅推送的方式实时更新。</w:t>
      </w:r>
    </w:p>
    <w:p>
      <w:pPr>
        <w:numPr>
          <w:ilvl w:val="0"/>
          <w:numId w:val="1"/>
        </w:numPr>
        <w:spacing w:line="560" w:lineRule="exact"/>
        <w:ind w:left="0" w:firstLine="84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数据报表。利用数据统计子系统形成各类统计报表，对数据进行处理、分析与展现。</w:t>
      </w:r>
    </w:p>
    <w:p>
      <w:pPr>
        <w:numPr>
          <w:ilvl w:val="0"/>
          <w:numId w:val="1"/>
        </w:numPr>
        <w:spacing w:line="560" w:lineRule="exact"/>
        <w:ind w:left="0" w:firstLine="84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信息追溯。支持查询及回溯设备的历史数据，通过图表形式反映其数据特征与历史趋势。</w:t>
      </w:r>
    </w:p>
    <w:p>
      <w:pPr>
        <w:numPr>
          <w:ilvl w:val="0"/>
          <w:numId w:val="1"/>
        </w:numPr>
        <w:spacing w:line="560" w:lineRule="exact"/>
        <w:ind w:left="0" w:firstLine="84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组态画面。利用组态界面工具，绘制现场拓扑仿真图，实现设备在线情况、异常情况、运行参数等信息的集中展示，把握设备的整体运行情况。</w:t>
      </w:r>
    </w:p>
    <w:p>
      <w:pPr>
        <w:numPr>
          <w:ilvl w:val="0"/>
          <w:numId w:val="1"/>
        </w:numPr>
        <w:spacing w:line="560" w:lineRule="exact"/>
        <w:ind w:left="0" w:firstLine="84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异常报警。通过配置报警策略，设置报警触发条件，当报警触发时可及时收到提醒，并将报警相关的异常数据进行打包，用于分析异常报警时刻数据的波动情况。</w:t>
      </w:r>
    </w:p>
    <w:p>
      <w:pPr>
        <w:numPr>
          <w:ilvl w:val="0"/>
          <w:numId w:val="3"/>
        </w:numPr>
        <w:spacing w:line="56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决策优化</w:t>
      </w:r>
    </w:p>
    <w:p>
      <w:pPr>
        <w:numPr>
          <w:ilvl w:val="0"/>
          <w:numId w:val="1"/>
        </w:numPr>
        <w:spacing w:line="560" w:lineRule="exact"/>
        <w:ind w:left="0" w:firstLine="84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反向控制。在保证安全的前提下，通过网络链路在云端对设备进行远程控制，以实现设备参数调整、停启、执行等操作。</w:t>
      </w:r>
    </w:p>
    <w:p>
      <w:pPr>
        <w:numPr>
          <w:ilvl w:val="0"/>
          <w:numId w:val="1"/>
        </w:numPr>
        <w:spacing w:line="560" w:lineRule="exact"/>
        <w:ind w:left="0" w:firstLine="84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优化执行。基于数据分析结果、知识库等，实现设备算法的自我优化及执行过程的自我决策。</w:t>
      </w:r>
    </w:p>
    <w:p>
      <w:pPr>
        <w:spacing w:line="560" w:lineRule="exact"/>
        <w:ind w:firstLine="640" w:firstLineChars="200"/>
        <w:rPr>
          <w:rFonts w:eastAsia="方正楷体_GBK"/>
          <w:sz w:val="32"/>
          <w:szCs w:val="32"/>
        </w:rPr>
      </w:pPr>
      <w:r>
        <w:rPr>
          <w:rFonts w:eastAsia="方正楷体_GBK"/>
          <w:sz w:val="32"/>
          <w:szCs w:val="32"/>
        </w:rPr>
        <w:t>（三）上云成效</w:t>
      </w:r>
    </w:p>
    <w:p>
      <w:pPr>
        <w:spacing w:line="56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通过实施上云，帮助企业降低信息化建设和运维成本，基于数据可视化、设备可视化实现节能减排、经营管控能力增强、生产效率提升、业务模式优化。在此基础上，进一步利用云计算、大数据、物联网、人工智能、区块链等先进技术，消除信息孤岛，实现各系统间及各业务环节间的数据联通、共享，在市场交易分析和预测、产品/设备远程监控与运维、产品质量管控及工艺优化、产业链协同、企业运营分析和预测、安全生产、基于云计算的新型制造模式等方面取得显著应用成效。</w:t>
      </w:r>
    </w:p>
    <w:p>
      <w:pPr>
        <w:numPr>
          <w:ilvl w:val="0"/>
          <w:numId w:val="4"/>
        </w:numPr>
        <w:spacing w:line="560" w:lineRule="exact"/>
        <w:ind w:firstLine="642"/>
        <w:rPr>
          <w:rFonts w:eastAsia="方正仿宋_GBK"/>
          <w:b/>
          <w:bCs/>
          <w:sz w:val="32"/>
          <w:szCs w:val="32"/>
        </w:rPr>
      </w:pPr>
      <w:r>
        <w:rPr>
          <w:rFonts w:eastAsia="方正仿宋_GBK"/>
          <w:b/>
          <w:bCs/>
          <w:sz w:val="32"/>
          <w:szCs w:val="32"/>
        </w:rPr>
        <w:t>基础应用</w:t>
      </w:r>
    </w:p>
    <w:p>
      <w:pPr>
        <w:numPr>
          <w:ilvl w:val="0"/>
          <w:numId w:val="5"/>
        </w:numPr>
        <w:spacing w:line="560" w:lineRule="exact"/>
        <w:ind w:firstLine="640" w:firstLineChars="20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成本下降。通过采用云服务的方式，实现企业信息化实施和运维成本，以及设计、生产、物流、销售、服务等环节运营成本的降低。</w:t>
      </w:r>
    </w:p>
    <w:p>
      <w:pPr>
        <w:numPr>
          <w:ilvl w:val="0"/>
          <w:numId w:val="5"/>
        </w:numPr>
        <w:spacing w:line="560" w:lineRule="exact"/>
        <w:ind w:firstLine="640" w:firstLineChars="20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数据可视化。基于云服务，借助图形化手段，将企业研发设计、生产制造、运维服务、经营管理等信息进行清晰有效地传达与展示。</w:t>
      </w:r>
    </w:p>
    <w:p>
      <w:pPr>
        <w:numPr>
          <w:ilvl w:val="0"/>
          <w:numId w:val="5"/>
        </w:numPr>
        <w:spacing w:line="560" w:lineRule="exact"/>
        <w:ind w:firstLine="640" w:firstLineChars="20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设备可视化。利用云服务，实现设备位置、状态、能耗等数据与信息的集中化展示与管理。</w:t>
      </w:r>
    </w:p>
    <w:p>
      <w:pPr>
        <w:numPr>
          <w:ilvl w:val="0"/>
          <w:numId w:val="5"/>
        </w:numPr>
        <w:spacing w:line="560" w:lineRule="exact"/>
        <w:ind w:firstLine="640" w:firstLineChars="20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节能减排。利用云服务，实现环境、设备能耗等信息的采集、存储、管理和分析，优化能源管理流程、提升能源利用效率。</w:t>
      </w:r>
    </w:p>
    <w:p>
      <w:pPr>
        <w:numPr>
          <w:ilvl w:val="0"/>
          <w:numId w:val="5"/>
        </w:numPr>
        <w:spacing w:line="560" w:lineRule="exact"/>
        <w:ind w:firstLine="640" w:firstLineChars="20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经营管控能力增强。利用云服务，对人员、设备、物料、数据等资源采用数字化手段进行集中管理，优化设计、生产、物流、销售、服务等环节的组织方式和管理模式，提升企业的整体经营管控能力。</w:t>
      </w:r>
    </w:p>
    <w:p>
      <w:pPr>
        <w:numPr>
          <w:ilvl w:val="0"/>
          <w:numId w:val="5"/>
        </w:numPr>
        <w:spacing w:line="560" w:lineRule="exact"/>
        <w:ind w:firstLine="640" w:firstLineChars="20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生产效率提升。利用云服务，形成以数据为核心驱动要素的生产制造和服务体系，提高资源配置能力，提升企业生产制造效率。</w:t>
      </w:r>
    </w:p>
    <w:p>
      <w:pPr>
        <w:numPr>
          <w:ilvl w:val="0"/>
          <w:numId w:val="5"/>
        </w:numPr>
        <w:spacing w:line="560" w:lineRule="exact"/>
        <w:ind w:firstLine="640" w:firstLineChars="20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业务模式优化。利用云服务，推动生产和服务资源优化配置，推进制造体系和服务体系再造，持续提升产品质量和服务水平，促进企业业务模式的持续优化。</w:t>
      </w:r>
    </w:p>
    <w:p>
      <w:pPr>
        <w:numPr>
          <w:ilvl w:val="0"/>
          <w:numId w:val="4"/>
        </w:numPr>
        <w:spacing w:line="560" w:lineRule="exact"/>
        <w:ind w:firstLine="642"/>
        <w:rPr>
          <w:rFonts w:eastAsia="方正仿宋_GBK"/>
          <w:b/>
          <w:bCs/>
          <w:sz w:val="32"/>
          <w:szCs w:val="32"/>
        </w:rPr>
      </w:pPr>
      <w:r>
        <w:rPr>
          <w:rFonts w:eastAsia="方正仿宋_GBK"/>
          <w:b/>
          <w:bCs/>
          <w:sz w:val="32"/>
          <w:szCs w:val="32"/>
        </w:rPr>
        <w:t>基于数据+模型的创新应用</w:t>
      </w:r>
    </w:p>
    <w:p>
      <w:pPr>
        <w:spacing w:line="56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（1）市场交易分析和预测。</w:t>
      </w:r>
      <w:r>
        <w:rPr>
          <w:rFonts w:eastAsia="方正仿宋_GBK"/>
          <w:sz w:val="32"/>
          <w:szCs w:val="32"/>
        </w:rPr>
        <w:t>基于云化的核心业务系统，利用大数据和人工智能等技术，对市场交易数据、交易行为进行分析，预测市场趋势，为企业发展提供有效决策支持。</w:t>
      </w:r>
    </w:p>
    <w:p>
      <w:pPr>
        <w:spacing w:line="560" w:lineRule="exact"/>
        <w:ind w:firstLine="640" w:firstLineChars="20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（2）产品/设备远程监控与运维。在产品/设备全生命周期中运维服务阶段，利用云计算、大数据、人工智能、区块链、工业互联网等信息化和智能技术，实现产品/设备状态监测、健康及故障诊断、预测分析、预防性管理等远程的监控与运维。</w:t>
      </w:r>
    </w:p>
    <w:p>
      <w:pPr>
        <w:spacing w:line="560" w:lineRule="exact"/>
        <w:ind w:firstLine="640" w:firstLineChars="20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（3）产品质量管控及工艺优化。基于云化的核心业务系统，通过数据采集、数据清洗、数据分析等手段，实现产品质量检测和控制，以及通过对产品生产、销售及售后相关反馈信息的收集，实现对产品功能、工艺等方面的优化和改进。</w:t>
      </w:r>
    </w:p>
    <w:p>
      <w:pPr>
        <w:spacing w:line="56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（4）产业链协同。</w:t>
      </w:r>
      <w:r>
        <w:rPr>
          <w:rFonts w:eastAsia="方正仿宋_GBK"/>
          <w:sz w:val="32"/>
          <w:szCs w:val="32"/>
        </w:rPr>
        <w:t>通过设置产业链不同环节间的物流、资金流、信息流、工作流和增值流等一系列要素，推动横向、纵向和端到端的集成，实现价值链、企业链、供需链和空间链的优化配置和提升，促进产业链中上下游的高效运转与协同创新。</w:t>
      </w:r>
    </w:p>
    <w:p>
      <w:pPr>
        <w:spacing w:line="560" w:lineRule="exact"/>
        <w:ind w:firstLine="640" w:firstLineChars="20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（5）企业运营分析和预测。通过收集、融合、分析企业运营过程中的各类数据，打通企业核心价值链，对企业的运营数据进行实时呈现，客观展示企业全景，并利用机器学习技术和预测模型，演绎企业的未来趋势，为企业运营现状分析和未来预测提供支撑，帮助企业跨越增长瓶颈，实现可持续改善。</w:t>
      </w:r>
    </w:p>
    <w:p>
      <w:pPr>
        <w:spacing w:line="560" w:lineRule="exact"/>
        <w:ind w:firstLine="640" w:firstLineChars="20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（6）安全生产。基于工业互联网/工业云平台，利用模型、工具集、知识等，获取工业安全生产的感知、监测、预警、处置和评估服务，实现安全生产从静态分析向动态感知、事后应急向事前预防、单点防控向全局联防的转变，提升工业生产本质安全水平。</w:t>
      </w:r>
    </w:p>
    <w:p>
      <w:pPr>
        <w:spacing w:line="560" w:lineRule="exact"/>
        <w:ind w:firstLine="640" w:firstLineChars="20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（7）基于云计算的新型制造模式</w:t>
      </w:r>
    </w:p>
    <w:p>
      <w:pPr>
        <w:numPr>
          <w:ilvl w:val="0"/>
          <w:numId w:val="1"/>
        </w:numPr>
        <w:spacing w:line="560" w:lineRule="exact"/>
        <w:ind w:left="0" w:firstLine="84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智能制造。基于新一代信息通信技术与先进制造技术深度融合，贯穿于设计、生产、管理、服务等制造活动的各个环节，具有自感知、自学习、自决策、自执行、自适应等功能的新型生产方式。</w:t>
      </w:r>
    </w:p>
    <w:p>
      <w:pPr>
        <w:numPr>
          <w:ilvl w:val="0"/>
          <w:numId w:val="1"/>
        </w:numPr>
        <w:spacing w:line="560" w:lineRule="exact"/>
        <w:ind w:left="0" w:firstLine="84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个性化定制。以用户或订单为中心，根据产品总体结构或原型，结合个性化需求完成产品设计和生产制造。</w:t>
      </w:r>
    </w:p>
    <w:p>
      <w:pPr>
        <w:numPr>
          <w:ilvl w:val="0"/>
          <w:numId w:val="1"/>
        </w:numPr>
        <w:spacing w:line="560" w:lineRule="exact"/>
        <w:ind w:left="0" w:firstLine="84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网络协同制造。利用云计算、大数据、人工智能、工业互联网等先进技术，将串行工作变为并行工程，实现供应链内及跨供应链间的企业产品设计、制造、管理和商务等协作的生产模式。</w:t>
      </w:r>
    </w:p>
    <w:p>
      <w:pPr>
        <w:numPr>
          <w:ilvl w:val="0"/>
          <w:numId w:val="1"/>
        </w:numPr>
        <w:spacing w:line="560" w:lineRule="exact"/>
        <w:ind w:left="0" w:firstLine="84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服务型制造。将物理或虚拟资源进行服务化封装，对封装的服务进行建模和描述并发布到工业互联网/工业云平台，提供生产性服务和服务性生产，实现分散化制造资源的整合和企业核心竞争力的高效利用，使得以传统产品制造为核心的模式向以提供服务为核心的模式转变。</w:t>
      </w:r>
    </w:p>
    <w:p>
      <w:pPr>
        <w:spacing w:line="560" w:lineRule="exact"/>
        <w:ind w:firstLine="640" w:firstLineChars="200"/>
        <w:rPr>
          <w:rFonts w:eastAsia="黑体"/>
          <w:bCs/>
          <w:sz w:val="32"/>
          <w:szCs w:val="32"/>
        </w:rPr>
      </w:pPr>
      <w:r>
        <w:rPr>
          <w:rFonts w:eastAsia="黑体"/>
          <w:bCs/>
          <w:sz w:val="32"/>
          <w:szCs w:val="32"/>
        </w:rPr>
        <w:t>四、评定标准</w:t>
      </w:r>
    </w:p>
    <w:p>
      <w:pPr>
        <w:spacing w:line="560" w:lineRule="exact"/>
        <w:ind w:firstLine="642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根据企业上云实践、业务上云、数据上云和设备上云、企业上云成效，评定企业上云的星级。具体如下表所示。</w:t>
      </w:r>
    </w:p>
    <w:tbl>
      <w:tblPr>
        <w:tblStyle w:val="8"/>
        <w:tblW w:w="0" w:type="auto"/>
        <w:tblInd w:w="-7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4"/>
        <w:gridCol w:w="1347"/>
        <w:gridCol w:w="1011"/>
        <w:gridCol w:w="2033"/>
        <w:gridCol w:w="910"/>
        <w:gridCol w:w="849"/>
        <w:gridCol w:w="850"/>
        <w:gridCol w:w="8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6" w:hRule="atLeast"/>
          <w:tblHeader/>
        </w:trPr>
        <w:tc>
          <w:tcPr>
            <w:tcW w:w="744" w:type="dxa"/>
            <w:shd w:val="clear" w:color="auto" w:fill="D7D7D7"/>
            <w:vAlign w:val="center"/>
          </w:tcPr>
          <w:p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类</w:t>
            </w:r>
          </w:p>
        </w:tc>
        <w:tc>
          <w:tcPr>
            <w:tcW w:w="1347" w:type="dxa"/>
            <w:shd w:val="clear" w:color="auto" w:fill="D7D7D7"/>
            <w:vAlign w:val="center"/>
          </w:tcPr>
          <w:p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子类</w:t>
            </w:r>
          </w:p>
        </w:tc>
        <w:tc>
          <w:tcPr>
            <w:tcW w:w="1011" w:type="dxa"/>
            <w:shd w:val="clear" w:color="auto" w:fill="D7D7D7"/>
            <w:vAlign w:val="center"/>
          </w:tcPr>
          <w:p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域</w:t>
            </w:r>
          </w:p>
        </w:tc>
        <w:tc>
          <w:tcPr>
            <w:tcW w:w="2033" w:type="dxa"/>
            <w:shd w:val="clear" w:color="auto" w:fill="D7D7D7"/>
            <w:vAlign w:val="center"/>
          </w:tcPr>
          <w:p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子域</w:t>
            </w:r>
          </w:p>
        </w:tc>
        <w:tc>
          <w:tcPr>
            <w:tcW w:w="910" w:type="dxa"/>
            <w:shd w:val="clear" w:color="auto" w:fill="D7D7D7"/>
            <w:vAlign w:val="center"/>
          </w:tcPr>
          <w:p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三星</w:t>
            </w:r>
          </w:p>
        </w:tc>
        <w:tc>
          <w:tcPr>
            <w:tcW w:w="849" w:type="dxa"/>
            <w:shd w:val="clear" w:color="auto" w:fill="D7D7D7"/>
            <w:vAlign w:val="center"/>
          </w:tcPr>
          <w:p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四星</w:t>
            </w:r>
          </w:p>
        </w:tc>
        <w:tc>
          <w:tcPr>
            <w:tcW w:w="850" w:type="dxa"/>
            <w:shd w:val="clear" w:color="auto" w:fill="D7D7D7"/>
            <w:vAlign w:val="center"/>
          </w:tcPr>
          <w:p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五星</w:t>
            </w:r>
          </w:p>
        </w:tc>
        <w:tc>
          <w:tcPr>
            <w:tcW w:w="849" w:type="dxa"/>
            <w:shd w:val="clear" w:color="auto" w:fill="D7D7D7"/>
            <w:vAlign w:val="center"/>
          </w:tcPr>
          <w:p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3" w:hRule="atLeast"/>
        </w:trPr>
        <w:tc>
          <w:tcPr>
            <w:tcW w:w="2091" w:type="dxa"/>
            <w:gridSpan w:val="2"/>
            <w:vMerge w:val="restart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上云实践</w:t>
            </w:r>
          </w:p>
        </w:tc>
        <w:tc>
          <w:tcPr>
            <w:tcW w:w="3044" w:type="dxa"/>
            <w:gridSpan w:val="2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上云背景</w:t>
            </w:r>
          </w:p>
        </w:tc>
        <w:tc>
          <w:tcPr>
            <w:tcW w:w="2609" w:type="dxa"/>
            <w:gridSpan w:val="3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具有明确的上云需求，相关描述清晰、准确</w:t>
            </w:r>
          </w:p>
        </w:tc>
        <w:tc>
          <w:tcPr>
            <w:tcW w:w="849" w:type="dxa"/>
            <w:vMerge w:val="restart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--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6" w:hRule="atLeast"/>
        </w:trPr>
        <w:tc>
          <w:tcPr>
            <w:tcW w:w="2091" w:type="dxa"/>
            <w:gridSpan w:val="2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44" w:type="dxa"/>
            <w:gridSpan w:val="2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上云方案</w:t>
            </w:r>
          </w:p>
        </w:tc>
        <w:tc>
          <w:tcPr>
            <w:tcW w:w="2609" w:type="dxa"/>
            <w:gridSpan w:val="3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具有完整、规范、科学的上云方案；具有具体、全面、系统的上云实施措施</w:t>
            </w: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744" w:type="dxa"/>
            <w:vMerge w:val="restart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业务上云</w:t>
            </w:r>
          </w:p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restart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基础云服务</w:t>
            </w:r>
          </w:p>
        </w:tc>
        <w:tc>
          <w:tcPr>
            <w:tcW w:w="3044" w:type="dxa"/>
            <w:gridSpan w:val="2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计算资源</w:t>
            </w:r>
          </w:p>
        </w:tc>
        <w:tc>
          <w:tcPr>
            <w:tcW w:w="910" w:type="dxa"/>
            <w:vMerge w:val="restart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至少实现任意五项子域内容</w:t>
            </w:r>
          </w:p>
        </w:tc>
        <w:tc>
          <w:tcPr>
            <w:tcW w:w="849" w:type="dxa"/>
            <w:vMerge w:val="restart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--</w:t>
            </w:r>
          </w:p>
        </w:tc>
        <w:tc>
          <w:tcPr>
            <w:tcW w:w="850" w:type="dxa"/>
            <w:vMerge w:val="restart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至少实现任意六项子域内容</w:t>
            </w:r>
          </w:p>
        </w:tc>
        <w:tc>
          <w:tcPr>
            <w:tcW w:w="849" w:type="dxa"/>
            <w:vMerge w:val="restart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三星级只需满足任意两项子类要求；</w:t>
            </w:r>
          </w:p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五星级三项子类要求须同时满足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44" w:type="dxa"/>
            <w:gridSpan w:val="2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存储资源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44" w:type="dxa"/>
            <w:gridSpan w:val="2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数据库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44" w:type="dxa"/>
            <w:gridSpan w:val="2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管理工具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11" w:type="dxa"/>
            <w:vMerge w:val="restart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安全</w:t>
            </w:r>
          </w:p>
        </w:tc>
        <w:tc>
          <w:tcPr>
            <w:tcW w:w="2033" w:type="dxa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数据安全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3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11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33" w:type="dxa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业务安全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11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33" w:type="dxa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网络安全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11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33" w:type="dxa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工业系统安全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11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33" w:type="dxa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云灾备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restart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工业APP应用</w:t>
            </w:r>
          </w:p>
        </w:tc>
        <w:tc>
          <w:tcPr>
            <w:tcW w:w="1011" w:type="dxa"/>
            <w:vMerge w:val="restart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设计</w:t>
            </w:r>
          </w:p>
        </w:tc>
        <w:tc>
          <w:tcPr>
            <w:tcW w:w="2033" w:type="dxa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研发设计应用</w:t>
            </w:r>
          </w:p>
        </w:tc>
        <w:tc>
          <w:tcPr>
            <w:tcW w:w="910" w:type="dxa"/>
            <w:vMerge w:val="restart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至少实现任意四项子域内容</w:t>
            </w: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restart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至少实现任意五项子域内容</w:t>
            </w: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1011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33" w:type="dxa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研发设计案例库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11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33" w:type="dxa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研发设计协同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11" w:type="dxa"/>
            <w:vMerge w:val="restart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生产</w:t>
            </w:r>
          </w:p>
        </w:tc>
        <w:tc>
          <w:tcPr>
            <w:tcW w:w="2033" w:type="dxa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生产排产管理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11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33" w:type="dxa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制造执行系统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11" w:type="dxa"/>
            <w:vMerge w:val="restart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物流</w:t>
            </w:r>
          </w:p>
        </w:tc>
        <w:tc>
          <w:tcPr>
            <w:tcW w:w="2033" w:type="dxa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供应链关系管理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11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33" w:type="dxa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采购管理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11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33" w:type="dxa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物流管理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11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33" w:type="dxa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企业资源规划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11" w:type="dxa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销售</w:t>
            </w:r>
          </w:p>
        </w:tc>
        <w:tc>
          <w:tcPr>
            <w:tcW w:w="2033" w:type="dxa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电商系统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11" w:type="dxa"/>
            <w:vMerge w:val="restart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服务</w:t>
            </w:r>
          </w:p>
        </w:tc>
        <w:tc>
          <w:tcPr>
            <w:tcW w:w="2033" w:type="dxa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客户资源管理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11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33" w:type="dxa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客户服务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44" w:type="dxa"/>
            <w:gridSpan w:val="2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其他工业APP应用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restart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数据上云</w:t>
            </w:r>
          </w:p>
        </w:tc>
        <w:tc>
          <w:tcPr>
            <w:tcW w:w="3044" w:type="dxa"/>
            <w:gridSpan w:val="2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基础数据</w:t>
            </w:r>
          </w:p>
        </w:tc>
        <w:tc>
          <w:tcPr>
            <w:tcW w:w="910" w:type="dxa"/>
            <w:vMerge w:val="restart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至少实现任意四项子域内容</w:t>
            </w: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restart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至少实现任意五项子域内容</w:t>
            </w: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44" w:type="dxa"/>
            <w:gridSpan w:val="2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设计数据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44" w:type="dxa"/>
            <w:gridSpan w:val="2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生产数据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44" w:type="dxa"/>
            <w:gridSpan w:val="2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物流数据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44" w:type="dxa"/>
            <w:gridSpan w:val="2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销售数据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44" w:type="dxa"/>
            <w:gridSpan w:val="2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服务数据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" w:hRule="atLeast"/>
        </w:trPr>
        <w:tc>
          <w:tcPr>
            <w:tcW w:w="744" w:type="dxa"/>
            <w:vMerge w:val="restart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设备上云</w:t>
            </w:r>
          </w:p>
        </w:tc>
        <w:tc>
          <w:tcPr>
            <w:tcW w:w="1347" w:type="dxa"/>
            <w:vMerge w:val="restart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工业设备接入</w:t>
            </w:r>
            <w:r>
              <w:rPr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3044" w:type="dxa"/>
            <w:gridSpan w:val="2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高能耗设备</w:t>
            </w:r>
          </w:p>
        </w:tc>
        <w:tc>
          <w:tcPr>
            <w:tcW w:w="910" w:type="dxa"/>
            <w:vMerge w:val="restart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--</w:t>
            </w:r>
          </w:p>
        </w:tc>
        <w:tc>
          <w:tcPr>
            <w:tcW w:w="849" w:type="dxa"/>
            <w:vMerge w:val="restart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至少实现任意一项子域内容</w:t>
            </w:r>
          </w:p>
        </w:tc>
        <w:tc>
          <w:tcPr>
            <w:tcW w:w="850" w:type="dxa"/>
            <w:vMerge w:val="restart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至少实现任意一项子域内容</w:t>
            </w:r>
          </w:p>
        </w:tc>
        <w:tc>
          <w:tcPr>
            <w:tcW w:w="849" w:type="dxa"/>
            <w:vMerge w:val="restart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--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44" w:type="dxa"/>
            <w:gridSpan w:val="2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通用动力设备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44" w:type="dxa"/>
            <w:gridSpan w:val="2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新能源设备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44" w:type="dxa"/>
            <w:gridSpan w:val="2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智能装备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44" w:type="dxa"/>
            <w:gridSpan w:val="2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接入工业设备价值（万元）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910" w:type="dxa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--</w:t>
            </w:r>
          </w:p>
        </w:tc>
        <w:tc>
          <w:tcPr>
            <w:tcW w:w="849" w:type="dxa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</w:t>
            </w: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restart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边缘计算</w:t>
            </w:r>
          </w:p>
        </w:tc>
        <w:tc>
          <w:tcPr>
            <w:tcW w:w="3044" w:type="dxa"/>
            <w:gridSpan w:val="2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数据处理</w:t>
            </w:r>
          </w:p>
        </w:tc>
        <w:tc>
          <w:tcPr>
            <w:tcW w:w="910" w:type="dxa"/>
            <w:vMerge w:val="restart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--</w:t>
            </w:r>
          </w:p>
        </w:tc>
        <w:tc>
          <w:tcPr>
            <w:tcW w:w="849" w:type="dxa"/>
            <w:vMerge w:val="restart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2"/>
                <w:szCs w:val="22"/>
              </w:rPr>
              <w:t>至少实现任意八项子域内容</w:t>
            </w:r>
          </w:p>
        </w:tc>
        <w:tc>
          <w:tcPr>
            <w:tcW w:w="850" w:type="dxa"/>
            <w:vMerge w:val="restart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至少实现任意九项子域内容</w:t>
            </w:r>
          </w:p>
        </w:tc>
        <w:tc>
          <w:tcPr>
            <w:tcW w:w="849" w:type="dxa"/>
            <w:vMerge w:val="restart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--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44" w:type="dxa"/>
            <w:gridSpan w:val="2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数据分析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restart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设备服务</w:t>
            </w:r>
          </w:p>
        </w:tc>
        <w:tc>
          <w:tcPr>
            <w:tcW w:w="1011" w:type="dxa"/>
            <w:vMerge w:val="restart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设备</w:t>
            </w:r>
          </w:p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管理</w:t>
            </w:r>
          </w:p>
        </w:tc>
        <w:tc>
          <w:tcPr>
            <w:tcW w:w="2033" w:type="dxa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设备台账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11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33" w:type="dxa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设备点检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11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33" w:type="dxa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工单管理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6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11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33" w:type="dxa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维修保养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11" w:type="dxa"/>
            <w:vMerge w:val="restart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数据</w:t>
            </w:r>
          </w:p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监控</w:t>
            </w:r>
          </w:p>
        </w:tc>
        <w:tc>
          <w:tcPr>
            <w:tcW w:w="2033" w:type="dxa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实时数据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11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33" w:type="dxa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数据报表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11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33" w:type="dxa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信息追溯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11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33" w:type="dxa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组态画面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11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33" w:type="dxa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异常报警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11" w:type="dxa"/>
            <w:vMerge w:val="restart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决策</w:t>
            </w:r>
          </w:p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优化</w:t>
            </w:r>
          </w:p>
        </w:tc>
        <w:tc>
          <w:tcPr>
            <w:tcW w:w="2033" w:type="dxa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反向控制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11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33" w:type="dxa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执行优化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32" w:hRule="atLeast"/>
        </w:trPr>
        <w:tc>
          <w:tcPr>
            <w:tcW w:w="744" w:type="dxa"/>
            <w:vMerge w:val="restart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上云成效</w:t>
            </w:r>
          </w:p>
        </w:tc>
        <w:tc>
          <w:tcPr>
            <w:tcW w:w="1347" w:type="dxa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上云时间</w:t>
            </w:r>
          </w:p>
        </w:tc>
        <w:tc>
          <w:tcPr>
            <w:tcW w:w="3044" w:type="dxa"/>
            <w:gridSpan w:val="2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所填报的各项云服务均已连续使用不少于3个月且申报时仍在使用</w:t>
            </w:r>
          </w:p>
        </w:tc>
        <w:tc>
          <w:tcPr>
            <w:tcW w:w="910" w:type="dxa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√</w:t>
            </w:r>
          </w:p>
        </w:tc>
        <w:tc>
          <w:tcPr>
            <w:tcW w:w="849" w:type="dxa"/>
            <w:vAlign w:val="center"/>
          </w:tcPr>
          <w:p>
            <w:pPr>
              <w:tabs>
                <w:tab w:val="left" w:pos="446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√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√</w:t>
            </w:r>
          </w:p>
        </w:tc>
        <w:tc>
          <w:tcPr>
            <w:tcW w:w="849" w:type="dxa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--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58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restart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上云投入</w:t>
            </w:r>
            <w:r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3044" w:type="dxa"/>
            <w:gridSpan w:val="2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高于3万元</w:t>
            </w:r>
          </w:p>
        </w:tc>
        <w:tc>
          <w:tcPr>
            <w:tcW w:w="910" w:type="dxa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√</w:t>
            </w:r>
          </w:p>
        </w:tc>
        <w:tc>
          <w:tcPr>
            <w:tcW w:w="849" w:type="dxa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--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--</w:t>
            </w:r>
          </w:p>
        </w:tc>
        <w:tc>
          <w:tcPr>
            <w:tcW w:w="849" w:type="dxa"/>
            <w:vMerge w:val="restart"/>
            <w:vAlign w:val="center"/>
          </w:tcPr>
          <w:p>
            <w:pPr>
              <w:spacing w:line="240" w:lineRule="exact"/>
              <w:ind w:left="7" w:leftChars="-74" w:right="-60" w:rightChars="-29" w:hanging="162" w:hangingChars="74"/>
              <w:rPr>
                <w:szCs w:val="21"/>
              </w:rPr>
            </w:pPr>
            <w:r>
              <w:rPr>
                <w:rFonts w:hint="eastAsia"/>
                <w:sz w:val="22"/>
                <w:szCs w:val="22"/>
              </w:rPr>
              <w:t>上云投入截止时间按规定要求计算</w:t>
            </w:r>
            <w:r>
              <w:rPr>
                <w:sz w:val="22"/>
                <w:szCs w:val="22"/>
              </w:rPr>
              <w:t>（合同、付款凭证、发票兼具，以实际付款金额为准）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58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44" w:type="dxa"/>
            <w:gridSpan w:val="2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高于10万元</w:t>
            </w:r>
          </w:p>
        </w:tc>
        <w:tc>
          <w:tcPr>
            <w:tcW w:w="910" w:type="dxa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--</w:t>
            </w:r>
          </w:p>
        </w:tc>
        <w:tc>
          <w:tcPr>
            <w:tcW w:w="849" w:type="dxa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√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--</w:t>
            </w: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58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44" w:type="dxa"/>
            <w:gridSpan w:val="2"/>
            <w:vAlign w:val="center"/>
          </w:tcPr>
          <w:p>
            <w:pPr>
              <w:tabs>
                <w:tab w:val="center" w:pos="1316"/>
                <w:tab w:val="right" w:pos="2513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高于30万元</w:t>
            </w:r>
          </w:p>
        </w:tc>
        <w:tc>
          <w:tcPr>
            <w:tcW w:w="910" w:type="dxa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--</w:t>
            </w:r>
          </w:p>
        </w:tc>
        <w:tc>
          <w:tcPr>
            <w:tcW w:w="849" w:type="dxa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--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√</w:t>
            </w: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restart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基础应用</w:t>
            </w:r>
          </w:p>
        </w:tc>
        <w:tc>
          <w:tcPr>
            <w:tcW w:w="3044" w:type="dxa"/>
            <w:gridSpan w:val="2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成本下降</w:t>
            </w:r>
          </w:p>
        </w:tc>
        <w:tc>
          <w:tcPr>
            <w:tcW w:w="910" w:type="dxa"/>
            <w:vMerge w:val="restart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至少实现任意四项子域内容</w:t>
            </w:r>
          </w:p>
        </w:tc>
        <w:tc>
          <w:tcPr>
            <w:tcW w:w="849" w:type="dxa"/>
            <w:vMerge w:val="restart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至少实现任意五项子域内容</w:t>
            </w:r>
          </w:p>
        </w:tc>
        <w:tc>
          <w:tcPr>
            <w:tcW w:w="850" w:type="dxa"/>
            <w:vMerge w:val="restart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至少实现任意六项子域内容</w:t>
            </w:r>
          </w:p>
        </w:tc>
        <w:tc>
          <w:tcPr>
            <w:tcW w:w="849" w:type="dxa"/>
            <w:vMerge w:val="restart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--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44" w:type="dxa"/>
            <w:gridSpan w:val="2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数据可视化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44" w:type="dxa"/>
            <w:gridSpan w:val="2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设备可视化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44" w:type="dxa"/>
            <w:gridSpan w:val="2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节能减排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44" w:type="dxa"/>
            <w:gridSpan w:val="2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经营管控能力增强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44" w:type="dxa"/>
            <w:gridSpan w:val="2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生产效率提升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44" w:type="dxa"/>
            <w:gridSpan w:val="2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业务模式优化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44" w:type="dxa"/>
            <w:gridSpan w:val="2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其他基础应用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restart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基于数据+模型的创新应用</w:t>
            </w:r>
          </w:p>
        </w:tc>
        <w:tc>
          <w:tcPr>
            <w:tcW w:w="3044" w:type="dxa"/>
            <w:gridSpan w:val="2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市场交易分析和预测</w:t>
            </w:r>
          </w:p>
        </w:tc>
        <w:tc>
          <w:tcPr>
            <w:tcW w:w="910" w:type="dxa"/>
            <w:vMerge w:val="restart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--</w:t>
            </w:r>
          </w:p>
        </w:tc>
        <w:tc>
          <w:tcPr>
            <w:tcW w:w="849" w:type="dxa"/>
            <w:vMerge w:val="restart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--</w:t>
            </w:r>
          </w:p>
        </w:tc>
        <w:tc>
          <w:tcPr>
            <w:tcW w:w="850" w:type="dxa"/>
            <w:vMerge w:val="restart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至少实现任意一项子域内容</w:t>
            </w: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44" w:type="dxa"/>
            <w:gridSpan w:val="2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产品/设备远程监控与运维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44" w:type="dxa"/>
            <w:gridSpan w:val="2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产品质量管控及工艺优化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44" w:type="dxa"/>
            <w:gridSpan w:val="2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产业链协同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44" w:type="dxa"/>
            <w:gridSpan w:val="2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企业运营分析和预测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44" w:type="dxa"/>
            <w:gridSpan w:val="2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安全生产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11" w:type="dxa"/>
            <w:vMerge w:val="restart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基于云计算的新型制造模式</w:t>
            </w:r>
          </w:p>
        </w:tc>
        <w:tc>
          <w:tcPr>
            <w:tcW w:w="2033" w:type="dxa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智能制造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11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33" w:type="dxa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个性化定制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11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33" w:type="dxa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网络协同制造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9" w:hRule="atLeast"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11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33" w:type="dxa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服务型制造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744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7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44" w:type="dxa"/>
            <w:gridSpan w:val="2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其他创新应用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9" w:type="dxa"/>
            <w:vMerge w:val="continue"/>
            <w:vAlign w:val="center"/>
          </w:tcPr>
          <w:p>
            <w:pPr>
              <w:jc w:val="center"/>
              <w:rPr>
                <w:sz w:val="22"/>
                <w:szCs w:val="22"/>
              </w:rPr>
            </w:pPr>
          </w:p>
        </w:tc>
      </w:tr>
    </w:tbl>
    <w:p>
      <w:pPr>
        <w:spacing w:line="400" w:lineRule="exact"/>
        <w:rPr>
          <w:rFonts w:eastAsia="黑体"/>
          <w:bCs/>
          <w:sz w:val="28"/>
          <w:szCs w:val="28"/>
        </w:rPr>
      </w:pPr>
      <w:r>
        <w:rPr>
          <w:rFonts w:eastAsia="黑体"/>
          <w:bCs/>
          <w:sz w:val="28"/>
          <w:szCs w:val="28"/>
        </w:rPr>
        <w:t>注：1、上云设备主要包括高能耗设备、通用动力设备、新能源设备、智能装备等服务于企业生产制造环节的工业设备；2、接入工业设备价值为企业采购工业设备时的实际付款金额；3、上云投入主要包括服务器、防火墙、智能传感、网关、联网改造等云基础设施的采购投入，云产品、云服务、云解决方案的采购投入，以及云运营投入；上云投入仅认定企业申报该星级所要求子域的相关投入。</w:t>
      </w:r>
    </w:p>
    <w:p>
      <w:pPr>
        <w:spacing w:line="560" w:lineRule="exact"/>
        <w:ind w:firstLine="640" w:firstLineChars="200"/>
        <w:rPr>
          <w:rFonts w:eastAsia="黑体"/>
          <w:bCs/>
          <w:sz w:val="32"/>
          <w:szCs w:val="32"/>
        </w:rPr>
      </w:pPr>
      <w:r>
        <w:rPr>
          <w:rFonts w:eastAsia="黑体"/>
          <w:bCs/>
          <w:sz w:val="32"/>
          <w:szCs w:val="32"/>
        </w:rPr>
        <w:t>五、评定程序</w:t>
      </w:r>
    </w:p>
    <w:p>
      <w:pPr>
        <w:spacing w:line="560" w:lineRule="exact"/>
        <w:rPr>
          <w:rFonts w:eastAsia="方正楷体_GBK"/>
          <w:sz w:val="32"/>
          <w:szCs w:val="32"/>
        </w:rPr>
      </w:pPr>
      <w:r>
        <w:rPr>
          <w:rFonts w:eastAsia="方正楷体_GBK"/>
          <w:sz w:val="32"/>
          <w:szCs w:val="32"/>
        </w:rPr>
        <w:t xml:space="preserve">    （一）企业申请</w:t>
      </w:r>
    </w:p>
    <w:p>
      <w:pPr>
        <w:spacing w:line="560" w:lineRule="exact"/>
        <w:ind w:firstLine="641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1、各申报企业根据自身意愿、上云情况和申报星级，填写《星级上云企业评定申请表》及配套证明材料，《评定申请表》由法人代表签字并加盖公章扫描后，齐套电子版材料通过线上申报平台提交企业工商注册登记所在地县（市、区）工信部门。</w:t>
      </w:r>
    </w:p>
    <w:p>
      <w:pPr>
        <w:widowControl/>
        <w:snapToGrid w:val="0"/>
        <w:spacing w:line="600" w:lineRule="exact"/>
        <w:ind w:firstLine="64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2、申报企业须为在江苏省注册且具有独立法人资格。企业可根据自身上云建设应用实际情况，在三星级、四星级、五星级中任选一类进行申报。其中：申报四星级的须已评定为三星级，申报五星级的须已评定为四星级，已获评星级的不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得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重复申报同一及以下星级。</w:t>
      </w:r>
    </w:p>
    <w:p>
      <w:pPr>
        <w:spacing w:line="560" w:lineRule="exact"/>
        <w:rPr>
          <w:rFonts w:eastAsia="方正楷体_GBK"/>
          <w:sz w:val="32"/>
          <w:szCs w:val="32"/>
        </w:rPr>
      </w:pPr>
      <w:r>
        <w:rPr>
          <w:rFonts w:eastAsia="方正楷体_GBK"/>
          <w:sz w:val="32"/>
          <w:szCs w:val="32"/>
        </w:rPr>
        <w:t xml:space="preserve">    （二）申报和评定</w:t>
      </w:r>
    </w:p>
    <w:p>
      <w:pPr>
        <w:spacing w:line="560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1、各设区市工信局依据本指南要求组织开展三星级、四星级上云企业申报评定以及五星级上云企业审核推荐工作。</w:t>
      </w:r>
    </w:p>
    <w:p>
      <w:pPr>
        <w:spacing w:line="560" w:lineRule="exact"/>
        <w:ind w:firstLine="64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2、省工信厅依据本指南要求组织开展五星级上云企业评定工作。</w:t>
      </w:r>
      <w:bookmarkStart w:id="0" w:name="_GoBack"/>
      <w:bookmarkEnd w:id="0"/>
    </w:p>
    <w:p>
      <w:pPr>
        <w:spacing w:line="560" w:lineRule="exact"/>
        <w:ind w:firstLine="640" w:firstLineChars="200"/>
        <w:rPr>
          <w:rFonts w:eastAsia="方正楷体_GBK"/>
          <w:sz w:val="32"/>
          <w:szCs w:val="32"/>
        </w:rPr>
      </w:pPr>
      <w:r>
        <w:rPr>
          <w:rFonts w:eastAsia="方正楷体_GBK"/>
          <w:sz w:val="32"/>
          <w:szCs w:val="32"/>
        </w:rPr>
        <w:t>（三）结果发布</w:t>
      </w:r>
    </w:p>
    <w:p>
      <w:pPr>
        <w:numPr>
          <w:ilvl w:val="0"/>
          <w:numId w:val="6"/>
        </w:numPr>
        <w:spacing w:line="560" w:lineRule="exact"/>
        <w:ind w:firstLine="64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各设区市工信局经企业申报、项目评定、现场核查、信用审查、公示公布等程序后，将评定结果报省工信厅备案。</w:t>
      </w:r>
    </w:p>
    <w:p>
      <w:pPr>
        <w:numPr>
          <w:ilvl w:val="0"/>
          <w:numId w:val="6"/>
        </w:numPr>
        <w:spacing w:line="560" w:lineRule="exact"/>
        <w:ind w:firstLine="64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省工信厅经评定、信用审查、公示等环节后，发布省三星级、四星级、五星级上云企业名单。</w:t>
      </w:r>
    </w:p>
    <w:p>
      <w:pPr>
        <w:spacing w:line="560" w:lineRule="exact"/>
        <w:ind w:firstLine="640" w:firstLineChars="200"/>
        <w:rPr>
          <w:rFonts w:eastAsia="黑体"/>
          <w:bCs/>
          <w:sz w:val="32"/>
          <w:szCs w:val="32"/>
        </w:rPr>
      </w:pPr>
      <w:r>
        <w:rPr>
          <w:rFonts w:eastAsia="黑体"/>
          <w:bCs/>
          <w:sz w:val="32"/>
          <w:szCs w:val="32"/>
        </w:rPr>
        <w:t>六、附则</w:t>
      </w:r>
    </w:p>
    <w:p>
      <w:pPr>
        <w:spacing w:line="560" w:lineRule="exact"/>
        <w:ind w:firstLine="640" w:firstLineChars="200"/>
        <w:rPr>
          <w:rFonts w:ascii="Times New Roman" w:hAnsi="Times New Roman" w:eastAsia="方正黑体_GBK" w:cs="Times New Roman"/>
          <w:sz w:val="36"/>
          <w:szCs w:val="32"/>
        </w:rPr>
      </w:pPr>
      <w:r>
        <w:rPr>
          <w:rFonts w:eastAsia="方正仿宋_GBK"/>
          <w:kern w:val="0"/>
          <w:sz w:val="32"/>
          <w:szCs w:val="32"/>
        </w:rPr>
        <w:t>本指南自发布之日起正式施行，前期版本指南废</w:t>
      </w:r>
    </w:p>
    <w:p>
      <w:pPr>
        <w:widowControl/>
        <w:spacing w:line="360" w:lineRule="auto"/>
        <w:ind w:firstLine="720" w:firstLineChars="200"/>
        <w:jc w:val="left"/>
        <w:rPr>
          <w:rFonts w:ascii="Times New Roman" w:hAnsi="Times New Roman" w:eastAsia="方正黑体_GBK" w:cs="Times New Roman"/>
          <w:sz w:val="36"/>
          <w:szCs w:val="32"/>
        </w:rPr>
      </w:pPr>
    </w:p>
    <w:sectPr>
      <w:footerReference r:id="rId3" w:type="default"/>
      <w:pgSz w:w="11906" w:h="16838"/>
      <w:pgMar w:top="1814" w:right="1531" w:bottom="1985" w:left="1531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小标宋_GBK">
    <w:panose1 w:val="02000000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440909633"/>
    </w:sdtPr>
    <w:sdtContent>
      <w:p>
        <w:pPr>
          <w:pStyle w:val="6"/>
          <w:jc w:val="center"/>
        </w:pPr>
        <w:r>
          <w:rPr>
            <w:rFonts w:ascii="Times New Roman" w:hAnsi="Times New Roman" w:cs="Times New Roman"/>
            <w:sz w:val="28"/>
          </w:rPr>
          <w:fldChar w:fldCharType="begin"/>
        </w:r>
        <w:r>
          <w:rPr>
            <w:rFonts w:ascii="Times New Roman" w:hAnsi="Times New Roman" w:cs="Times New Roman"/>
            <w:sz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</w:rPr>
          <w:fldChar w:fldCharType="separate"/>
        </w:r>
        <w:r>
          <w:rPr>
            <w:rFonts w:ascii="Times New Roman" w:hAnsi="Times New Roman" w:cs="Times New Roman"/>
            <w:sz w:val="28"/>
            <w:lang w:val="zh-CN"/>
          </w:rPr>
          <w:t>28</w:t>
        </w:r>
        <w:r>
          <w:rPr>
            <w:rFonts w:ascii="Times New Roman" w:hAnsi="Times New Roman" w:cs="Times New Roman"/>
            <w:sz w:val="28"/>
          </w:rPr>
          <w:fldChar w:fldCharType="end"/>
        </w:r>
      </w:p>
    </w:sdtContent>
  </w:sdt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465B1FA"/>
    <w:multiLevelType w:val="singleLevel"/>
    <w:tmpl w:val="9465B1FA"/>
    <w:lvl w:ilvl="0" w:tentative="0">
      <w:start w:val="1"/>
      <w:numFmt w:val="decimal"/>
      <w:suff w:val="nothing"/>
      <w:lvlText w:val="（%1）"/>
      <w:lvlJc w:val="left"/>
    </w:lvl>
  </w:abstractNum>
  <w:abstractNum w:abstractNumId="1">
    <w:nsid w:val="CE8B8713"/>
    <w:multiLevelType w:val="singleLevel"/>
    <w:tmpl w:val="CE8B8713"/>
    <w:lvl w:ilvl="0" w:tentative="0">
      <w:start w:val="1"/>
      <w:numFmt w:val="decimal"/>
      <w:suff w:val="nothing"/>
      <w:lvlText w:val="%1、"/>
      <w:lvlJc w:val="left"/>
    </w:lvl>
  </w:abstractNum>
  <w:abstractNum w:abstractNumId="2">
    <w:nsid w:val="5AB37AAE"/>
    <w:multiLevelType w:val="multilevel"/>
    <w:tmpl w:val="5AB37AAE"/>
    <w:lvl w:ilvl="0" w:tentative="0">
      <w:start w:val="1"/>
      <w:numFmt w:val="bullet"/>
      <w:lvlText w:val=""/>
      <w:lvlJc w:val="left"/>
      <w:pPr>
        <w:ind w:left="420" w:hanging="420"/>
      </w:pPr>
      <w:rPr>
        <w:rFonts w:hint="default" w:ascii="Wingdings" w:hAnsi="Wingdings"/>
      </w:rPr>
    </w:lvl>
    <w:lvl w:ilvl="1" w:tentative="0">
      <w:start w:val="1"/>
      <w:numFmt w:val="bullet"/>
      <w:lvlText w:val=""/>
      <w:lvlJc w:val="left"/>
      <w:pPr>
        <w:tabs>
          <w:tab w:val="left" w:pos="840"/>
        </w:tabs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tabs>
          <w:tab w:val="left" w:pos="1260"/>
        </w:tabs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tabs>
          <w:tab w:val="left" w:pos="1680"/>
        </w:tabs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tabs>
          <w:tab w:val="left" w:pos="2100"/>
        </w:tabs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tabs>
          <w:tab w:val="left" w:pos="2520"/>
        </w:tabs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tabs>
          <w:tab w:val="left" w:pos="2940"/>
        </w:tabs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tabs>
          <w:tab w:val="left" w:pos="3360"/>
        </w:tabs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tabs>
          <w:tab w:val="left" w:pos="3780"/>
        </w:tabs>
        <w:ind w:left="3780" w:hanging="420"/>
      </w:pPr>
      <w:rPr>
        <w:rFonts w:hint="default" w:ascii="Wingdings" w:hAnsi="Wingdings"/>
      </w:rPr>
    </w:lvl>
  </w:abstractNum>
  <w:abstractNum w:abstractNumId="3">
    <w:nsid w:val="5AB382CF"/>
    <w:multiLevelType w:val="singleLevel"/>
    <w:tmpl w:val="5AB382CF"/>
    <w:lvl w:ilvl="0" w:tentative="0">
      <w:start w:val="1"/>
      <w:numFmt w:val="decimal"/>
      <w:suff w:val="nothing"/>
      <w:lvlText w:val="%1、"/>
      <w:lvlJc w:val="left"/>
    </w:lvl>
  </w:abstractNum>
  <w:abstractNum w:abstractNumId="4">
    <w:nsid w:val="5BF528E6"/>
    <w:multiLevelType w:val="singleLevel"/>
    <w:tmpl w:val="5BF528E6"/>
    <w:lvl w:ilvl="0" w:tentative="0">
      <w:start w:val="2"/>
      <w:numFmt w:val="decimal"/>
      <w:suff w:val="nothing"/>
      <w:lvlText w:val="（%1）"/>
      <w:lvlJc w:val="left"/>
    </w:lvl>
  </w:abstractNum>
  <w:abstractNum w:abstractNumId="5">
    <w:nsid w:val="5BF65683"/>
    <w:multiLevelType w:val="singleLevel"/>
    <w:tmpl w:val="5BF65683"/>
    <w:lvl w:ilvl="0" w:tentative="0">
      <w:start w:val="3"/>
      <w:numFmt w:val="decimal"/>
      <w:suff w:val="nothing"/>
      <w:lvlText w:val="（%1）"/>
      <w:lvlJc w:val="left"/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3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hideSpellingErrors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mZiYTgwYWYzZGE3MjdlODI3MTVhN2I1ZjBhYzcxZDkifQ=="/>
  </w:docVars>
  <w:rsids>
    <w:rsidRoot w:val="3B936EC9"/>
    <w:rsid w:val="000016C9"/>
    <w:rsid w:val="00007155"/>
    <w:rsid w:val="00016A8E"/>
    <w:rsid w:val="00017F23"/>
    <w:rsid w:val="000225DE"/>
    <w:rsid w:val="00031287"/>
    <w:rsid w:val="00031F09"/>
    <w:rsid w:val="00031F2A"/>
    <w:rsid w:val="00032883"/>
    <w:rsid w:val="00035308"/>
    <w:rsid w:val="00043D01"/>
    <w:rsid w:val="000458D6"/>
    <w:rsid w:val="00046923"/>
    <w:rsid w:val="000544D2"/>
    <w:rsid w:val="00056D9A"/>
    <w:rsid w:val="00060E7F"/>
    <w:rsid w:val="0006216F"/>
    <w:rsid w:val="000651DF"/>
    <w:rsid w:val="00065D6A"/>
    <w:rsid w:val="00066AC3"/>
    <w:rsid w:val="00067C01"/>
    <w:rsid w:val="00067D4E"/>
    <w:rsid w:val="000725D0"/>
    <w:rsid w:val="00073761"/>
    <w:rsid w:val="000739C2"/>
    <w:rsid w:val="00076EE8"/>
    <w:rsid w:val="0008496B"/>
    <w:rsid w:val="00092D3C"/>
    <w:rsid w:val="000A0B46"/>
    <w:rsid w:val="000A2A94"/>
    <w:rsid w:val="000A318D"/>
    <w:rsid w:val="000A6180"/>
    <w:rsid w:val="000B1461"/>
    <w:rsid w:val="000B1A79"/>
    <w:rsid w:val="000C1664"/>
    <w:rsid w:val="000D12E6"/>
    <w:rsid w:val="000D51E7"/>
    <w:rsid w:val="000D6499"/>
    <w:rsid w:val="000E3C8C"/>
    <w:rsid w:val="000F1974"/>
    <w:rsid w:val="000F57D3"/>
    <w:rsid w:val="00101C28"/>
    <w:rsid w:val="00101D2E"/>
    <w:rsid w:val="00114152"/>
    <w:rsid w:val="00122D59"/>
    <w:rsid w:val="00122FFB"/>
    <w:rsid w:val="0012386E"/>
    <w:rsid w:val="001263CF"/>
    <w:rsid w:val="001268CB"/>
    <w:rsid w:val="00142B19"/>
    <w:rsid w:val="001441F4"/>
    <w:rsid w:val="00151E5D"/>
    <w:rsid w:val="00165FD5"/>
    <w:rsid w:val="00175D6C"/>
    <w:rsid w:val="00175F9C"/>
    <w:rsid w:val="00186CBD"/>
    <w:rsid w:val="00192A22"/>
    <w:rsid w:val="001A0E9B"/>
    <w:rsid w:val="001A1128"/>
    <w:rsid w:val="001A36A0"/>
    <w:rsid w:val="001B4256"/>
    <w:rsid w:val="001C2D83"/>
    <w:rsid w:val="001C62CC"/>
    <w:rsid w:val="001E25E7"/>
    <w:rsid w:val="001E48E9"/>
    <w:rsid w:val="001E761D"/>
    <w:rsid w:val="001F0EE7"/>
    <w:rsid w:val="00206A3C"/>
    <w:rsid w:val="00215B22"/>
    <w:rsid w:val="00217973"/>
    <w:rsid w:val="00217991"/>
    <w:rsid w:val="00230E05"/>
    <w:rsid w:val="0023215D"/>
    <w:rsid w:val="00242C58"/>
    <w:rsid w:val="002450F0"/>
    <w:rsid w:val="00245300"/>
    <w:rsid w:val="002500FC"/>
    <w:rsid w:val="00251066"/>
    <w:rsid w:val="00251F00"/>
    <w:rsid w:val="00265B68"/>
    <w:rsid w:val="002661BC"/>
    <w:rsid w:val="00270217"/>
    <w:rsid w:val="00293A7C"/>
    <w:rsid w:val="00294BFD"/>
    <w:rsid w:val="00297F56"/>
    <w:rsid w:val="002A48A6"/>
    <w:rsid w:val="002B103E"/>
    <w:rsid w:val="002B3EB5"/>
    <w:rsid w:val="002C6671"/>
    <w:rsid w:val="002D3064"/>
    <w:rsid w:val="002D597F"/>
    <w:rsid w:val="002E6B4E"/>
    <w:rsid w:val="002E6C30"/>
    <w:rsid w:val="00301D27"/>
    <w:rsid w:val="0030488B"/>
    <w:rsid w:val="00306486"/>
    <w:rsid w:val="00312A42"/>
    <w:rsid w:val="003130A1"/>
    <w:rsid w:val="0032425F"/>
    <w:rsid w:val="003275BE"/>
    <w:rsid w:val="00333619"/>
    <w:rsid w:val="0034085D"/>
    <w:rsid w:val="0034483D"/>
    <w:rsid w:val="0034572B"/>
    <w:rsid w:val="003579D2"/>
    <w:rsid w:val="003616C2"/>
    <w:rsid w:val="00366048"/>
    <w:rsid w:val="0036646D"/>
    <w:rsid w:val="003770C6"/>
    <w:rsid w:val="00381F3B"/>
    <w:rsid w:val="003847F8"/>
    <w:rsid w:val="00385311"/>
    <w:rsid w:val="00386D87"/>
    <w:rsid w:val="003967AD"/>
    <w:rsid w:val="003A212A"/>
    <w:rsid w:val="003B10C6"/>
    <w:rsid w:val="003B1DA3"/>
    <w:rsid w:val="003C1E21"/>
    <w:rsid w:val="003C21B9"/>
    <w:rsid w:val="003C5549"/>
    <w:rsid w:val="003C5C81"/>
    <w:rsid w:val="003D0314"/>
    <w:rsid w:val="003D1CD0"/>
    <w:rsid w:val="003D3C61"/>
    <w:rsid w:val="003D774C"/>
    <w:rsid w:val="003E3195"/>
    <w:rsid w:val="003E341A"/>
    <w:rsid w:val="003F3EA5"/>
    <w:rsid w:val="003F6B2C"/>
    <w:rsid w:val="00420463"/>
    <w:rsid w:val="0042063C"/>
    <w:rsid w:val="00423150"/>
    <w:rsid w:val="004344D9"/>
    <w:rsid w:val="00436EA8"/>
    <w:rsid w:val="00445D8D"/>
    <w:rsid w:val="004517E4"/>
    <w:rsid w:val="00453972"/>
    <w:rsid w:val="00464B6F"/>
    <w:rsid w:val="0047218E"/>
    <w:rsid w:val="00474D6F"/>
    <w:rsid w:val="0047674A"/>
    <w:rsid w:val="004916C7"/>
    <w:rsid w:val="004A5321"/>
    <w:rsid w:val="004B1ED7"/>
    <w:rsid w:val="004B2793"/>
    <w:rsid w:val="004B4A25"/>
    <w:rsid w:val="004D17DA"/>
    <w:rsid w:val="004D1C1A"/>
    <w:rsid w:val="004F2DF4"/>
    <w:rsid w:val="00503163"/>
    <w:rsid w:val="005078AD"/>
    <w:rsid w:val="005140E5"/>
    <w:rsid w:val="005265C7"/>
    <w:rsid w:val="00530D81"/>
    <w:rsid w:val="00535AD4"/>
    <w:rsid w:val="00535E1F"/>
    <w:rsid w:val="00540A80"/>
    <w:rsid w:val="00552C8E"/>
    <w:rsid w:val="00561165"/>
    <w:rsid w:val="00563510"/>
    <w:rsid w:val="00567352"/>
    <w:rsid w:val="00570410"/>
    <w:rsid w:val="00576299"/>
    <w:rsid w:val="00582758"/>
    <w:rsid w:val="00590B05"/>
    <w:rsid w:val="00594D10"/>
    <w:rsid w:val="005961DA"/>
    <w:rsid w:val="005965EC"/>
    <w:rsid w:val="005A22DF"/>
    <w:rsid w:val="005A4488"/>
    <w:rsid w:val="005A4698"/>
    <w:rsid w:val="005A617D"/>
    <w:rsid w:val="005B12D8"/>
    <w:rsid w:val="005B68C0"/>
    <w:rsid w:val="005C07E3"/>
    <w:rsid w:val="005E2550"/>
    <w:rsid w:val="005E6F00"/>
    <w:rsid w:val="005F5359"/>
    <w:rsid w:val="005F77EE"/>
    <w:rsid w:val="00603006"/>
    <w:rsid w:val="00612D13"/>
    <w:rsid w:val="00613F88"/>
    <w:rsid w:val="00616861"/>
    <w:rsid w:val="00621930"/>
    <w:rsid w:val="006223EA"/>
    <w:rsid w:val="00625549"/>
    <w:rsid w:val="006319CF"/>
    <w:rsid w:val="00644ADC"/>
    <w:rsid w:val="00650892"/>
    <w:rsid w:val="00661849"/>
    <w:rsid w:val="00661E82"/>
    <w:rsid w:val="006622A4"/>
    <w:rsid w:val="00666CDE"/>
    <w:rsid w:val="00670CF3"/>
    <w:rsid w:val="006A046E"/>
    <w:rsid w:val="006A674F"/>
    <w:rsid w:val="006B4A87"/>
    <w:rsid w:val="006B4D77"/>
    <w:rsid w:val="006B53C0"/>
    <w:rsid w:val="006C4646"/>
    <w:rsid w:val="006C489C"/>
    <w:rsid w:val="006C73A0"/>
    <w:rsid w:val="006D125B"/>
    <w:rsid w:val="006D5131"/>
    <w:rsid w:val="006F12EE"/>
    <w:rsid w:val="006F19E5"/>
    <w:rsid w:val="006F4A56"/>
    <w:rsid w:val="00703984"/>
    <w:rsid w:val="00703A6A"/>
    <w:rsid w:val="007048CC"/>
    <w:rsid w:val="007147F7"/>
    <w:rsid w:val="00717F00"/>
    <w:rsid w:val="00725A34"/>
    <w:rsid w:val="00725F35"/>
    <w:rsid w:val="00774F00"/>
    <w:rsid w:val="00776F22"/>
    <w:rsid w:val="007777AE"/>
    <w:rsid w:val="00781191"/>
    <w:rsid w:val="0078166C"/>
    <w:rsid w:val="0078652F"/>
    <w:rsid w:val="00791DDF"/>
    <w:rsid w:val="007A0A14"/>
    <w:rsid w:val="007A41CE"/>
    <w:rsid w:val="007A5679"/>
    <w:rsid w:val="007D0073"/>
    <w:rsid w:val="007F04AE"/>
    <w:rsid w:val="007F2968"/>
    <w:rsid w:val="007F7DA8"/>
    <w:rsid w:val="00834545"/>
    <w:rsid w:val="00834CC3"/>
    <w:rsid w:val="0083517B"/>
    <w:rsid w:val="00842A6B"/>
    <w:rsid w:val="0085772D"/>
    <w:rsid w:val="00857D2A"/>
    <w:rsid w:val="00862921"/>
    <w:rsid w:val="00865B96"/>
    <w:rsid w:val="00884D61"/>
    <w:rsid w:val="0088760E"/>
    <w:rsid w:val="00896456"/>
    <w:rsid w:val="008A41F2"/>
    <w:rsid w:val="008A61EA"/>
    <w:rsid w:val="008A7CB5"/>
    <w:rsid w:val="008B0234"/>
    <w:rsid w:val="008C2E46"/>
    <w:rsid w:val="008D2AF2"/>
    <w:rsid w:val="008D7E3C"/>
    <w:rsid w:val="008E1F27"/>
    <w:rsid w:val="008F46C6"/>
    <w:rsid w:val="009003C6"/>
    <w:rsid w:val="00901937"/>
    <w:rsid w:val="00905B62"/>
    <w:rsid w:val="00905D8C"/>
    <w:rsid w:val="009101E8"/>
    <w:rsid w:val="00917A2C"/>
    <w:rsid w:val="009227A9"/>
    <w:rsid w:val="00940E61"/>
    <w:rsid w:val="0094380A"/>
    <w:rsid w:val="00945CD3"/>
    <w:rsid w:val="0095599A"/>
    <w:rsid w:val="0096249F"/>
    <w:rsid w:val="009643F7"/>
    <w:rsid w:val="00967529"/>
    <w:rsid w:val="00973C03"/>
    <w:rsid w:val="00982828"/>
    <w:rsid w:val="0098420E"/>
    <w:rsid w:val="00984C79"/>
    <w:rsid w:val="009859AD"/>
    <w:rsid w:val="00990454"/>
    <w:rsid w:val="00990AA2"/>
    <w:rsid w:val="0099137B"/>
    <w:rsid w:val="009916A5"/>
    <w:rsid w:val="00991ECC"/>
    <w:rsid w:val="009933AF"/>
    <w:rsid w:val="009B2AAF"/>
    <w:rsid w:val="009B2DED"/>
    <w:rsid w:val="009B51B0"/>
    <w:rsid w:val="009B7BA8"/>
    <w:rsid w:val="009C4A32"/>
    <w:rsid w:val="009C5B67"/>
    <w:rsid w:val="009C67E2"/>
    <w:rsid w:val="009C6A6C"/>
    <w:rsid w:val="009D4484"/>
    <w:rsid w:val="009D58BA"/>
    <w:rsid w:val="00A0369B"/>
    <w:rsid w:val="00A21167"/>
    <w:rsid w:val="00A615F8"/>
    <w:rsid w:val="00A63C76"/>
    <w:rsid w:val="00A701D4"/>
    <w:rsid w:val="00A73CB2"/>
    <w:rsid w:val="00A7752B"/>
    <w:rsid w:val="00A808CD"/>
    <w:rsid w:val="00A83015"/>
    <w:rsid w:val="00A83F2F"/>
    <w:rsid w:val="00A925D6"/>
    <w:rsid w:val="00A94F7B"/>
    <w:rsid w:val="00A959DE"/>
    <w:rsid w:val="00AB4517"/>
    <w:rsid w:val="00AB4EB7"/>
    <w:rsid w:val="00AB6F12"/>
    <w:rsid w:val="00AC1B85"/>
    <w:rsid w:val="00AC6908"/>
    <w:rsid w:val="00AD15E7"/>
    <w:rsid w:val="00AE0646"/>
    <w:rsid w:val="00AE134C"/>
    <w:rsid w:val="00AE64E6"/>
    <w:rsid w:val="00AF1FCE"/>
    <w:rsid w:val="00AF411C"/>
    <w:rsid w:val="00AF4FB3"/>
    <w:rsid w:val="00B009EF"/>
    <w:rsid w:val="00B00C64"/>
    <w:rsid w:val="00B04B05"/>
    <w:rsid w:val="00B064FC"/>
    <w:rsid w:val="00B17056"/>
    <w:rsid w:val="00B31F1D"/>
    <w:rsid w:val="00B377C1"/>
    <w:rsid w:val="00B52B26"/>
    <w:rsid w:val="00B66133"/>
    <w:rsid w:val="00B749A4"/>
    <w:rsid w:val="00B854DB"/>
    <w:rsid w:val="00B861A5"/>
    <w:rsid w:val="00B91CF5"/>
    <w:rsid w:val="00BA4587"/>
    <w:rsid w:val="00BA4EBE"/>
    <w:rsid w:val="00BB4D06"/>
    <w:rsid w:val="00BB54B1"/>
    <w:rsid w:val="00BB7FF1"/>
    <w:rsid w:val="00BC5042"/>
    <w:rsid w:val="00BD2A66"/>
    <w:rsid w:val="00BD33A3"/>
    <w:rsid w:val="00BD567C"/>
    <w:rsid w:val="00BE0970"/>
    <w:rsid w:val="00BE698A"/>
    <w:rsid w:val="00BF02B4"/>
    <w:rsid w:val="00BF6915"/>
    <w:rsid w:val="00C00A5F"/>
    <w:rsid w:val="00C011B4"/>
    <w:rsid w:val="00C0367C"/>
    <w:rsid w:val="00C0370A"/>
    <w:rsid w:val="00C068ED"/>
    <w:rsid w:val="00C10E29"/>
    <w:rsid w:val="00C24D9E"/>
    <w:rsid w:val="00C26155"/>
    <w:rsid w:val="00C30DE9"/>
    <w:rsid w:val="00C316FE"/>
    <w:rsid w:val="00C33469"/>
    <w:rsid w:val="00C3506E"/>
    <w:rsid w:val="00C66842"/>
    <w:rsid w:val="00C7174A"/>
    <w:rsid w:val="00C747C4"/>
    <w:rsid w:val="00C840B8"/>
    <w:rsid w:val="00C8710F"/>
    <w:rsid w:val="00C871A3"/>
    <w:rsid w:val="00C9374F"/>
    <w:rsid w:val="00C96CA4"/>
    <w:rsid w:val="00CA4C5D"/>
    <w:rsid w:val="00CC2D7C"/>
    <w:rsid w:val="00CD383E"/>
    <w:rsid w:val="00CD3E93"/>
    <w:rsid w:val="00CE452C"/>
    <w:rsid w:val="00CF2D31"/>
    <w:rsid w:val="00CF461F"/>
    <w:rsid w:val="00D04A15"/>
    <w:rsid w:val="00D06567"/>
    <w:rsid w:val="00D076A7"/>
    <w:rsid w:val="00D16255"/>
    <w:rsid w:val="00D16BEC"/>
    <w:rsid w:val="00D40566"/>
    <w:rsid w:val="00D421BE"/>
    <w:rsid w:val="00D679AC"/>
    <w:rsid w:val="00D72C7B"/>
    <w:rsid w:val="00D85AEA"/>
    <w:rsid w:val="00D877DD"/>
    <w:rsid w:val="00D90A6F"/>
    <w:rsid w:val="00D91399"/>
    <w:rsid w:val="00DA6DB1"/>
    <w:rsid w:val="00DB152F"/>
    <w:rsid w:val="00DD2637"/>
    <w:rsid w:val="00DD3812"/>
    <w:rsid w:val="00DE43EE"/>
    <w:rsid w:val="00DF2F5D"/>
    <w:rsid w:val="00DF5D59"/>
    <w:rsid w:val="00E04D0A"/>
    <w:rsid w:val="00E22543"/>
    <w:rsid w:val="00E33C57"/>
    <w:rsid w:val="00E42C42"/>
    <w:rsid w:val="00E448BE"/>
    <w:rsid w:val="00E667A1"/>
    <w:rsid w:val="00E66A10"/>
    <w:rsid w:val="00E71554"/>
    <w:rsid w:val="00E7166E"/>
    <w:rsid w:val="00E77410"/>
    <w:rsid w:val="00E850DF"/>
    <w:rsid w:val="00E940B5"/>
    <w:rsid w:val="00E95C6A"/>
    <w:rsid w:val="00E97C86"/>
    <w:rsid w:val="00EA0DB1"/>
    <w:rsid w:val="00EB1583"/>
    <w:rsid w:val="00EC1409"/>
    <w:rsid w:val="00EC3EA9"/>
    <w:rsid w:val="00EC4CB9"/>
    <w:rsid w:val="00EE1383"/>
    <w:rsid w:val="00EE5A39"/>
    <w:rsid w:val="00EF2619"/>
    <w:rsid w:val="00EF28AB"/>
    <w:rsid w:val="00F00D33"/>
    <w:rsid w:val="00F130EE"/>
    <w:rsid w:val="00F15871"/>
    <w:rsid w:val="00F166B0"/>
    <w:rsid w:val="00F17871"/>
    <w:rsid w:val="00F3443C"/>
    <w:rsid w:val="00F34869"/>
    <w:rsid w:val="00F4633B"/>
    <w:rsid w:val="00F707C5"/>
    <w:rsid w:val="00F73448"/>
    <w:rsid w:val="00F73EF4"/>
    <w:rsid w:val="00F76FB9"/>
    <w:rsid w:val="00F775B3"/>
    <w:rsid w:val="00F94653"/>
    <w:rsid w:val="00F95436"/>
    <w:rsid w:val="00FA2118"/>
    <w:rsid w:val="00FA3A52"/>
    <w:rsid w:val="00FB5C41"/>
    <w:rsid w:val="00FC33D6"/>
    <w:rsid w:val="00FD1CD2"/>
    <w:rsid w:val="00FD1E61"/>
    <w:rsid w:val="00FD495C"/>
    <w:rsid w:val="00FD559B"/>
    <w:rsid w:val="00FE31A7"/>
    <w:rsid w:val="00FF2075"/>
    <w:rsid w:val="00FF4AFC"/>
    <w:rsid w:val="03AF1619"/>
    <w:rsid w:val="059A68E7"/>
    <w:rsid w:val="082F326B"/>
    <w:rsid w:val="09051E65"/>
    <w:rsid w:val="091F4606"/>
    <w:rsid w:val="098B750B"/>
    <w:rsid w:val="0A231573"/>
    <w:rsid w:val="0AAC69D5"/>
    <w:rsid w:val="0BD16BD6"/>
    <w:rsid w:val="0BD924EE"/>
    <w:rsid w:val="0C4B7396"/>
    <w:rsid w:val="0CEE52F6"/>
    <w:rsid w:val="0D741A66"/>
    <w:rsid w:val="0D757C8F"/>
    <w:rsid w:val="10477F04"/>
    <w:rsid w:val="13083C0E"/>
    <w:rsid w:val="14903915"/>
    <w:rsid w:val="14D31C8B"/>
    <w:rsid w:val="168E49A3"/>
    <w:rsid w:val="171E0700"/>
    <w:rsid w:val="17B943BD"/>
    <w:rsid w:val="183028D1"/>
    <w:rsid w:val="18F8346E"/>
    <w:rsid w:val="190A34FD"/>
    <w:rsid w:val="19E22AA4"/>
    <w:rsid w:val="1AC27561"/>
    <w:rsid w:val="1D832FBD"/>
    <w:rsid w:val="1DE81558"/>
    <w:rsid w:val="1E376F8A"/>
    <w:rsid w:val="1F791D3A"/>
    <w:rsid w:val="202820DF"/>
    <w:rsid w:val="20684547"/>
    <w:rsid w:val="226B1830"/>
    <w:rsid w:val="236522C0"/>
    <w:rsid w:val="249064A5"/>
    <w:rsid w:val="255A23EB"/>
    <w:rsid w:val="26D72426"/>
    <w:rsid w:val="273447FD"/>
    <w:rsid w:val="294173A8"/>
    <w:rsid w:val="296926F7"/>
    <w:rsid w:val="29817BB1"/>
    <w:rsid w:val="2B7840D6"/>
    <w:rsid w:val="2BEF193A"/>
    <w:rsid w:val="2C026FE3"/>
    <w:rsid w:val="2E777C6D"/>
    <w:rsid w:val="2EA5659F"/>
    <w:rsid w:val="2EEE5B25"/>
    <w:rsid w:val="308D05EC"/>
    <w:rsid w:val="32590F71"/>
    <w:rsid w:val="33266952"/>
    <w:rsid w:val="36290B82"/>
    <w:rsid w:val="373C42B5"/>
    <w:rsid w:val="38150165"/>
    <w:rsid w:val="38A44E7B"/>
    <w:rsid w:val="39BE1D8D"/>
    <w:rsid w:val="3A7948D3"/>
    <w:rsid w:val="3ACF167E"/>
    <w:rsid w:val="3B054D7E"/>
    <w:rsid w:val="3B936EC9"/>
    <w:rsid w:val="3D155293"/>
    <w:rsid w:val="3DBC5C9A"/>
    <w:rsid w:val="3EE2267C"/>
    <w:rsid w:val="3F152BE4"/>
    <w:rsid w:val="40572841"/>
    <w:rsid w:val="411A0383"/>
    <w:rsid w:val="419B4C6B"/>
    <w:rsid w:val="424D6D61"/>
    <w:rsid w:val="4254564C"/>
    <w:rsid w:val="43255676"/>
    <w:rsid w:val="44271EA2"/>
    <w:rsid w:val="44774F45"/>
    <w:rsid w:val="44C87219"/>
    <w:rsid w:val="47911489"/>
    <w:rsid w:val="47C12620"/>
    <w:rsid w:val="486E585E"/>
    <w:rsid w:val="48990868"/>
    <w:rsid w:val="48A0203D"/>
    <w:rsid w:val="4900334A"/>
    <w:rsid w:val="4ABB0CF7"/>
    <w:rsid w:val="4D2E1958"/>
    <w:rsid w:val="4DE231BB"/>
    <w:rsid w:val="4EEA7A72"/>
    <w:rsid w:val="5475533D"/>
    <w:rsid w:val="557C1FAA"/>
    <w:rsid w:val="58006EC2"/>
    <w:rsid w:val="582D3605"/>
    <w:rsid w:val="59B65BAF"/>
    <w:rsid w:val="5A1804F3"/>
    <w:rsid w:val="5B1D345B"/>
    <w:rsid w:val="5C6817B8"/>
    <w:rsid w:val="5D2436A2"/>
    <w:rsid w:val="60F8107F"/>
    <w:rsid w:val="611E6559"/>
    <w:rsid w:val="639C6C24"/>
    <w:rsid w:val="66ED0032"/>
    <w:rsid w:val="6CCE7D5E"/>
    <w:rsid w:val="6D365409"/>
    <w:rsid w:val="6EDF5A5A"/>
    <w:rsid w:val="71052B20"/>
    <w:rsid w:val="745701F8"/>
    <w:rsid w:val="75CD5581"/>
    <w:rsid w:val="75E745BD"/>
    <w:rsid w:val="77D32A33"/>
    <w:rsid w:val="79AF65A7"/>
    <w:rsid w:val="79F07FB3"/>
    <w:rsid w:val="7B735A7A"/>
    <w:rsid w:val="7CC8673B"/>
    <w:rsid w:val="7E730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99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uiPriority="1" w:name="Default Paragraph Font"/>
    <w:lsdException w:qFormat="1" w:unhideWhenUsed="0" w:uiPriority="1" w:semiHidden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iPriority="99" w:name="Hyperlink"/>
    <w:lsdException w:qFormat="1" w:uiPriority="99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4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paragraph" w:styleId="3">
    <w:name w:val="heading 2"/>
    <w:basedOn w:val="1"/>
    <w:next w:val="1"/>
    <w:link w:val="62"/>
    <w:semiHidden/>
    <w:unhideWhenUsed/>
    <w:qFormat/>
    <w:uiPriority w:val="0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default="1" w:styleId="10">
    <w:name w:val="Default Paragraph Font"/>
    <w:semiHidden/>
    <w:unhideWhenUsed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link w:val="63"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32"/>
      <w:szCs w:val="32"/>
      <w:lang w:val="zh-CN" w:bidi="zh-CN"/>
    </w:rPr>
  </w:style>
  <w:style w:type="paragraph" w:styleId="5">
    <w:name w:val="Balloon Text"/>
    <w:basedOn w:val="1"/>
    <w:link w:val="16"/>
    <w:qFormat/>
    <w:uiPriority w:val="0"/>
    <w:rPr>
      <w:sz w:val="18"/>
      <w:szCs w:val="18"/>
    </w:rPr>
  </w:style>
  <w:style w:type="paragraph" w:styleId="6">
    <w:name w:val="footer"/>
    <w:basedOn w:val="1"/>
    <w:link w:val="15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9">
    <w:name w:val="Table Grid"/>
    <w:basedOn w:val="8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FollowedHyperlink"/>
    <w:basedOn w:val="10"/>
    <w:semiHidden/>
    <w:unhideWhenUsed/>
    <w:qFormat/>
    <w:uiPriority w:val="99"/>
    <w:rPr>
      <w:color w:val="800080"/>
      <w:u w:val="single"/>
    </w:rPr>
  </w:style>
  <w:style w:type="character" w:styleId="12">
    <w:name w:val="Emphasis"/>
    <w:basedOn w:val="10"/>
    <w:qFormat/>
    <w:uiPriority w:val="0"/>
    <w:rPr>
      <w:i/>
    </w:rPr>
  </w:style>
  <w:style w:type="character" w:styleId="13">
    <w:name w:val="Hyperlink"/>
    <w:basedOn w:val="10"/>
    <w:semiHidden/>
    <w:unhideWhenUsed/>
    <w:qFormat/>
    <w:uiPriority w:val="99"/>
    <w:rPr>
      <w:color w:val="0000FF"/>
      <w:u w:val="single"/>
    </w:rPr>
  </w:style>
  <w:style w:type="character" w:customStyle="1" w:styleId="14">
    <w:name w:val="标题 1 Char"/>
    <w:basedOn w:val="10"/>
    <w:link w:val="2"/>
    <w:qFormat/>
    <w:uiPriority w:val="9"/>
    <w:rPr>
      <w:rFonts w:ascii="宋体" w:hAnsi="宋体" w:cs="宋体"/>
      <w:b/>
      <w:bCs/>
      <w:kern w:val="36"/>
      <w:sz w:val="48"/>
      <w:szCs w:val="48"/>
    </w:rPr>
  </w:style>
  <w:style w:type="character" w:customStyle="1" w:styleId="15">
    <w:name w:val="页脚 Char"/>
    <w:basedOn w:val="10"/>
    <w:link w:val="6"/>
    <w:qFormat/>
    <w:uiPriority w:val="99"/>
    <w:rPr>
      <w:rFonts w:asciiTheme="minorHAnsi" w:hAnsiTheme="minorHAnsi" w:eastAsiaTheme="minorEastAsia" w:cstheme="minorBidi"/>
      <w:kern w:val="2"/>
      <w:sz w:val="18"/>
      <w:szCs w:val="24"/>
    </w:rPr>
  </w:style>
  <w:style w:type="character" w:customStyle="1" w:styleId="16">
    <w:name w:val="批注框文本 Char"/>
    <w:basedOn w:val="10"/>
    <w:link w:val="5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17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18"/>
      <w:szCs w:val="18"/>
    </w:rPr>
  </w:style>
  <w:style w:type="paragraph" w:customStyle="1" w:styleId="18">
    <w:name w:val="font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18"/>
      <w:szCs w:val="18"/>
    </w:rPr>
  </w:style>
  <w:style w:type="paragraph" w:customStyle="1" w:styleId="19">
    <w:name w:val="font7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18"/>
      <w:szCs w:val="18"/>
    </w:rPr>
  </w:style>
  <w:style w:type="paragraph" w:customStyle="1" w:styleId="20">
    <w:name w:val="font8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18"/>
      <w:szCs w:val="18"/>
    </w:rPr>
  </w:style>
  <w:style w:type="paragraph" w:customStyle="1" w:styleId="21">
    <w:name w:val="font9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18"/>
      <w:szCs w:val="18"/>
    </w:rPr>
  </w:style>
  <w:style w:type="paragraph" w:customStyle="1" w:styleId="22">
    <w:name w:val="xl72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paragraph" w:customStyle="1" w:styleId="23">
    <w:name w:val="xl73"/>
    <w:basedOn w:val="1"/>
    <w:qFormat/>
    <w:uiPriority w:val="0"/>
    <w:pPr>
      <w:widowControl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4"/>
    </w:rPr>
  </w:style>
  <w:style w:type="paragraph" w:customStyle="1" w:styleId="24">
    <w:name w:val="xl74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宋体" w:hAnsi="宋体" w:eastAsia="宋体" w:cs="宋体"/>
      <w:kern w:val="0"/>
      <w:sz w:val="24"/>
    </w:rPr>
  </w:style>
  <w:style w:type="paragraph" w:customStyle="1" w:styleId="25">
    <w:name w:val="xl7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b/>
      <w:bCs/>
      <w:kern w:val="0"/>
      <w:sz w:val="24"/>
    </w:rPr>
  </w:style>
  <w:style w:type="paragraph" w:customStyle="1" w:styleId="26">
    <w:name w:val="xl7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b/>
      <w:bCs/>
      <w:kern w:val="0"/>
      <w:sz w:val="24"/>
    </w:rPr>
  </w:style>
  <w:style w:type="paragraph" w:customStyle="1" w:styleId="27">
    <w:name w:val="xl77"/>
    <w:basedOn w:val="1"/>
    <w:qFormat/>
    <w:uiPriority w:val="0"/>
    <w:pPr>
      <w:widowControl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b/>
      <w:bCs/>
      <w:kern w:val="0"/>
      <w:sz w:val="24"/>
    </w:rPr>
  </w:style>
  <w:style w:type="paragraph" w:customStyle="1" w:styleId="28">
    <w:name w:val="xl7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4"/>
    </w:rPr>
  </w:style>
  <w:style w:type="paragraph" w:customStyle="1" w:styleId="29">
    <w:name w:val="xl79"/>
    <w:basedOn w:val="1"/>
    <w:qFormat/>
    <w:uiPriority w:val="0"/>
    <w:pPr>
      <w:widowControl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4"/>
    </w:rPr>
  </w:style>
  <w:style w:type="paragraph" w:customStyle="1" w:styleId="30">
    <w:name w:val="xl80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宋体" w:hAnsi="宋体" w:eastAsia="宋体" w:cs="宋体"/>
      <w:kern w:val="0"/>
      <w:sz w:val="24"/>
    </w:rPr>
  </w:style>
  <w:style w:type="paragraph" w:customStyle="1" w:styleId="31">
    <w:name w:val="xl8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4"/>
    </w:rPr>
  </w:style>
  <w:style w:type="paragraph" w:customStyle="1" w:styleId="32">
    <w:name w:val="xl8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4"/>
    </w:rPr>
  </w:style>
  <w:style w:type="paragraph" w:customStyle="1" w:styleId="33">
    <w:name w:val="xl8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4"/>
    </w:rPr>
  </w:style>
  <w:style w:type="paragraph" w:customStyle="1" w:styleId="34">
    <w:name w:val="xl8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4"/>
    </w:rPr>
  </w:style>
  <w:style w:type="paragraph" w:customStyle="1" w:styleId="35">
    <w:name w:val="xl8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4"/>
    </w:rPr>
  </w:style>
  <w:style w:type="paragraph" w:customStyle="1" w:styleId="36">
    <w:name w:val="xl8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4"/>
    </w:rPr>
  </w:style>
  <w:style w:type="paragraph" w:customStyle="1" w:styleId="37">
    <w:name w:val="xl87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paragraph" w:customStyle="1" w:styleId="38">
    <w:name w:val="xl8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4"/>
    </w:rPr>
  </w:style>
  <w:style w:type="paragraph" w:customStyle="1" w:styleId="39">
    <w:name w:val="xl8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4"/>
    </w:rPr>
  </w:style>
  <w:style w:type="paragraph" w:customStyle="1" w:styleId="40">
    <w:name w:val="xl9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4"/>
    </w:rPr>
  </w:style>
  <w:style w:type="paragraph" w:customStyle="1" w:styleId="41">
    <w:name w:val="xl9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4"/>
    </w:rPr>
  </w:style>
  <w:style w:type="paragraph" w:customStyle="1" w:styleId="42">
    <w:name w:val="xl9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24"/>
    </w:rPr>
  </w:style>
  <w:style w:type="paragraph" w:customStyle="1" w:styleId="43">
    <w:name w:val="xl9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4"/>
    </w:rPr>
  </w:style>
  <w:style w:type="paragraph" w:customStyle="1" w:styleId="44">
    <w:name w:val="xl9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4"/>
    </w:rPr>
  </w:style>
  <w:style w:type="paragraph" w:customStyle="1" w:styleId="45">
    <w:name w:val="xl9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color w:val="FF0000"/>
      <w:kern w:val="0"/>
      <w:sz w:val="24"/>
    </w:rPr>
  </w:style>
  <w:style w:type="paragraph" w:customStyle="1" w:styleId="46">
    <w:name w:val="xl9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color w:val="FF0000"/>
      <w:kern w:val="0"/>
      <w:sz w:val="24"/>
    </w:rPr>
  </w:style>
  <w:style w:type="paragraph" w:customStyle="1" w:styleId="47">
    <w:name w:val="xl9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color w:val="FF0000"/>
      <w:kern w:val="0"/>
      <w:sz w:val="24"/>
    </w:rPr>
  </w:style>
  <w:style w:type="paragraph" w:customStyle="1" w:styleId="48">
    <w:name w:val="xl9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color w:val="FF0000"/>
      <w:kern w:val="0"/>
      <w:sz w:val="24"/>
    </w:rPr>
  </w:style>
  <w:style w:type="paragraph" w:customStyle="1" w:styleId="49">
    <w:name w:val="xl9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color w:val="FF0000"/>
      <w:kern w:val="0"/>
      <w:sz w:val="24"/>
    </w:rPr>
  </w:style>
  <w:style w:type="paragraph" w:customStyle="1" w:styleId="50">
    <w:name w:val="xl10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b/>
      <w:bCs/>
      <w:kern w:val="0"/>
      <w:sz w:val="24"/>
    </w:rPr>
  </w:style>
  <w:style w:type="paragraph" w:customStyle="1" w:styleId="51">
    <w:name w:val="font1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color w:val="000000"/>
      <w:kern w:val="0"/>
      <w:sz w:val="22"/>
      <w:szCs w:val="22"/>
    </w:rPr>
  </w:style>
  <w:style w:type="paragraph" w:customStyle="1" w:styleId="52">
    <w:name w:val="xl6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方正黑体_GBK" w:hAnsi="宋体" w:eastAsia="方正黑体_GBK" w:cs="宋体"/>
      <w:kern w:val="0"/>
      <w:sz w:val="24"/>
    </w:rPr>
  </w:style>
  <w:style w:type="paragraph" w:customStyle="1" w:styleId="53">
    <w:name w:val="xl6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4"/>
    </w:rPr>
  </w:style>
  <w:style w:type="paragraph" w:customStyle="1" w:styleId="54">
    <w:name w:val="xl6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4"/>
    </w:rPr>
  </w:style>
  <w:style w:type="paragraph" w:customStyle="1" w:styleId="55">
    <w:name w:val="xl6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24"/>
    </w:rPr>
  </w:style>
  <w:style w:type="paragraph" w:customStyle="1" w:styleId="56">
    <w:name w:val="xl6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24"/>
    </w:rPr>
  </w:style>
  <w:style w:type="paragraph" w:customStyle="1" w:styleId="57">
    <w:name w:val="xl7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paragraph" w:customStyle="1" w:styleId="58">
    <w:name w:val="xl63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宋体" w:hAnsi="宋体" w:eastAsia="宋体" w:cs="宋体"/>
      <w:kern w:val="0"/>
      <w:sz w:val="24"/>
    </w:rPr>
  </w:style>
  <w:style w:type="paragraph" w:customStyle="1" w:styleId="59">
    <w:name w:val="xl6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方正仿宋_GBK" w:hAnsi="宋体" w:eastAsia="方正仿宋_GBK" w:cs="宋体"/>
      <w:kern w:val="0"/>
      <w:sz w:val="24"/>
    </w:rPr>
  </w:style>
  <w:style w:type="paragraph" w:styleId="60">
    <w:name w:val="List Paragraph"/>
    <w:basedOn w:val="1"/>
    <w:qFormat/>
    <w:uiPriority w:val="99"/>
    <w:pPr>
      <w:ind w:firstLine="420" w:firstLineChars="200"/>
    </w:pPr>
  </w:style>
  <w:style w:type="paragraph" w:customStyle="1" w:styleId="61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Calibri" w:eastAsia="宋体" w:cs="宋体"/>
      <w:color w:val="000000"/>
      <w:sz w:val="24"/>
      <w:szCs w:val="24"/>
      <w:lang w:val="en-US" w:eastAsia="zh-CN" w:bidi="ar-SA"/>
    </w:rPr>
  </w:style>
  <w:style w:type="character" w:customStyle="1" w:styleId="62">
    <w:name w:val="标题 2 Char"/>
    <w:basedOn w:val="10"/>
    <w:link w:val="3"/>
    <w:semiHidden/>
    <w:qFormat/>
    <w:uiPriority w:val="0"/>
    <w:rPr>
      <w:rFonts w:asciiTheme="majorHAnsi" w:hAnsiTheme="majorHAnsi" w:eastAsiaTheme="majorEastAsia" w:cstheme="majorBidi"/>
      <w:b/>
      <w:bCs/>
      <w:kern w:val="2"/>
      <w:sz w:val="32"/>
      <w:szCs w:val="32"/>
    </w:rPr>
  </w:style>
  <w:style w:type="character" w:customStyle="1" w:styleId="63">
    <w:name w:val="正文文本 Char"/>
    <w:basedOn w:val="10"/>
    <w:link w:val="4"/>
    <w:qFormat/>
    <w:uiPriority w:val="1"/>
    <w:rPr>
      <w:rFonts w:ascii="宋体" w:hAnsi="宋体" w:cs="宋体"/>
      <w:sz w:val="32"/>
      <w:szCs w:val="32"/>
      <w:lang w:val="zh-CN" w:bidi="zh-CN"/>
    </w:rPr>
  </w:style>
  <w:style w:type="character" w:customStyle="1" w:styleId="64">
    <w:name w:val="font21"/>
    <w:basedOn w:val="10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4D573D-6937-4CF7-A128-3C6346ED49D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15</Pages>
  <Words>6523</Words>
  <Characters>6588</Characters>
  <Lines>116</Lines>
  <Paragraphs>32</Paragraphs>
  <TotalTime>6</TotalTime>
  <ScaleCrop>false</ScaleCrop>
  <LinksUpToDate>false</LinksUpToDate>
  <CharactersWithSpaces>6601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2023-06-12T13:41:00Z</dcterms:created>
  <dc:creator>Francis</dc:creator>
  <cp:lastModifiedBy>周纯浩</cp:lastModifiedBy>
  <cp:lastPrinted>2022-07-13T12:33:00Z</cp:lastPrinted>
  <dcterms:modified xsi:type="dcterms:W3CDTF">2023-07-12T07:10:59Z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760EF5C36D2A4277915CF1FE6CD8D623_13</vt:lpwstr>
  </property>
</Properties>
</file>