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7" w:lineRule="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附件3</w:t>
      </w:r>
    </w:p>
    <w:p>
      <w:pPr>
        <w:spacing w:line="277" w:lineRule="auto"/>
        <w:rPr>
          <w:rFonts w:ascii="Malgun Gothic"/>
        </w:rPr>
      </w:pPr>
    </w:p>
    <w:p>
      <w:pPr>
        <w:keepNext w:val="0"/>
        <w:keepLines w:val="0"/>
        <w:pageBreakBefore w:val="0"/>
        <w:widowControl/>
        <w:kinsoku w:val="0"/>
        <w:wordWrap/>
        <w:overflowPunct/>
        <w:topLinePunct w:val="0"/>
        <w:autoSpaceDE w:val="0"/>
        <w:autoSpaceDN w:val="0"/>
        <w:bidi w:val="0"/>
        <w:adjustRightInd w:val="0"/>
        <w:snapToGrid w:val="0"/>
        <w:spacing w:before="208" w:line="300" w:lineRule="auto"/>
        <w:ind w:left="0" w:leftChars="0" w:firstLine="0" w:firstLineChars="0"/>
        <w:jc w:val="center"/>
        <w:textAlignment w:val="baseline"/>
        <w:rPr>
          <w:rFonts w:ascii="方正小标宋_GBK" w:hAnsi="Microsoft JhengHei" w:eastAsia="方正小标宋_GBK" w:cs="Microsoft JhengHei"/>
          <w:sz w:val="44"/>
          <w:szCs w:val="44"/>
        </w:rPr>
      </w:pPr>
      <w:r>
        <w:rPr>
          <w:rFonts w:hint="eastAsia" w:ascii="方正小标宋_GBK" w:hAnsi="Times New Roman" w:eastAsia="方正小标宋_GBK" w:cs="Times New Roman"/>
          <w:spacing w:val="-2"/>
          <w:sz w:val="44"/>
          <w:szCs w:val="44"/>
        </w:rPr>
        <w:t>20</w:t>
      </w:r>
      <w:r>
        <w:rPr>
          <w:rFonts w:ascii="方正小标宋_GBK" w:hAnsi="Times New Roman" w:eastAsia="方正小标宋_GBK" w:cs="Times New Roman"/>
          <w:spacing w:val="-2"/>
          <w:sz w:val="44"/>
          <w:szCs w:val="44"/>
        </w:rPr>
        <w:t>23</w:t>
      </w:r>
      <w:r>
        <w:rPr>
          <w:rFonts w:hint="eastAsia" w:ascii="方正小标宋_GBK" w:hAnsi="Malgun Gothic" w:eastAsia="方正小标宋_GBK" w:cs="Malgun Gothic"/>
          <w:spacing w:val="-2"/>
          <w:sz w:val="44"/>
          <w:szCs w:val="44"/>
        </w:rPr>
        <w:t>年江苏省工业和信息化技术技能大赛</w:t>
      </w:r>
    </w:p>
    <w:p>
      <w:pPr>
        <w:keepNext w:val="0"/>
        <w:keepLines w:val="0"/>
        <w:pageBreakBefore w:val="0"/>
        <w:widowControl/>
        <w:kinsoku w:val="0"/>
        <w:wordWrap/>
        <w:overflowPunct/>
        <w:topLinePunct w:val="0"/>
        <w:autoSpaceDE w:val="0"/>
        <w:autoSpaceDN w:val="0"/>
        <w:bidi w:val="0"/>
        <w:adjustRightInd w:val="0"/>
        <w:snapToGrid w:val="0"/>
        <w:spacing w:before="208" w:line="300" w:lineRule="auto"/>
        <w:ind w:left="0" w:leftChars="0" w:firstLine="0" w:firstLineChars="0"/>
        <w:jc w:val="center"/>
        <w:textAlignment w:val="baseline"/>
        <w:rPr>
          <w:rFonts w:hint="default" w:ascii="Malgun Gothic" w:eastAsia="方正小标宋_GBK"/>
          <w:sz w:val="44"/>
          <w:szCs w:val="44"/>
          <w:lang w:val="en-US" w:eastAsia="zh-CN"/>
        </w:rPr>
      </w:pPr>
      <w:r>
        <w:rPr>
          <w:rFonts w:hint="eastAsia" w:ascii="方正小标宋_GBK" w:hAnsi="Microsoft JhengHei" w:eastAsia="方正小标宋_GBK" w:cs="Microsoft JhengHei"/>
          <w:sz w:val="44"/>
          <w:szCs w:val="44"/>
        </w:rPr>
        <w:t>——5G+虚拟现实开发应用赛项</w:t>
      </w:r>
    </w:p>
    <w:p>
      <w:pPr>
        <w:spacing w:line="314" w:lineRule="auto"/>
        <w:rPr>
          <w:rFonts w:ascii="Malgun Gothic"/>
        </w:rPr>
      </w:pPr>
    </w:p>
    <w:p>
      <w:pPr>
        <w:spacing w:line="314" w:lineRule="auto"/>
        <w:rPr>
          <w:rFonts w:ascii="Malgun Gothic"/>
        </w:rPr>
      </w:pPr>
    </w:p>
    <w:p>
      <w:pPr>
        <w:spacing w:before="311" w:line="219" w:lineRule="auto"/>
        <w:ind w:firstLine="3988"/>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技</w:t>
      </w:r>
      <w:bookmarkStart w:id="50" w:name="_GoBack"/>
      <w:bookmarkEnd w:id="50"/>
    </w:p>
    <w:p>
      <w:pPr>
        <w:spacing w:before="2" w:line="204" w:lineRule="auto"/>
        <w:ind w:firstLine="3985"/>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术</w:t>
      </w:r>
    </w:p>
    <w:p>
      <w:pPr>
        <w:spacing w:before="114" w:line="182" w:lineRule="auto"/>
        <w:ind w:firstLine="399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方</w:t>
      </w:r>
    </w:p>
    <w:p>
      <w:pPr>
        <w:spacing w:before="197" w:line="180" w:lineRule="auto"/>
        <w:ind w:firstLine="3985"/>
        <w:rPr>
          <w:rFonts w:ascii="Malgun Gothic" w:hAnsi="Malgun Gothic" w:eastAsia="Malgun Gothic" w:cs="Malgun Gothic"/>
          <w:sz w:val="72"/>
          <w:szCs w:val="72"/>
        </w:rPr>
      </w:pPr>
      <w:r>
        <w:rPr>
          <w:rFonts w:hint="eastAsia" w:ascii="方正小标宋_GBK" w:hAnsi="方正小标宋_GBK" w:eastAsia="方正小标宋_GBK" w:cs="方正小标宋_GBK"/>
          <w:sz w:val="72"/>
          <w:szCs w:val="72"/>
        </w:rPr>
        <w:t>案</w:t>
      </w:r>
    </w:p>
    <w:p>
      <w:pPr>
        <w:spacing w:line="262" w:lineRule="auto"/>
        <w:rPr>
          <w:rFonts w:ascii="Malgun Gothic"/>
        </w:rPr>
      </w:pPr>
    </w:p>
    <w:p>
      <w:pPr>
        <w:spacing w:line="262" w:lineRule="auto"/>
        <w:rPr>
          <w:rFonts w:ascii="Malgun Gothic"/>
        </w:rPr>
      </w:pPr>
    </w:p>
    <w:p>
      <w:pPr>
        <w:spacing w:line="262" w:lineRule="auto"/>
        <w:rPr>
          <w:rFonts w:ascii="Malgun Gothic"/>
        </w:rPr>
      </w:pPr>
    </w:p>
    <w:p>
      <w:pPr>
        <w:spacing w:line="262" w:lineRule="auto"/>
        <w:rPr>
          <w:rFonts w:ascii="Malgun Gothic"/>
        </w:rPr>
      </w:pPr>
    </w:p>
    <w:p>
      <w:pPr>
        <w:spacing w:line="263" w:lineRule="auto"/>
        <w:rPr>
          <w:rFonts w:ascii="Malgun Gothic"/>
        </w:rPr>
      </w:pPr>
    </w:p>
    <w:p>
      <w:pPr>
        <w:spacing w:line="263" w:lineRule="auto"/>
        <w:rPr>
          <w:rFonts w:ascii="Malgun Gothic"/>
        </w:rPr>
      </w:pPr>
    </w:p>
    <w:p>
      <w:pPr>
        <w:spacing w:line="263" w:lineRule="auto"/>
        <w:rPr>
          <w:rFonts w:ascii="Malgun Gothic"/>
        </w:rPr>
      </w:pPr>
    </w:p>
    <w:p>
      <w:pPr>
        <w:spacing w:before="156" w:line="180" w:lineRule="auto"/>
        <w:jc w:val="center"/>
        <w:rPr>
          <w:rFonts w:ascii="Malgun Gothic" w:hAnsi="Malgun Gothic" w:eastAsia="Malgun Gothic" w:cs="Malgun Gothic"/>
          <w:sz w:val="36"/>
          <w:szCs w:val="36"/>
        </w:rPr>
      </w:pPr>
      <w:r>
        <w:rPr>
          <w:rFonts w:ascii="Times New Roman" w:hAnsi="Times New Roman" w:eastAsia="Times New Roman" w:cs="Times New Roman"/>
          <w:spacing w:val="-5"/>
          <w:sz w:val="36"/>
          <w:szCs w:val="36"/>
        </w:rPr>
        <w:t xml:space="preserve">2023 年 </w:t>
      </w:r>
      <w:r>
        <w:rPr>
          <w:rFonts w:hint="eastAsia" w:ascii="Times New Roman" w:hAnsi="Times New Roman" w:eastAsia="Times New Roman" w:cs="Times New Roman"/>
          <w:spacing w:val="-5"/>
          <w:sz w:val="36"/>
          <w:szCs w:val="36"/>
          <w:lang w:val="en-US" w:eastAsia="zh-CN"/>
        </w:rPr>
        <w:t>9</w:t>
      </w:r>
      <w:r>
        <w:rPr>
          <w:rFonts w:ascii="Times New Roman" w:hAnsi="Times New Roman" w:eastAsia="Times New Roman" w:cs="Times New Roman"/>
          <w:spacing w:val="-5"/>
          <w:sz w:val="36"/>
          <w:szCs w:val="36"/>
        </w:rPr>
        <w:t xml:space="preserve"> 月</w:t>
      </w:r>
    </w:p>
    <w:p>
      <w:pPr>
        <w:sectPr>
          <w:footerReference r:id="rId3" w:type="default"/>
          <w:pgSz w:w="11906" w:h="16839"/>
          <w:pgMar w:top="1814" w:right="1531" w:bottom="1984" w:left="1531" w:header="0" w:footer="1616" w:gutter="0"/>
          <w:pgNumType w:fmt="numberInDash"/>
          <w:cols w:space="720" w:num="1"/>
        </w:sectPr>
      </w:pPr>
    </w:p>
    <w:p>
      <w:pPr>
        <w:keepNext w:val="0"/>
        <w:keepLines w:val="0"/>
        <w:pageBreakBefore w:val="0"/>
        <w:widowControl/>
        <w:tabs>
          <w:tab w:val="left" w:pos="8059"/>
        </w:tabs>
        <w:kinsoku w:val="0"/>
        <w:wordWrap/>
        <w:overflowPunct/>
        <w:topLinePunct w:val="0"/>
        <w:autoSpaceDE w:val="0"/>
        <w:autoSpaceDN w:val="0"/>
        <w:bidi w:val="0"/>
        <w:adjustRightInd w:val="0"/>
        <w:snapToGrid w:val="0"/>
        <w:spacing w:before="244" w:line="188" w:lineRule="auto"/>
        <w:ind w:firstLine="0"/>
        <w:jc w:val="center"/>
        <w:textAlignment w:val="baseline"/>
        <w:rPr>
          <w:rFonts w:ascii="黑体" w:hAnsi="黑体" w:eastAsia="黑体" w:cs="黑体"/>
          <w:sz w:val="30"/>
          <w:szCs w:val="30"/>
        </w:rPr>
      </w:pPr>
      <w:r>
        <w:rPr>
          <w:rFonts w:ascii="黑体" w:hAnsi="黑体" w:eastAsia="黑体" w:cs="黑体"/>
          <w:spacing w:val="-25"/>
          <w:sz w:val="32"/>
          <w:szCs w:val="32"/>
        </w:rPr>
        <w:t>目</w:t>
      </w:r>
      <w:r>
        <w:rPr>
          <w:rFonts w:hint="eastAsia" w:ascii="黑体" w:hAnsi="黑体" w:eastAsia="黑体" w:cs="黑体"/>
          <w:spacing w:val="-25"/>
          <w:sz w:val="32"/>
          <w:szCs w:val="32"/>
          <w:lang w:val="en-US" w:eastAsia="zh-CN"/>
        </w:rPr>
        <w:t xml:space="preserve">    </w:t>
      </w:r>
      <w:r>
        <w:rPr>
          <w:rFonts w:ascii="黑体" w:hAnsi="黑体" w:eastAsia="黑体" w:cs="黑体"/>
          <w:spacing w:val="-25"/>
          <w:sz w:val="32"/>
          <w:szCs w:val="32"/>
        </w:rPr>
        <w:t>录</w:t>
      </w:r>
    </w:p>
    <w:sdt>
      <w:sdtPr>
        <w:rPr>
          <w:rFonts w:ascii="宋体" w:hAnsi="宋体" w:eastAsia="宋体"/>
        </w:rPr>
        <w:id w:val="147456980"/>
        <w15:color w:val="DBDBDB"/>
        <w:docPartObj>
          <w:docPartGallery w:val="Table of Contents"/>
          <w:docPartUnique/>
        </w:docPartObj>
      </w:sdtPr>
      <w:sdtEndPr>
        <w:rPr>
          <w:rFonts w:ascii="Arial" w:hAnsi="Arial" w:eastAsiaTheme="minorEastAsia"/>
        </w:rPr>
      </w:sdtEndPr>
      <w:sdtContent>
        <w:p>
          <w:pPr>
            <w:jc w:val="center"/>
          </w:pPr>
        </w:p>
        <w:p>
          <w:pPr>
            <w:pStyle w:val="18"/>
            <w:tabs>
              <w:tab w:val="right" w:leader="dot" w:pos="9740"/>
            </w:tabs>
            <w:spacing w:line="770" w:lineRule="exact"/>
            <w:rPr>
              <w:rFonts w:ascii="黑体" w:hAnsi="黑体" w:eastAsia="黑体" w:cs="黑体"/>
              <w:sz w:val="30"/>
              <w:szCs w:val="30"/>
            </w:rPr>
          </w:pPr>
          <w:r>
            <w:fldChar w:fldCharType="begin"/>
          </w:r>
          <w:r>
            <w:instrText xml:space="preserve">TOC \o "1-3" \h \u </w:instrText>
          </w:r>
          <w:r>
            <w:fldChar w:fldCharType="separate"/>
          </w:r>
          <w:r>
            <w:fldChar w:fldCharType="begin"/>
          </w:r>
          <w:r>
            <w:instrText xml:space="preserve"> HYPERLINK \l "_Toc2087" </w:instrText>
          </w:r>
          <w:r>
            <w:fldChar w:fldCharType="separate"/>
          </w:r>
          <w:r>
            <w:rPr>
              <w:rFonts w:hint="eastAsia" w:ascii="黑体" w:hAnsi="黑体" w:eastAsia="黑体" w:cs="黑体"/>
              <w:spacing w:val="-3"/>
              <w:sz w:val="30"/>
              <w:szCs w:val="30"/>
            </w:rPr>
            <w:t>一、大赛名称</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_Toc2087 </w:instrText>
          </w:r>
          <w:r>
            <w:rPr>
              <w:rFonts w:hint="eastAsia" w:ascii="黑体" w:hAnsi="黑体" w:eastAsia="黑体" w:cs="黑体"/>
              <w:sz w:val="30"/>
              <w:szCs w:val="30"/>
            </w:rPr>
            <w:fldChar w:fldCharType="separate"/>
          </w:r>
          <w:r>
            <w:rPr>
              <w:rFonts w:ascii="黑体" w:hAnsi="黑体" w:eastAsia="黑体" w:cs="黑体"/>
              <w:sz w:val="30"/>
              <w:szCs w:val="30"/>
            </w:rPr>
            <w:t>3</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"_Toc14092" </w:instrText>
          </w:r>
          <w:r>
            <w:fldChar w:fldCharType="separate"/>
          </w:r>
          <w:r>
            <w:rPr>
              <w:rFonts w:hint="eastAsia" w:ascii="黑体" w:hAnsi="黑体" w:eastAsia="黑体" w:cs="黑体"/>
              <w:sz w:val="30"/>
              <w:szCs w:val="30"/>
            </w:rPr>
            <w:t>二、大赛意义</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_Toc14092 </w:instrText>
          </w:r>
          <w:r>
            <w:rPr>
              <w:rFonts w:hint="eastAsia" w:ascii="黑体" w:hAnsi="黑体" w:eastAsia="黑体" w:cs="黑体"/>
              <w:sz w:val="30"/>
              <w:szCs w:val="30"/>
            </w:rPr>
            <w:fldChar w:fldCharType="separate"/>
          </w:r>
          <w:r>
            <w:rPr>
              <w:rFonts w:ascii="黑体" w:hAnsi="黑体" w:eastAsia="黑体" w:cs="黑体"/>
              <w:sz w:val="30"/>
              <w:szCs w:val="30"/>
            </w:rPr>
            <w:t>3</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"_Toc24213" </w:instrText>
          </w:r>
          <w:r>
            <w:fldChar w:fldCharType="separate"/>
          </w:r>
          <w:r>
            <w:rPr>
              <w:rFonts w:hint="eastAsia" w:ascii="黑体" w:hAnsi="黑体" w:eastAsia="黑体" w:cs="黑体"/>
              <w:sz w:val="30"/>
              <w:szCs w:val="30"/>
            </w:rPr>
            <w:t>三、大赛内容、形式和成绩计算</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_Toc24213 </w:instrText>
          </w:r>
          <w:r>
            <w:rPr>
              <w:rFonts w:hint="eastAsia" w:ascii="黑体" w:hAnsi="黑体" w:eastAsia="黑体" w:cs="黑体"/>
              <w:sz w:val="30"/>
              <w:szCs w:val="30"/>
            </w:rPr>
            <w:fldChar w:fldCharType="separate"/>
          </w:r>
          <w:r>
            <w:rPr>
              <w:rFonts w:ascii="黑体" w:hAnsi="黑体" w:eastAsia="黑体" w:cs="黑体"/>
              <w:sz w:val="30"/>
              <w:szCs w:val="30"/>
            </w:rPr>
            <w:t>4</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"_Toc10431" </w:instrText>
          </w:r>
          <w:r>
            <w:fldChar w:fldCharType="separate"/>
          </w:r>
          <w:r>
            <w:rPr>
              <w:rFonts w:hint="eastAsia" w:ascii="楷体" w:hAnsi="楷体" w:eastAsia="楷体" w:cs="楷体"/>
              <w:sz w:val="30"/>
              <w:szCs w:val="30"/>
            </w:rPr>
            <w:t>（一） 竞赛内容</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_Toc10431 </w:instrText>
          </w:r>
          <w:r>
            <w:rPr>
              <w:rFonts w:hint="eastAsia" w:ascii="楷体" w:hAnsi="楷体" w:eastAsia="楷体" w:cs="楷体"/>
              <w:sz w:val="30"/>
              <w:szCs w:val="30"/>
            </w:rPr>
            <w:fldChar w:fldCharType="separate"/>
          </w:r>
          <w:r>
            <w:rPr>
              <w:rFonts w:ascii="楷体" w:hAnsi="楷体" w:eastAsia="楷体" w:cs="楷体"/>
              <w:sz w:val="30"/>
              <w:szCs w:val="30"/>
            </w:rPr>
            <w:t>4</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"_Toc16846" </w:instrText>
          </w:r>
          <w:r>
            <w:fldChar w:fldCharType="separate"/>
          </w:r>
          <w:r>
            <w:rPr>
              <w:rFonts w:hint="eastAsia" w:ascii="楷体" w:hAnsi="楷体" w:eastAsia="楷体" w:cs="楷体"/>
              <w:sz w:val="30"/>
              <w:szCs w:val="30"/>
            </w:rPr>
            <w:t>（二） 竞赛形式</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_Toc16846 </w:instrText>
          </w:r>
          <w:r>
            <w:rPr>
              <w:rFonts w:hint="eastAsia" w:ascii="楷体" w:hAnsi="楷体" w:eastAsia="楷体" w:cs="楷体"/>
              <w:sz w:val="30"/>
              <w:szCs w:val="30"/>
            </w:rPr>
            <w:fldChar w:fldCharType="separate"/>
          </w:r>
          <w:r>
            <w:rPr>
              <w:rFonts w:ascii="楷体" w:hAnsi="楷体" w:eastAsia="楷体" w:cs="楷体"/>
              <w:sz w:val="30"/>
              <w:szCs w:val="30"/>
            </w:rPr>
            <w:t>5</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"_Toc22631" </w:instrText>
          </w:r>
          <w:r>
            <w:fldChar w:fldCharType="separate"/>
          </w:r>
          <w:r>
            <w:rPr>
              <w:rFonts w:hint="eastAsia" w:ascii="楷体" w:hAnsi="楷体" w:eastAsia="楷体" w:cs="楷体"/>
              <w:sz w:val="30"/>
              <w:szCs w:val="30"/>
            </w:rPr>
            <w:t>（三） 报名条件</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_Toc22631 </w:instrText>
          </w:r>
          <w:r>
            <w:rPr>
              <w:rFonts w:hint="eastAsia" w:ascii="楷体" w:hAnsi="楷体" w:eastAsia="楷体" w:cs="楷体"/>
              <w:sz w:val="30"/>
              <w:szCs w:val="30"/>
            </w:rPr>
            <w:fldChar w:fldCharType="separate"/>
          </w:r>
          <w:r>
            <w:rPr>
              <w:rFonts w:ascii="楷体" w:hAnsi="楷体" w:eastAsia="楷体" w:cs="楷体"/>
              <w:sz w:val="30"/>
              <w:szCs w:val="30"/>
            </w:rPr>
            <w:t>5</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"_Toc25073" </w:instrText>
          </w:r>
          <w:r>
            <w:fldChar w:fldCharType="separate"/>
          </w:r>
          <w:r>
            <w:rPr>
              <w:rFonts w:hint="eastAsia" w:ascii="楷体" w:hAnsi="楷体" w:eastAsia="楷体" w:cs="楷体"/>
              <w:sz w:val="30"/>
              <w:szCs w:val="30"/>
            </w:rPr>
            <w:t>（四） 成绩计算</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_Toc25073 </w:instrText>
          </w:r>
          <w:r>
            <w:rPr>
              <w:rFonts w:hint="eastAsia" w:ascii="楷体" w:hAnsi="楷体" w:eastAsia="楷体" w:cs="楷体"/>
              <w:sz w:val="30"/>
              <w:szCs w:val="30"/>
            </w:rPr>
            <w:fldChar w:fldCharType="separate"/>
          </w:r>
          <w:r>
            <w:rPr>
              <w:rFonts w:ascii="楷体" w:hAnsi="楷体" w:eastAsia="楷体" w:cs="楷体"/>
              <w:sz w:val="30"/>
              <w:szCs w:val="30"/>
            </w:rPr>
            <w:t>5</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"_Toc28996" </w:instrText>
          </w:r>
          <w:r>
            <w:fldChar w:fldCharType="separate"/>
          </w:r>
          <w:r>
            <w:rPr>
              <w:rFonts w:hint="eastAsia" w:ascii="黑体" w:hAnsi="黑体" w:eastAsia="黑体" w:cs="黑体"/>
              <w:sz w:val="30"/>
              <w:szCs w:val="30"/>
            </w:rPr>
            <w:t>四、大赛命题原则</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_Toc28996 </w:instrText>
          </w:r>
          <w:r>
            <w:rPr>
              <w:rFonts w:hint="eastAsia" w:ascii="黑体" w:hAnsi="黑体" w:eastAsia="黑体" w:cs="黑体"/>
              <w:sz w:val="30"/>
              <w:szCs w:val="30"/>
            </w:rPr>
            <w:fldChar w:fldCharType="separate"/>
          </w:r>
          <w:r>
            <w:rPr>
              <w:rFonts w:ascii="黑体" w:hAnsi="黑体" w:eastAsia="黑体" w:cs="黑体"/>
              <w:sz w:val="30"/>
              <w:szCs w:val="30"/>
            </w:rPr>
            <w:t>5</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"_Toc17314" </w:instrText>
          </w:r>
          <w:r>
            <w:fldChar w:fldCharType="separate"/>
          </w:r>
          <w:r>
            <w:rPr>
              <w:rFonts w:hint="eastAsia" w:ascii="黑体" w:hAnsi="黑体" w:eastAsia="黑体" w:cs="黑体"/>
              <w:sz w:val="30"/>
              <w:szCs w:val="30"/>
            </w:rPr>
            <w:t>五、大赛范围、赛题类型和其他</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_Toc17314 </w:instrText>
          </w:r>
          <w:r>
            <w:rPr>
              <w:rFonts w:hint="eastAsia" w:ascii="黑体" w:hAnsi="黑体" w:eastAsia="黑体" w:cs="黑体"/>
              <w:sz w:val="30"/>
              <w:szCs w:val="30"/>
            </w:rPr>
            <w:fldChar w:fldCharType="separate"/>
          </w:r>
          <w:r>
            <w:rPr>
              <w:rFonts w:ascii="黑体" w:hAnsi="黑体" w:eastAsia="黑体" w:cs="黑体"/>
              <w:sz w:val="30"/>
              <w:szCs w:val="30"/>
            </w:rPr>
            <w:t>6</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"_Toc32501" </w:instrText>
          </w:r>
          <w:r>
            <w:fldChar w:fldCharType="separate"/>
          </w:r>
          <w:r>
            <w:rPr>
              <w:rFonts w:hint="eastAsia" w:ascii="楷体" w:hAnsi="楷体" w:eastAsia="楷体" w:cs="楷体"/>
              <w:sz w:val="30"/>
              <w:szCs w:val="30"/>
            </w:rPr>
            <w:t>（一） 理论知识竞赛</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_Toc32501 </w:instrText>
          </w:r>
          <w:r>
            <w:rPr>
              <w:rFonts w:hint="eastAsia" w:ascii="楷体" w:hAnsi="楷体" w:eastAsia="楷体" w:cs="楷体"/>
              <w:sz w:val="30"/>
              <w:szCs w:val="30"/>
            </w:rPr>
            <w:fldChar w:fldCharType="separate"/>
          </w:r>
          <w:r>
            <w:rPr>
              <w:rFonts w:ascii="楷体" w:hAnsi="楷体" w:eastAsia="楷体" w:cs="楷体"/>
              <w:sz w:val="30"/>
              <w:szCs w:val="30"/>
            </w:rPr>
            <w:t>6</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"_Toc23397" </w:instrText>
          </w:r>
          <w:r>
            <w:fldChar w:fldCharType="separate"/>
          </w:r>
          <w:r>
            <w:rPr>
              <w:rFonts w:hint="eastAsia" w:ascii="楷体" w:hAnsi="楷体" w:eastAsia="楷体" w:cs="楷体"/>
              <w:sz w:val="30"/>
              <w:szCs w:val="30"/>
            </w:rPr>
            <w:t>（二） 实际操作竞赛</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_Toc23397 </w:instrText>
          </w:r>
          <w:r>
            <w:rPr>
              <w:rFonts w:hint="eastAsia" w:ascii="楷体" w:hAnsi="楷体" w:eastAsia="楷体" w:cs="楷体"/>
              <w:sz w:val="30"/>
              <w:szCs w:val="30"/>
            </w:rPr>
            <w:fldChar w:fldCharType="separate"/>
          </w:r>
          <w:r>
            <w:rPr>
              <w:rFonts w:ascii="楷体" w:hAnsi="楷体" w:eastAsia="楷体" w:cs="楷体"/>
              <w:sz w:val="30"/>
              <w:szCs w:val="30"/>
            </w:rPr>
            <w:t>6</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"_Toc27086" </w:instrText>
          </w:r>
          <w:r>
            <w:fldChar w:fldCharType="separate"/>
          </w:r>
          <w:r>
            <w:rPr>
              <w:rFonts w:hint="eastAsia" w:ascii="黑体" w:hAnsi="黑体" w:eastAsia="黑体" w:cs="黑体"/>
              <w:sz w:val="30"/>
              <w:szCs w:val="30"/>
            </w:rPr>
            <w:t>六、大赛场地与设施</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_Toc27086 </w:instrText>
          </w:r>
          <w:r>
            <w:rPr>
              <w:rFonts w:hint="eastAsia" w:ascii="黑体" w:hAnsi="黑体" w:eastAsia="黑体" w:cs="黑体"/>
              <w:sz w:val="30"/>
              <w:szCs w:val="30"/>
            </w:rPr>
            <w:fldChar w:fldCharType="separate"/>
          </w:r>
          <w:r>
            <w:rPr>
              <w:rFonts w:ascii="黑体" w:hAnsi="黑体" w:eastAsia="黑体" w:cs="黑体"/>
              <w:sz w:val="30"/>
              <w:szCs w:val="30"/>
            </w:rPr>
            <w:t>6</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"_Toc9874" </w:instrText>
          </w:r>
          <w:r>
            <w:fldChar w:fldCharType="separate"/>
          </w:r>
          <w:r>
            <w:rPr>
              <w:rFonts w:hint="eastAsia" w:ascii="楷体" w:hAnsi="楷体" w:eastAsia="楷体" w:cs="楷体"/>
              <w:sz w:val="30"/>
              <w:szCs w:val="30"/>
            </w:rPr>
            <w:t>（一） 大赛场地</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_Toc9874 </w:instrText>
          </w:r>
          <w:r>
            <w:rPr>
              <w:rFonts w:hint="eastAsia" w:ascii="楷体" w:hAnsi="楷体" w:eastAsia="楷体" w:cs="楷体"/>
              <w:sz w:val="30"/>
              <w:szCs w:val="30"/>
            </w:rPr>
            <w:fldChar w:fldCharType="separate"/>
          </w:r>
          <w:r>
            <w:rPr>
              <w:rFonts w:ascii="楷体" w:hAnsi="楷体" w:eastAsia="楷体" w:cs="楷体"/>
              <w:sz w:val="30"/>
              <w:szCs w:val="30"/>
            </w:rPr>
            <w:t>6</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"_Toc32441" </w:instrText>
          </w:r>
          <w:r>
            <w:fldChar w:fldCharType="separate"/>
          </w:r>
          <w:r>
            <w:rPr>
              <w:rFonts w:hint="eastAsia" w:ascii="楷体" w:hAnsi="楷体" w:eastAsia="楷体" w:cs="楷体"/>
              <w:sz w:val="30"/>
              <w:szCs w:val="30"/>
            </w:rPr>
            <w:t>（二） 大赛设施</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_Toc32441 </w:instrText>
          </w:r>
          <w:r>
            <w:rPr>
              <w:rFonts w:hint="eastAsia" w:ascii="楷体" w:hAnsi="楷体" w:eastAsia="楷体" w:cs="楷体"/>
              <w:sz w:val="30"/>
              <w:szCs w:val="30"/>
            </w:rPr>
            <w:fldChar w:fldCharType="separate"/>
          </w:r>
          <w:r>
            <w:rPr>
              <w:rFonts w:ascii="楷体" w:hAnsi="楷体" w:eastAsia="楷体" w:cs="楷体"/>
              <w:sz w:val="30"/>
              <w:szCs w:val="30"/>
            </w:rPr>
            <w:t>8</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"_Toc14235" </w:instrText>
          </w:r>
          <w:r>
            <w:fldChar w:fldCharType="separate"/>
          </w:r>
          <w:r>
            <w:rPr>
              <w:rFonts w:hint="eastAsia" w:ascii="黑体" w:hAnsi="黑体" w:eastAsia="黑体" w:cs="黑体"/>
              <w:sz w:val="30"/>
              <w:szCs w:val="30"/>
            </w:rPr>
            <w:t>七、大赛关键环节与时间安排</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_Toc14235 </w:instrText>
          </w:r>
          <w:r>
            <w:rPr>
              <w:rFonts w:hint="eastAsia" w:ascii="黑体" w:hAnsi="黑体" w:eastAsia="黑体" w:cs="黑体"/>
              <w:sz w:val="30"/>
              <w:szCs w:val="30"/>
            </w:rPr>
            <w:fldChar w:fldCharType="separate"/>
          </w:r>
          <w:r>
            <w:rPr>
              <w:rFonts w:ascii="黑体" w:hAnsi="黑体" w:eastAsia="黑体" w:cs="黑体"/>
              <w:sz w:val="30"/>
              <w:szCs w:val="30"/>
            </w:rPr>
            <w:t>10</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"_Toc17123" </w:instrText>
          </w:r>
          <w:r>
            <w:fldChar w:fldCharType="separate"/>
          </w:r>
          <w:r>
            <w:rPr>
              <w:rFonts w:hint="eastAsia" w:ascii="楷体" w:hAnsi="楷体" w:eastAsia="楷体" w:cs="楷体"/>
              <w:sz w:val="30"/>
              <w:szCs w:val="30"/>
            </w:rPr>
            <w:t>（一） 关键环节</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_Toc17123 </w:instrText>
          </w:r>
          <w:r>
            <w:rPr>
              <w:rFonts w:hint="eastAsia" w:ascii="楷体" w:hAnsi="楷体" w:eastAsia="楷体" w:cs="楷体"/>
              <w:sz w:val="30"/>
              <w:szCs w:val="30"/>
            </w:rPr>
            <w:fldChar w:fldCharType="separate"/>
          </w:r>
          <w:r>
            <w:rPr>
              <w:rFonts w:ascii="楷体" w:hAnsi="楷体" w:eastAsia="楷体" w:cs="楷体"/>
              <w:sz w:val="30"/>
              <w:szCs w:val="30"/>
            </w:rPr>
            <w:t>10</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"_Toc20846" </w:instrText>
          </w:r>
          <w:r>
            <w:fldChar w:fldCharType="separate"/>
          </w:r>
          <w:r>
            <w:rPr>
              <w:rFonts w:hint="eastAsia" w:ascii="楷体" w:hAnsi="楷体" w:eastAsia="楷体" w:cs="楷体"/>
              <w:sz w:val="30"/>
              <w:szCs w:val="30"/>
            </w:rPr>
            <w:t>（二） 竞赛流程</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_Toc20846 </w:instrText>
          </w:r>
          <w:r>
            <w:rPr>
              <w:rFonts w:hint="eastAsia" w:ascii="楷体" w:hAnsi="楷体" w:eastAsia="楷体" w:cs="楷体"/>
              <w:sz w:val="30"/>
              <w:szCs w:val="30"/>
            </w:rPr>
            <w:fldChar w:fldCharType="separate"/>
          </w:r>
          <w:r>
            <w:rPr>
              <w:rFonts w:ascii="楷体" w:hAnsi="楷体" w:eastAsia="楷体" w:cs="楷体"/>
              <w:sz w:val="30"/>
              <w:szCs w:val="30"/>
            </w:rPr>
            <w:t>10</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"_Toc24082" </w:instrText>
          </w:r>
          <w:r>
            <w:fldChar w:fldCharType="separate"/>
          </w:r>
          <w:r>
            <w:rPr>
              <w:rFonts w:hint="eastAsia" w:ascii="楷体" w:hAnsi="楷体" w:eastAsia="楷体" w:cs="楷体"/>
              <w:sz w:val="30"/>
              <w:szCs w:val="30"/>
            </w:rPr>
            <w:t>（三） 时间安排</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_Toc24082 </w:instrText>
          </w:r>
          <w:r>
            <w:rPr>
              <w:rFonts w:hint="eastAsia" w:ascii="楷体" w:hAnsi="楷体" w:eastAsia="楷体" w:cs="楷体"/>
              <w:sz w:val="30"/>
              <w:szCs w:val="30"/>
            </w:rPr>
            <w:fldChar w:fldCharType="separate"/>
          </w:r>
          <w:r>
            <w:rPr>
              <w:rFonts w:ascii="楷体" w:hAnsi="楷体" w:eastAsia="楷体" w:cs="楷体"/>
              <w:sz w:val="30"/>
              <w:szCs w:val="30"/>
            </w:rPr>
            <w:t>11</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"_Toc29447" </w:instrText>
          </w:r>
          <w:r>
            <w:fldChar w:fldCharType="separate"/>
          </w:r>
          <w:r>
            <w:rPr>
              <w:rFonts w:hint="eastAsia" w:ascii="黑体" w:hAnsi="黑体" w:eastAsia="黑体" w:cs="黑体"/>
              <w:sz w:val="30"/>
              <w:szCs w:val="30"/>
            </w:rPr>
            <w:t>八、大赛赛题</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_Toc29447 </w:instrText>
          </w:r>
          <w:r>
            <w:rPr>
              <w:rFonts w:hint="eastAsia" w:ascii="黑体" w:hAnsi="黑体" w:eastAsia="黑体" w:cs="黑体"/>
              <w:sz w:val="30"/>
              <w:szCs w:val="30"/>
            </w:rPr>
            <w:fldChar w:fldCharType="separate"/>
          </w:r>
          <w:r>
            <w:rPr>
              <w:rFonts w:ascii="黑体" w:hAnsi="黑体" w:eastAsia="黑体" w:cs="黑体"/>
              <w:sz w:val="30"/>
              <w:szCs w:val="30"/>
            </w:rPr>
            <w:t>11</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"_Toc6263" </w:instrText>
          </w:r>
          <w:r>
            <w:fldChar w:fldCharType="separate"/>
          </w:r>
          <w:r>
            <w:rPr>
              <w:rFonts w:hint="eastAsia" w:ascii="黑体" w:hAnsi="黑体" w:eastAsia="黑体" w:cs="黑体"/>
              <w:sz w:val="30"/>
              <w:szCs w:val="30"/>
            </w:rPr>
            <w:t>九、大赛评分标准制定原则、评分方法、评分细则及技术规范</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_Toc6263 </w:instrText>
          </w:r>
          <w:r>
            <w:rPr>
              <w:rFonts w:hint="eastAsia" w:ascii="黑体" w:hAnsi="黑体" w:eastAsia="黑体" w:cs="黑体"/>
              <w:sz w:val="30"/>
              <w:szCs w:val="30"/>
            </w:rPr>
            <w:fldChar w:fldCharType="separate"/>
          </w:r>
          <w:r>
            <w:rPr>
              <w:rFonts w:ascii="黑体" w:hAnsi="黑体" w:eastAsia="黑体" w:cs="黑体"/>
              <w:sz w:val="30"/>
              <w:szCs w:val="30"/>
            </w:rPr>
            <w:t>12</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"_Toc31851" </w:instrText>
          </w:r>
          <w:r>
            <w:fldChar w:fldCharType="separate"/>
          </w:r>
          <w:r>
            <w:rPr>
              <w:rFonts w:hint="eastAsia" w:ascii="楷体" w:hAnsi="楷体" w:eastAsia="楷体" w:cs="楷体"/>
              <w:sz w:val="30"/>
              <w:szCs w:val="30"/>
            </w:rPr>
            <w:t>（一） 评分标准制定原则</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_Toc31851 </w:instrText>
          </w:r>
          <w:r>
            <w:rPr>
              <w:rFonts w:hint="eastAsia" w:ascii="楷体" w:hAnsi="楷体" w:eastAsia="楷体" w:cs="楷体"/>
              <w:sz w:val="30"/>
              <w:szCs w:val="30"/>
            </w:rPr>
            <w:fldChar w:fldCharType="separate"/>
          </w:r>
          <w:r>
            <w:rPr>
              <w:rFonts w:ascii="楷体" w:hAnsi="楷体" w:eastAsia="楷体" w:cs="楷体"/>
              <w:sz w:val="30"/>
              <w:szCs w:val="30"/>
            </w:rPr>
            <w:t>12</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"_Toc4147" </w:instrText>
          </w:r>
          <w:r>
            <w:fldChar w:fldCharType="separate"/>
          </w:r>
          <w:r>
            <w:rPr>
              <w:rFonts w:hint="eastAsia" w:ascii="楷体" w:hAnsi="楷体" w:eastAsia="楷体" w:cs="楷体"/>
              <w:sz w:val="30"/>
              <w:szCs w:val="30"/>
            </w:rPr>
            <w:t>（二） 评分方法</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_Toc4147 </w:instrText>
          </w:r>
          <w:r>
            <w:rPr>
              <w:rFonts w:hint="eastAsia" w:ascii="楷体" w:hAnsi="楷体" w:eastAsia="楷体" w:cs="楷体"/>
              <w:sz w:val="30"/>
              <w:szCs w:val="30"/>
            </w:rPr>
            <w:fldChar w:fldCharType="separate"/>
          </w:r>
          <w:r>
            <w:rPr>
              <w:rFonts w:ascii="楷体" w:hAnsi="楷体" w:eastAsia="楷体" w:cs="楷体"/>
              <w:sz w:val="30"/>
              <w:szCs w:val="30"/>
            </w:rPr>
            <w:t>12</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"_Toc8355" </w:instrText>
          </w:r>
          <w:r>
            <w:fldChar w:fldCharType="separate"/>
          </w:r>
          <w:r>
            <w:rPr>
              <w:rFonts w:hint="eastAsia" w:ascii="楷体" w:hAnsi="楷体" w:eastAsia="楷体" w:cs="楷体"/>
              <w:sz w:val="30"/>
              <w:szCs w:val="30"/>
            </w:rPr>
            <w:t>（三） 评分细则(评分指标)</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_Toc8355 </w:instrText>
          </w:r>
          <w:r>
            <w:rPr>
              <w:rFonts w:hint="eastAsia" w:ascii="楷体" w:hAnsi="楷体" w:eastAsia="楷体" w:cs="楷体"/>
              <w:sz w:val="30"/>
              <w:szCs w:val="30"/>
            </w:rPr>
            <w:fldChar w:fldCharType="separate"/>
          </w:r>
          <w:r>
            <w:rPr>
              <w:rFonts w:ascii="楷体" w:hAnsi="楷体" w:eastAsia="楷体" w:cs="楷体"/>
              <w:sz w:val="30"/>
              <w:szCs w:val="30"/>
            </w:rPr>
            <w:t>12</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"_Toc11243" </w:instrText>
          </w:r>
          <w:r>
            <w:fldChar w:fldCharType="separate"/>
          </w:r>
          <w:r>
            <w:rPr>
              <w:rFonts w:hint="eastAsia" w:ascii="楷体" w:hAnsi="楷体" w:eastAsia="楷体" w:cs="楷体"/>
              <w:sz w:val="30"/>
              <w:szCs w:val="30"/>
            </w:rPr>
            <w:t>（四） 评分方式</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_Toc11243 </w:instrText>
          </w:r>
          <w:r>
            <w:rPr>
              <w:rFonts w:hint="eastAsia" w:ascii="楷体" w:hAnsi="楷体" w:eastAsia="楷体" w:cs="楷体"/>
              <w:sz w:val="30"/>
              <w:szCs w:val="30"/>
            </w:rPr>
            <w:fldChar w:fldCharType="separate"/>
          </w:r>
          <w:r>
            <w:rPr>
              <w:rFonts w:ascii="楷体" w:hAnsi="楷体" w:eastAsia="楷体" w:cs="楷体"/>
              <w:sz w:val="30"/>
              <w:szCs w:val="30"/>
            </w:rPr>
            <w:t>17</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"_Toc13430" </w:instrText>
          </w:r>
          <w:r>
            <w:fldChar w:fldCharType="separate"/>
          </w:r>
          <w:r>
            <w:rPr>
              <w:rFonts w:hint="eastAsia" w:ascii="楷体" w:hAnsi="楷体" w:eastAsia="楷体" w:cs="楷体"/>
              <w:sz w:val="30"/>
              <w:szCs w:val="30"/>
            </w:rPr>
            <w:t>（五） 技术规范</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_Toc13430 </w:instrText>
          </w:r>
          <w:r>
            <w:rPr>
              <w:rFonts w:hint="eastAsia" w:ascii="楷体" w:hAnsi="楷体" w:eastAsia="楷体" w:cs="楷体"/>
              <w:sz w:val="30"/>
              <w:szCs w:val="30"/>
            </w:rPr>
            <w:fldChar w:fldCharType="separate"/>
          </w:r>
          <w:r>
            <w:rPr>
              <w:rFonts w:ascii="楷体" w:hAnsi="楷体" w:eastAsia="楷体" w:cs="楷体"/>
              <w:sz w:val="30"/>
              <w:szCs w:val="30"/>
            </w:rPr>
            <w:t>18</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"_Toc15139" </w:instrText>
          </w:r>
          <w:r>
            <w:fldChar w:fldCharType="separate"/>
          </w:r>
          <w:r>
            <w:rPr>
              <w:rFonts w:hint="eastAsia" w:ascii="黑体" w:hAnsi="黑体" w:eastAsia="黑体" w:cs="黑体"/>
              <w:sz w:val="30"/>
              <w:szCs w:val="30"/>
            </w:rPr>
            <w:t>十、大赛硬件平台说明</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_Toc15139 </w:instrText>
          </w:r>
          <w:r>
            <w:rPr>
              <w:rFonts w:hint="eastAsia" w:ascii="黑体" w:hAnsi="黑体" w:eastAsia="黑体" w:cs="黑体"/>
              <w:sz w:val="30"/>
              <w:szCs w:val="30"/>
            </w:rPr>
            <w:fldChar w:fldCharType="separate"/>
          </w:r>
          <w:r>
            <w:rPr>
              <w:rFonts w:ascii="黑体" w:hAnsi="黑体" w:eastAsia="黑体" w:cs="黑体"/>
              <w:sz w:val="30"/>
              <w:szCs w:val="30"/>
            </w:rPr>
            <w:t>18</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"_Toc10213" </w:instrText>
          </w:r>
          <w:r>
            <w:fldChar w:fldCharType="separate"/>
          </w:r>
          <w:r>
            <w:rPr>
              <w:rFonts w:hint="eastAsia" w:ascii="黑体" w:hAnsi="黑体" w:eastAsia="黑体" w:cs="黑体"/>
              <w:sz w:val="30"/>
              <w:szCs w:val="30"/>
            </w:rPr>
            <w:t>十一、大赛安全保障</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_Toc10213 </w:instrText>
          </w:r>
          <w:r>
            <w:rPr>
              <w:rFonts w:hint="eastAsia" w:ascii="黑体" w:hAnsi="黑体" w:eastAsia="黑体" w:cs="黑体"/>
              <w:sz w:val="30"/>
              <w:szCs w:val="30"/>
            </w:rPr>
            <w:fldChar w:fldCharType="separate"/>
          </w:r>
          <w:r>
            <w:rPr>
              <w:rFonts w:ascii="黑体" w:hAnsi="黑体" w:eastAsia="黑体" w:cs="黑体"/>
              <w:sz w:val="30"/>
              <w:szCs w:val="30"/>
            </w:rPr>
            <w:t>19</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"_Toc31281" </w:instrText>
          </w:r>
          <w:r>
            <w:fldChar w:fldCharType="separate"/>
          </w:r>
          <w:r>
            <w:rPr>
              <w:rFonts w:hint="eastAsia" w:ascii="黑体" w:hAnsi="黑体" w:eastAsia="黑体" w:cs="黑体"/>
              <w:sz w:val="30"/>
              <w:szCs w:val="30"/>
            </w:rPr>
            <w:t>十二、大赛组织与管理</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_Toc31281 </w:instrText>
          </w:r>
          <w:r>
            <w:rPr>
              <w:rFonts w:hint="eastAsia" w:ascii="黑体" w:hAnsi="黑体" w:eastAsia="黑体" w:cs="黑体"/>
              <w:sz w:val="30"/>
              <w:szCs w:val="30"/>
            </w:rPr>
            <w:fldChar w:fldCharType="separate"/>
          </w:r>
          <w:r>
            <w:rPr>
              <w:rFonts w:ascii="黑体" w:hAnsi="黑体" w:eastAsia="黑体" w:cs="黑体"/>
              <w:sz w:val="30"/>
              <w:szCs w:val="30"/>
            </w:rPr>
            <w:t>20</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"_Toc10439" </w:instrText>
          </w:r>
          <w:r>
            <w:fldChar w:fldCharType="separate"/>
          </w:r>
          <w:r>
            <w:rPr>
              <w:rFonts w:hint="eastAsia" w:ascii="楷体" w:hAnsi="楷体" w:eastAsia="楷体" w:cs="楷体"/>
              <w:sz w:val="30"/>
              <w:szCs w:val="30"/>
            </w:rPr>
            <w:t>（一） 大赛设备与设施管理</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_Toc10439 </w:instrText>
          </w:r>
          <w:r>
            <w:rPr>
              <w:rFonts w:hint="eastAsia" w:ascii="楷体" w:hAnsi="楷体" w:eastAsia="楷体" w:cs="楷体"/>
              <w:sz w:val="30"/>
              <w:szCs w:val="30"/>
            </w:rPr>
            <w:fldChar w:fldCharType="separate"/>
          </w:r>
          <w:r>
            <w:rPr>
              <w:rFonts w:ascii="楷体" w:hAnsi="楷体" w:eastAsia="楷体" w:cs="楷体"/>
              <w:sz w:val="30"/>
              <w:szCs w:val="30"/>
            </w:rPr>
            <w:t>20</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9"/>
            <w:tabs>
              <w:tab w:val="right" w:leader="dot" w:pos="9740"/>
            </w:tabs>
            <w:spacing w:line="770" w:lineRule="exact"/>
            <w:ind w:left="420"/>
            <w:rPr>
              <w:rFonts w:ascii="楷体" w:hAnsi="楷体" w:eastAsia="楷体" w:cs="楷体"/>
              <w:sz w:val="30"/>
              <w:szCs w:val="30"/>
            </w:rPr>
          </w:pPr>
          <w:r>
            <w:fldChar w:fldCharType="begin"/>
          </w:r>
          <w:r>
            <w:instrText xml:space="preserve"> HYPERLINK \l "_Toc7943" </w:instrText>
          </w:r>
          <w:r>
            <w:fldChar w:fldCharType="separate"/>
          </w:r>
          <w:r>
            <w:rPr>
              <w:rFonts w:hint="eastAsia" w:ascii="楷体" w:hAnsi="楷体" w:eastAsia="楷体" w:cs="楷体"/>
              <w:sz w:val="30"/>
              <w:szCs w:val="30"/>
            </w:rPr>
            <w:t>（二） 大赛监督与仲裁管理</w:t>
          </w:r>
          <w:r>
            <w:rPr>
              <w:rFonts w:hint="eastAsia" w:ascii="楷体" w:hAnsi="楷体" w:eastAsia="楷体" w:cs="楷体"/>
              <w:sz w:val="30"/>
              <w:szCs w:val="30"/>
            </w:rPr>
            <w:tab/>
          </w:r>
          <w:r>
            <w:rPr>
              <w:rFonts w:hint="eastAsia" w:ascii="楷体" w:hAnsi="楷体" w:eastAsia="楷体" w:cs="楷体"/>
              <w:sz w:val="30"/>
              <w:szCs w:val="30"/>
            </w:rPr>
            <w:fldChar w:fldCharType="begin"/>
          </w:r>
          <w:r>
            <w:rPr>
              <w:rFonts w:hint="eastAsia" w:ascii="楷体" w:hAnsi="楷体" w:eastAsia="楷体" w:cs="楷体"/>
              <w:sz w:val="30"/>
              <w:szCs w:val="30"/>
            </w:rPr>
            <w:instrText xml:space="preserve"> PAGEREF _Toc7943 </w:instrText>
          </w:r>
          <w:r>
            <w:rPr>
              <w:rFonts w:hint="eastAsia" w:ascii="楷体" w:hAnsi="楷体" w:eastAsia="楷体" w:cs="楷体"/>
              <w:sz w:val="30"/>
              <w:szCs w:val="30"/>
            </w:rPr>
            <w:fldChar w:fldCharType="separate"/>
          </w:r>
          <w:r>
            <w:rPr>
              <w:rFonts w:ascii="楷体" w:hAnsi="楷体" w:eastAsia="楷体" w:cs="楷体"/>
              <w:sz w:val="30"/>
              <w:szCs w:val="30"/>
            </w:rPr>
            <w:t>22</w:t>
          </w:r>
          <w:r>
            <w:rPr>
              <w:rFonts w:hint="eastAsia" w:ascii="楷体" w:hAnsi="楷体" w:eastAsia="楷体" w:cs="楷体"/>
              <w:sz w:val="30"/>
              <w:szCs w:val="30"/>
            </w:rPr>
            <w:fldChar w:fldCharType="end"/>
          </w:r>
          <w:r>
            <w:rPr>
              <w:rFonts w:hint="eastAsia" w:ascii="楷体" w:hAnsi="楷体" w:eastAsia="楷体" w:cs="楷体"/>
              <w:sz w:val="30"/>
              <w:szCs w:val="30"/>
            </w:rPr>
            <w:fldChar w:fldCharType="end"/>
          </w:r>
        </w:p>
        <w:p>
          <w:pPr>
            <w:pStyle w:val="18"/>
            <w:tabs>
              <w:tab w:val="right" w:leader="dot" w:pos="9740"/>
            </w:tabs>
            <w:spacing w:line="770" w:lineRule="exact"/>
            <w:rPr>
              <w:rFonts w:ascii="黑体" w:hAnsi="黑体" w:eastAsia="黑体" w:cs="黑体"/>
              <w:sz w:val="30"/>
              <w:szCs w:val="30"/>
            </w:rPr>
          </w:pPr>
          <w:r>
            <w:fldChar w:fldCharType="begin"/>
          </w:r>
          <w:r>
            <w:instrText xml:space="preserve"> HYPERLINK \l "_Toc7918" </w:instrText>
          </w:r>
          <w:r>
            <w:fldChar w:fldCharType="separate"/>
          </w:r>
          <w:r>
            <w:rPr>
              <w:rFonts w:hint="eastAsia" w:ascii="黑体" w:hAnsi="黑体" w:eastAsia="黑体" w:cs="黑体"/>
              <w:sz w:val="30"/>
              <w:szCs w:val="30"/>
            </w:rPr>
            <w:t>十三、裁判人员要求</w:t>
          </w:r>
          <w:r>
            <w:rPr>
              <w:rFonts w:hint="eastAsia" w:ascii="黑体" w:hAnsi="黑体" w:eastAsia="黑体" w:cs="黑体"/>
              <w:sz w:val="30"/>
              <w:szCs w:val="30"/>
            </w:rPr>
            <w:tab/>
          </w:r>
          <w:r>
            <w:rPr>
              <w:rFonts w:hint="eastAsia" w:ascii="黑体" w:hAnsi="黑体" w:eastAsia="黑体" w:cs="黑体"/>
              <w:sz w:val="30"/>
              <w:szCs w:val="30"/>
            </w:rPr>
            <w:fldChar w:fldCharType="begin"/>
          </w:r>
          <w:r>
            <w:rPr>
              <w:rFonts w:hint="eastAsia" w:ascii="黑体" w:hAnsi="黑体" w:eastAsia="黑体" w:cs="黑体"/>
              <w:sz w:val="30"/>
              <w:szCs w:val="30"/>
            </w:rPr>
            <w:instrText xml:space="preserve"> PAGEREF _Toc7918 </w:instrText>
          </w:r>
          <w:r>
            <w:rPr>
              <w:rFonts w:hint="eastAsia" w:ascii="黑体" w:hAnsi="黑体" w:eastAsia="黑体" w:cs="黑体"/>
              <w:sz w:val="30"/>
              <w:szCs w:val="30"/>
            </w:rPr>
            <w:fldChar w:fldCharType="separate"/>
          </w:r>
          <w:r>
            <w:rPr>
              <w:rFonts w:ascii="黑体" w:hAnsi="黑体" w:eastAsia="黑体" w:cs="黑体"/>
              <w:sz w:val="30"/>
              <w:szCs w:val="30"/>
            </w:rPr>
            <w:t>23</w:t>
          </w:r>
          <w:r>
            <w:rPr>
              <w:rFonts w:hint="eastAsia" w:ascii="黑体" w:hAnsi="黑体" w:eastAsia="黑体" w:cs="黑体"/>
              <w:sz w:val="30"/>
              <w:szCs w:val="30"/>
            </w:rPr>
            <w:fldChar w:fldCharType="end"/>
          </w:r>
          <w:r>
            <w:rPr>
              <w:rFonts w:hint="eastAsia" w:ascii="黑体" w:hAnsi="黑体" w:eastAsia="黑体" w:cs="黑体"/>
              <w:sz w:val="30"/>
              <w:szCs w:val="30"/>
            </w:rPr>
            <w:fldChar w:fldCharType="end"/>
          </w:r>
        </w:p>
        <w:p>
          <w:pPr>
            <w:spacing w:line="770" w:lineRule="exact"/>
            <w:sectPr>
              <w:footerReference r:id="rId4" w:type="default"/>
              <w:pgSz w:w="11906" w:h="16839"/>
              <w:pgMar w:top="1431" w:right="1076" w:bottom="1759" w:left="1090" w:header="0" w:footer="1616" w:gutter="0"/>
              <w:pgNumType w:fmt="numberInDash" w:start="1"/>
              <w:cols w:space="720" w:num="1"/>
            </w:sectPr>
          </w:pPr>
          <w:r>
            <w:fldChar w:fldCharType="end"/>
          </w:r>
        </w:p>
      </w:sdtContent>
    </w:sdt>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0" w:name="_Toc2087"/>
      <w:r>
        <w:rPr>
          <w:rFonts w:ascii="黑体" w:hAnsi="黑体" w:eastAsia="黑体" w:cs="黑体"/>
          <w:sz w:val="30"/>
          <w:szCs w:val="30"/>
        </w:rPr>
        <w:t>一、大赛名称</w:t>
      </w:r>
      <w:bookmarkEnd w:id="0"/>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z w:val="28"/>
          <w:szCs w:val="28"/>
        </w:rPr>
      </w:pPr>
      <w:r>
        <w:rPr>
          <w:rFonts w:hint="eastAsia" w:ascii="仿宋_GB2312" w:hAnsi="仿宋" w:eastAsia="仿宋_GB2312" w:cs="仿宋"/>
          <w:spacing w:val="-3"/>
          <w:sz w:val="28"/>
          <w:szCs w:val="28"/>
        </w:rPr>
        <w:t>2023年江苏省工业和信息化技术技能大赛——5G+虚拟现实开发应用赛项。</w:t>
      </w:r>
    </w:p>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1" w:name="_Toc14092"/>
      <w:r>
        <w:rPr>
          <w:rFonts w:ascii="黑体" w:hAnsi="黑体" w:eastAsia="黑体" w:cs="黑体"/>
          <w:sz w:val="30"/>
          <w:szCs w:val="30"/>
        </w:rPr>
        <w:t>二、大赛意义</w:t>
      </w:r>
      <w:bookmarkEnd w:id="1"/>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Times New Roman" w:hAnsi="Times New Roman" w:eastAsia="仿宋_GB2312" w:cs="仿宋"/>
          <w:sz w:val="28"/>
          <w:szCs w:val="28"/>
        </w:rPr>
      </w:pPr>
      <w:r>
        <w:rPr>
          <w:rFonts w:hint="eastAsia" w:ascii="仿宋_GB2312" w:hAnsi="仿宋" w:eastAsia="仿宋_GB2312" w:cs="仿宋"/>
          <w:sz w:val="28"/>
          <w:szCs w:val="28"/>
        </w:rPr>
        <w:t>本次大赛</w:t>
      </w:r>
      <w:r>
        <w:rPr>
          <w:rFonts w:hint="eastAsia" w:ascii="仿宋_GB2312" w:hAnsi="仿宋" w:eastAsia="仿宋_GB2312" w:cs="仿宋"/>
          <w:spacing w:val="-3"/>
          <w:sz w:val="28"/>
          <w:szCs w:val="28"/>
        </w:rPr>
        <w:t>为全面贯彻落实习近平总书记对技能人才工作的重要指示精神，在全社会更好地弘扬精益求精的工匠精神，激励广大院校师生和企业职工走技能成才、技能报国之路，</w:t>
      </w:r>
      <w:r>
        <w:rPr>
          <w:rFonts w:hint="eastAsia" w:ascii="Times New Roman" w:hAnsi="Times New Roman" w:eastAsia="仿宋_GB2312" w:cs="仿宋"/>
          <w:sz w:val="28"/>
          <w:szCs w:val="28"/>
        </w:rPr>
        <w:t>为营造“尊重劳动、尊重知识、技能成才、技能报国”的浓厚社会氛围提供有力支撑。同时为深入贯彻《虚拟现实与行业应用融合发展行动计划（2022-2026年）》，本次大赛以虚拟现实技术为核心，通过发挥“以赛促产”“以赛促教”“以赛促改”的带动作用，进一步深化虚拟现实与工业等产业有机融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hAnsi="仿宋" w:eastAsia="仿宋_GB2312" w:cs="仿宋_GB2312"/>
          <w:sz w:val="28"/>
          <w:szCs w:val="28"/>
        </w:rPr>
      </w:pPr>
      <w:r>
        <w:rPr>
          <w:rFonts w:hint="eastAsia" w:ascii="Times New Roman" w:hAnsi="Times New Roman" w:eastAsia="仿宋_GB2312" w:cs="仿宋"/>
          <w:sz w:val="28"/>
          <w:szCs w:val="28"/>
        </w:rPr>
        <w:t>本次大赛设置的5</w:t>
      </w:r>
      <w:r>
        <w:rPr>
          <w:rFonts w:ascii="Times New Roman" w:hAnsi="Times New Roman" w:eastAsia="仿宋_GB2312" w:cs="仿宋"/>
          <w:sz w:val="28"/>
          <w:szCs w:val="28"/>
        </w:rPr>
        <w:t>G+</w:t>
      </w:r>
      <w:r>
        <w:rPr>
          <w:rFonts w:hint="eastAsia" w:ascii="Times New Roman" w:hAnsi="Times New Roman" w:eastAsia="仿宋_GB2312" w:cs="仿宋"/>
          <w:sz w:val="28"/>
          <w:szCs w:val="28"/>
        </w:rPr>
        <w:t>虚拟现实开发应用赛项，是推动制造业数字化转型的重点专业领域，赛项通过考核选手应用计算机视觉追踪、渲染处理、感知交互、多人协作、网络传输和虚实融合等多模态人机交互专业技术的能力选拔一批高素质专业化数字人才。竞赛题目精准围绕着“虚拟现实与产业融合发展”主线，以实际行业及产业需求和痛点为导向，</w:t>
      </w:r>
      <w:r>
        <w:rPr>
          <w:rFonts w:hint="eastAsia" w:ascii="仿宋_GB2312" w:hAnsi="仿宋" w:eastAsia="仿宋_GB2312" w:cs="仿宋_GB2312"/>
          <w:sz w:val="28"/>
          <w:szCs w:val="28"/>
        </w:rPr>
        <w:t>助力提升虚拟现实和产业融合的技术创新能力，激发产业服务体系创新活力，加快行业融合发展，构建完善的产业创新发展生态。</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Times New Roman" w:hAnsi="Times New Roman" w:eastAsia="仿宋_GB2312" w:cs="仿宋"/>
          <w:sz w:val="28"/>
          <w:szCs w:val="28"/>
        </w:rPr>
      </w:pPr>
      <w:r>
        <w:rPr>
          <w:rFonts w:hint="eastAsia" w:ascii="Times New Roman" w:hAnsi="Times New Roman" w:eastAsia="仿宋_GB2312" w:cs="仿宋"/>
          <w:sz w:val="28"/>
          <w:szCs w:val="28"/>
        </w:rPr>
        <w:t>大赛具有很好的科普宣传效果，虚拟现实技术的发展日新月异，借助虚拟现实技术丰富的三维视觉，展现新一代信息技术在工业生产等各领域应用的成果，基于虚拟现实良好的互动性，用户可以主动参与到项目体验中，与可视界面进行头部手部六自由度交互，具有良好的参与感，以此来向全社会科普行业领域的科学思想和科学观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z w:val="28"/>
          <w:szCs w:val="28"/>
        </w:rPr>
        <w:t>大赛的举办有助于推进关键技术融合创新，围绕近眼显示、渲染处理、感知交互、网络传输、内容生产、压缩编码等关键细分领域，做优“虚拟现实+”内生能力，强化虚拟现实与5G、人工智能、云计算、数字孪生等新一代信息技术的深度融合，叠加“虚拟现实+”赋能能力。</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hAnsi="仿宋" w:eastAsia="仿宋_GB2312" w:cs="仿宋_GB2312"/>
          <w:sz w:val="28"/>
          <w:szCs w:val="28"/>
        </w:rPr>
      </w:pPr>
      <w:r>
        <w:rPr>
          <w:rFonts w:hint="eastAsia" w:ascii="仿宋_GB2312" w:hAnsi="Times New Roman" w:eastAsia="仿宋_GB2312" w:cs="仿宋"/>
          <w:sz w:val="28"/>
          <w:szCs w:val="28"/>
        </w:rPr>
        <w:t>大赛旨在搭建虚拟现实交流学习平台，培养具有创新精神、全球化视野和终身学习能力的高素质数字化人才，为产业数字化智能化升级提供有力支撑。</w:t>
      </w:r>
    </w:p>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2" w:name="_Toc24213"/>
      <w:r>
        <w:rPr>
          <w:rFonts w:ascii="黑体" w:hAnsi="黑体" w:eastAsia="黑体" w:cs="黑体"/>
          <w:sz w:val="30"/>
          <w:szCs w:val="30"/>
        </w:rPr>
        <w:t>三、大赛内容、形式和成绩计算</w:t>
      </w:r>
      <w:bookmarkEnd w:id="2"/>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color w:val="FF0000"/>
          <w:sz w:val="30"/>
          <w:szCs w:val="30"/>
        </w:rPr>
      </w:pPr>
      <w:bookmarkStart w:id="3" w:name="_Toc10431"/>
      <w:r>
        <w:rPr>
          <w:rFonts w:hint="eastAsia" w:ascii="楷体" w:hAnsi="楷体" w:eastAsia="楷体" w:cs="楷体"/>
          <w:sz w:val="30"/>
          <w:szCs w:val="30"/>
        </w:rPr>
        <w:t>（一） 竞赛内容</w:t>
      </w:r>
      <w:bookmarkEnd w:id="3"/>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竞赛内容分为理论</w:t>
      </w:r>
      <w:r>
        <w:rPr>
          <w:rFonts w:hint="eastAsia" w:ascii="仿宋_GB2312" w:hAnsi="宋体" w:eastAsia="仿宋_GB2312" w:cs="宋体"/>
          <w:spacing w:val="-3"/>
          <w:sz w:val="28"/>
          <w:szCs w:val="28"/>
        </w:rPr>
        <w:t>考试</w:t>
      </w:r>
      <w:r>
        <w:rPr>
          <w:rFonts w:hint="eastAsia" w:ascii="仿宋_GB2312" w:hAnsi="仿宋" w:eastAsia="仿宋_GB2312" w:cs="仿宋"/>
          <w:spacing w:val="-3"/>
          <w:sz w:val="28"/>
          <w:szCs w:val="28"/>
        </w:rPr>
        <w:t>和</w:t>
      </w:r>
      <w:r>
        <w:rPr>
          <w:rFonts w:hint="eastAsia" w:ascii="仿宋_GB2312" w:hAnsi="宋体" w:eastAsia="仿宋_GB2312" w:cs="宋体"/>
          <w:spacing w:val="-3"/>
          <w:sz w:val="28"/>
          <w:szCs w:val="28"/>
        </w:rPr>
        <w:t>实践操作</w:t>
      </w:r>
      <w:r>
        <w:rPr>
          <w:rFonts w:hint="eastAsia" w:ascii="仿宋_GB2312" w:hAnsi="仿宋" w:eastAsia="仿宋_GB2312" w:cs="仿宋"/>
          <w:spacing w:val="-3"/>
          <w:sz w:val="28"/>
          <w:szCs w:val="28"/>
        </w:rPr>
        <w:t>，理论</w:t>
      </w:r>
      <w:r>
        <w:rPr>
          <w:rFonts w:hint="eastAsia" w:ascii="仿宋_GB2312" w:hAnsi="宋体" w:eastAsia="仿宋_GB2312" w:cs="宋体"/>
          <w:spacing w:val="-3"/>
          <w:sz w:val="28"/>
          <w:szCs w:val="28"/>
        </w:rPr>
        <w:t>考试</w:t>
      </w:r>
      <w:r>
        <w:rPr>
          <w:rFonts w:hint="eastAsia" w:ascii="仿宋_GB2312" w:hAnsi="仿宋" w:eastAsia="仿宋_GB2312" w:cs="仿宋"/>
          <w:spacing w:val="-3"/>
          <w:sz w:val="28"/>
          <w:szCs w:val="28"/>
        </w:rPr>
        <w:t>包含选择题和判断题，</w:t>
      </w:r>
      <w:r>
        <w:rPr>
          <w:rFonts w:hint="eastAsia" w:ascii="仿宋_GB2312" w:hAnsi="宋体" w:eastAsia="仿宋_GB2312" w:cs="宋体"/>
          <w:spacing w:val="-3"/>
          <w:sz w:val="28"/>
          <w:szCs w:val="28"/>
        </w:rPr>
        <w:t>实践操作</w:t>
      </w:r>
      <w:r>
        <w:rPr>
          <w:rFonts w:hint="eastAsia" w:ascii="仿宋_GB2312" w:hAnsi="仿宋" w:eastAsia="仿宋_GB2312" w:cs="仿宋"/>
          <w:spacing w:val="-3"/>
          <w:sz w:val="28"/>
          <w:szCs w:val="28"/>
        </w:rPr>
        <w:t>是在虚拟现实技术的基础上，结合特定的工业生产环境，参赛选手使用计算机视觉追踪、渲染处理、感知交互、多人协作、网络传输和虚实融合等多模态人机交互技术，通过开发平台搭建、交互设计编码、远程协作通信、虚实画面融合直播等任务，开发创新虚拟现实工业应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任务一：开发平台搭建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能正确适配开发工作站和XR头显（XR即扩展现实，包括虚拟现实VR，增强现实AR和混合现实MR，下同），正确应用赛项相关技术开发平台。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任务二：交互设计编码</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针对赛项命题中所涉及的产业实际问题，基于相应的三维场景资源通过代码编写进行交互设计。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任务三：远程协作通信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基于XR头显的远程通信API开发接口，实现多人协同操作、音频互动等远程通信功能。</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lang w:eastAsia="zh-Hans"/>
        </w:rPr>
      </w:pPr>
      <w:r>
        <w:rPr>
          <w:rFonts w:hint="eastAsia" w:ascii="仿宋_GB2312" w:hAnsi="仿宋" w:eastAsia="仿宋_GB2312" w:cs="仿宋"/>
          <w:spacing w:val="-3"/>
          <w:sz w:val="28"/>
          <w:szCs w:val="28"/>
        </w:rPr>
        <w:t>任务四：虚实画面融合</w:t>
      </w:r>
      <w:r>
        <w:rPr>
          <w:rFonts w:hint="eastAsia" w:ascii="仿宋_GB2312" w:hAnsi="仿宋" w:eastAsia="仿宋_GB2312" w:cs="仿宋"/>
          <w:spacing w:val="-3"/>
          <w:sz w:val="28"/>
          <w:szCs w:val="28"/>
          <w:lang w:eastAsia="zh-Hans"/>
        </w:rPr>
        <w:t>直播</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通过代码编写实现虚拟场景与实际场景同步融合，将虚实融合画面同步直播到第三方显示设备。</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4" w:name="_Toc16846"/>
      <w:r>
        <w:rPr>
          <w:rFonts w:ascii="楷体" w:hAnsi="楷体" w:eastAsia="楷体" w:cs="楷体"/>
          <w:sz w:val="30"/>
          <w:szCs w:val="30"/>
        </w:rPr>
        <w:t>（二） 竞赛形式</w:t>
      </w:r>
      <w:bookmarkEnd w:id="4"/>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本次竞赛分为职工组（含教师）和学生组，各组别均为两人团体赛，不得跨单位组队，职工组与学生组考试内容一致，评分标准不同。</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5" w:name="_Toc22631"/>
      <w:r>
        <w:rPr>
          <w:rFonts w:hint="eastAsia" w:ascii="楷体" w:hAnsi="楷体" w:eastAsia="楷体" w:cs="楷体"/>
          <w:sz w:val="30"/>
          <w:szCs w:val="30"/>
        </w:rPr>
        <w:t>（</w:t>
      </w:r>
      <w:r>
        <w:rPr>
          <w:rFonts w:ascii="楷体" w:hAnsi="楷体" w:eastAsia="楷体" w:cs="楷体"/>
          <w:sz w:val="30"/>
          <w:szCs w:val="30"/>
        </w:rPr>
        <w:t>三） 报名条件</w:t>
      </w:r>
      <w:bookmarkEnd w:id="5"/>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具有虚拟现实相关职业工作经历的企业在职人员，从事相关专业工作的高等院校、职业院校（含技工院校，下同）在职人员，以及高等院校、职业院校相关专业全日制在籍学生均可报名参赛。</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已获得“中华技能大奖”、“全国技术能手”称号及取得“全国技术能手”申报资格的人员，不得以选手身份参赛。具有全日制学籍的在校创业学生不得以职工身份参赛。</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6" w:name="_Toc25073"/>
      <w:r>
        <w:rPr>
          <w:rFonts w:hint="eastAsia" w:ascii="楷体" w:hAnsi="楷体" w:eastAsia="楷体" w:cs="楷体"/>
          <w:sz w:val="30"/>
          <w:szCs w:val="30"/>
        </w:rPr>
        <w:t>（四） 成绩计算</w:t>
      </w:r>
      <w:bookmarkEnd w:id="6"/>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理论考试竞赛满分为 100 分，按20%的比例折算计入竞赛总成绩。赛题均为客观题，采用机考方式实现。团队成绩取2名选手的平均值。实践操作竞赛满分为80分计入竞赛总成绩。折算后的理论考试成绩与实践操作成绩相加得出参赛选手竞赛总成绩，满分为100分。</w:t>
      </w:r>
    </w:p>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7" w:name="_Toc28996"/>
      <w:r>
        <w:rPr>
          <w:rFonts w:ascii="黑体" w:hAnsi="黑体" w:eastAsia="黑体" w:cs="黑体"/>
          <w:sz w:val="30"/>
          <w:szCs w:val="30"/>
        </w:rPr>
        <w:t>四、大赛命题原则</w:t>
      </w:r>
      <w:bookmarkEnd w:id="7"/>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在命题方向上，聚焦虚拟现实和产业深度融合发展领域，以实际行业及产业需求和痛点为导向，同时竞赛借鉴世界技能大赛命题方法，适当增加相关新知识、新技术、新设备、新技能等内容，结合企业职业岗位对人才培养的需求，参照相关国家职业标准制定。</w:t>
      </w:r>
    </w:p>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8" w:name="_Toc17314"/>
      <w:r>
        <w:rPr>
          <w:rFonts w:ascii="黑体" w:hAnsi="黑体" w:eastAsia="黑体" w:cs="黑体"/>
          <w:sz w:val="30"/>
          <w:szCs w:val="30"/>
        </w:rPr>
        <w:t>五、大赛范围、赛题类型和其他</w:t>
      </w:r>
      <w:bookmarkEnd w:id="8"/>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9" w:name="_Toc32501"/>
      <w:r>
        <w:rPr>
          <w:rFonts w:hint="eastAsia" w:ascii="楷体" w:hAnsi="楷体" w:eastAsia="楷体" w:cs="楷体"/>
          <w:sz w:val="30"/>
          <w:szCs w:val="30"/>
        </w:rPr>
        <w:t>（一）理论知识竞赛</w:t>
      </w:r>
      <w:bookmarkEnd w:id="9"/>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理论考试为机考，通过大赛指定竞赛平台完成，建立竞赛标准题库，采用计算机随机抽取的方式；竞赛评分将由系统自动完成，理论知识主要包括通信技术、三维建模与动画、虚拟现实引擎应用、界面交互设计、行业应用、技术趋势、未来展望等方面知识。理论考试竞赛时间为1小时。</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10" w:name="_Toc23397"/>
      <w:r>
        <w:rPr>
          <w:rFonts w:hint="eastAsia" w:ascii="楷体" w:hAnsi="楷体" w:eastAsia="楷体" w:cs="楷体"/>
          <w:sz w:val="30"/>
          <w:szCs w:val="30"/>
        </w:rPr>
        <w:t>（二）实践操作竞赛</w:t>
      </w:r>
      <w:bookmarkEnd w:id="10"/>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实践操作考核范围是虚拟现实作品开发一般流程，包含开发平台搭建、交互设计编码、远程协作通信、虚实画面融合</w:t>
      </w:r>
      <w:r>
        <w:rPr>
          <w:rFonts w:hint="eastAsia" w:ascii="仿宋_GB2312" w:hAnsi="仿宋" w:eastAsia="仿宋_GB2312" w:cs="仿宋"/>
          <w:spacing w:val="-3"/>
          <w:sz w:val="28"/>
          <w:szCs w:val="28"/>
          <w:lang w:eastAsia="zh-Hans"/>
        </w:rPr>
        <w:t>直播</w:t>
      </w:r>
      <w:r>
        <w:rPr>
          <w:rFonts w:hint="eastAsia" w:ascii="仿宋_GB2312" w:hAnsi="仿宋" w:eastAsia="仿宋_GB2312" w:cs="仿宋"/>
          <w:spacing w:val="-3"/>
          <w:sz w:val="28"/>
          <w:szCs w:val="28"/>
        </w:rPr>
        <w:t>四个阶段，题型为实操。作品开发连续进行，总时长</w:t>
      </w:r>
      <w:r>
        <w:rPr>
          <w:rFonts w:ascii="仿宋_GB2312" w:hAnsi="仿宋" w:eastAsia="仿宋_GB2312" w:cs="仿宋"/>
          <w:spacing w:val="-3"/>
          <w:sz w:val="28"/>
          <w:szCs w:val="28"/>
        </w:rPr>
        <w:t>8</w:t>
      </w:r>
      <w:r>
        <w:rPr>
          <w:rFonts w:hint="eastAsia" w:ascii="仿宋_GB2312" w:hAnsi="仿宋" w:eastAsia="仿宋_GB2312" w:cs="仿宋"/>
          <w:spacing w:val="-3"/>
          <w:sz w:val="28"/>
          <w:szCs w:val="28"/>
        </w:rPr>
        <w:t>小时。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竞赛评分将采用定性与定量结合的方法，客观公正地评出各赛项任务 的分数，由赛项内容的特性决定，在体验性、交互性等多方面进行评价，根据评分标准精确打分。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竞赛考核的具体技能点及考核方式如表</w:t>
      </w:r>
      <w:r>
        <w:rPr>
          <w:rFonts w:ascii="仿宋_GB2312" w:hAnsi="仿宋" w:eastAsia="仿宋_GB2312" w:cs="仿宋"/>
          <w:spacing w:val="-3"/>
          <w:sz w:val="28"/>
          <w:szCs w:val="28"/>
        </w:rPr>
        <w:t>5</w:t>
      </w:r>
      <w:r>
        <w:rPr>
          <w:rFonts w:hint="eastAsia" w:ascii="仿宋_GB2312" w:hAnsi="仿宋" w:eastAsia="仿宋_GB2312" w:cs="仿宋"/>
          <w:spacing w:val="-3"/>
          <w:sz w:val="28"/>
          <w:szCs w:val="28"/>
        </w:rPr>
        <w:t>、表6所示。</w:t>
      </w:r>
    </w:p>
    <w:p>
      <w:pPr>
        <w:keepNext w:val="0"/>
        <w:keepLines w:val="0"/>
        <w:pageBreakBefore w:val="0"/>
        <w:widowControl/>
        <w:kinsoku w:val="0"/>
        <w:wordWrap/>
        <w:overflowPunct/>
        <w:topLinePunct w:val="0"/>
        <w:autoSpaceDE w:val="0"/>
        <w:autoSpaceDN w:val="0"/>
        <w:bidi w:val="0"/>
        <w:adjustRightInd w:val="0"/>
        <w:snapToGrid w:val="0"/>
        <w:spacing w:before="450" w:line="188" w:lineRule="auto"/>
        <w:ind w:firstLine="600" w:firstLineChars="200"/>
        <w:jc w:val="both"/>
        <w:textAlignment w:val="baseline"/>
        <w:outlineLvl w:val="0"/>
        <w:rPr>
          <w:rFonts w:ascii="黑体" w:hAnsi="黑体" w:eastAsia="黑体" w:cs="黑体"/>
          <w:sz w:val="30"/>
          <w:szCs w:val="30"/>
        </w:rPr>
      </w:pPr>
      <w:bookmarkStart w:id="11" w:name="_Toc27086"/>
      <w:r>
        <w:rPr>
          <w:rFonts w:ascii="黑体" w:hAnsi="黑体" w:eastAsia="黑体" w:cs="黑体"/>
          <w:sz w:val="30"/>
          <w:szCs w:val="30"/>
        </w:rPr>
        <w:t>六、大赛场地与设施</w:t>
      </w:r>
      <w:bookmarkEnd w:id="11"/>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12" w:name="_Toc9874"/>
      <w:r>
        <w:rPr>
          <w:rFonts w:hint="eastAsia" w:ascii="楷体" w:hAnsi="楷体" w:eastAsia="楷体" w:cs="楷体"/>
          <w:sz w:val="30"/>
          <w:szCs w:val="30"/>
        </w:rPr>
        <w:t>（一） 大赛场地</w:t>
      </w:r>
      <w:bookmarkEnd w:id="12"/>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理论场地：标准计算机房，有局域网，可断外网。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实操场地：竞赛现场设置竞赛区、裁判区、服务区、技术支持区。现场保证良好的采光、照明和通风，提供稳定的水、电和供电应急设备，同时提供教练休息场所。</w:t>
      </w:r>
    </w:p>
    <w:p>
      <w:pPr>
        <w:spacing w:line="560" w:lineRule="exact"/>
        <w:ind w:firstLine="548" w:firstLineChars="200"/>
        <w:rPr>
          <w:rFonts w:ascii="仿宋_GB2312" w:hAnsi="仿宋" w:eastAsia="仿宋_GB2312" w:cs="仿宋"/>
          <w:spacing w:val="-3"/>
          <w:sz w:val="28"/>
          <w:szCs w:val="28"/>
        </w:rPr>
      </w:pPr>
      <w:r>
        <w:rPr>
          <w:rFonts w:hint="eastAsia" w:ascii="仿宋_GB2312" w:hAnsi="仿宋" w:eastAsia="仿宋_GB2312" w:cs="仿宋"/>
          <w:spacing w:val="-3"/>
          <w:sz w:val="28"/>
          <w:szCs w:val="28"/>
        </w:rPr>
        <w:t>竞赛设备：所有竞赛设备由赛项执委会负责提供和保障，竞赛区按照参赛队数量准备比赛所需的软硬件平台，为参赛队提供标准竞赛设备。</w:t>
      </w:r>
    </w:p>
    <w:p>
      <w:pPr>
        <w:spacing w:line="560" w:lineRule="exact"/>
        <w:ind w:firstLine="548" w:firstLineChars="200"/>
        <w:rPr>
          <w:rFonts w:ascii="仿宋_GB2312" w:hAnsi="仿宋" w:eastAsia="仿宋_GB2312" w:cs="仿宋"/>
          <w:spacing w:val="-3"/>
          <w:sz w:val="28"/>
          <w:szCs w:val="28"/>
        </w:rPr>
      </w:pPr>
      <w:r>
        <w:rPr>
          <w:rFonts w:hint="eastAsia" w:ascii="仿宋_GB2312" w:hAnsi="仿宋" w:eastAsia="仿宋_GB2312" w:cs="仿宋"/>
          <w:spacing w:val="-3"/>
          <w:sz w:val="28"/>
          <w:szCs w:val="28"/>
        </w:rPr>
        <w:t>竞赛工位：竞赛现场各个工位配备单相220V/3A以上交流电源。每个比赛工位上标明编号。每个工位配有工作台，用于摆放 2 台计算机和考试设备工具（</w:t>
      </w:r>
      <w:r>
        <w:rPr>
          <w:rFonts w:ascii="仿宋_GB2312" w:hAnsi="仿宋" w:eastAsia="仿宋_GB2312" w:cs="仿宋"/>
          <w:spacing w:val="-3"/>
          <w:sz w:val="28"/>
          <w:szCs w:val="28"/>
        </w:rPr>
        <w:t>XR</w:t>
      </w:r>
      <w:r>
        <w:rPr>
          <w:rFonts w:hint="eastAsia" w:ascii="仿宋_GB2312" w:hAnsi="仿宋" w:eastAsia="仿宋_GB2312" w:cs="仿宋"/>
          <w:spacing w:val="-3"/>
          <w:sz w:val="28"/>
          <w:szCs w:val="28"/>
        </w:rPr>
        <w:t>头显）等，同时配备2把工作椅（凳），如下图1所示：</w:t>
      </w:r>
    </w:p>
    <w:p>
      <w:pPr>
        <w:jc w:val="center"/>
      </w:pPr>
      <w:r>
        <w:drawing>
          <wp:inline distT="0" distB="0" distL="0" distR="0">
            <wp:extent cx="4750435" cy="2901950"/>
            <wp:effectExtent l="0" t="0" r="0" b="0"/>
            <wp:docPr id="942602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60251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760630" cy="2908048"/>
                    </a:xfrm>
                    <a:prstGeom prst="rect">
                      <a:avLst/>
                    </a:prstGeom>
                    <a:noFill/>
                    <a:ln>
                      <a:noFill/>
                    </a:ln>
                  </pic:spPr>
                </pic:pic>
              </a:graphicData>
            </a:graphic>
          </wp:inline>
        </w:drawing>
      </w:r>
    </w:p>
    <w:p>
      <w:pPr>
        <w:jc w:val="center"/>
      </w:pPr>
    </w:p>
    <w:p>
      <w:pPr>
        <w:ind w:left="-2" w:leftChars="-1" w:firstLine="1"/>
        <w:jc w:val="center"/>
        <w:rPr>
          <w:rFonts w:ascii="仿宋" w:hAnsi="仿宋" w:eastAsia="仿宋" w:cs="仿宋"/>
          <w:spacing w:val="-3"/>
          <w:sz w:val="28"/>
          <w:szCs w:val="28"/>
        </w:rPr>
      </w:pPr>
      <w:r>
        <w:rPr>
          <w:rFonts w:ascii="仿宋" w:hAnsi="仿宋" w:eastAsia="仿宋" w:cs="仿宋"/>
          <w:spacing w:val="-3"/>
          <w:sz w:val="28"/>
          <w:szCs w:val="28"/>
        </w:rPr>
        <w:drawing>
          <wp:inline distT="0" distB="0" distL="0" distR="0">
            <wp:extent cx="4819650" cy="2914650"/>
            <wp:effectExtent l="0" t="0" r="0" b="0"/>
            <wp:docPr id="480625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62529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32662" cy="2923092"/>
                    </a:xfrm>
                    <a:prstGeom prst="rect">
                      <a:avLst/>
                    </a:prstGeom>
                    <a:noFill/>
                    <a:ln>
                      <a:noFill/>
                    </a:ln>
                  </pic:spPr>
                </pic:pic>
              </a:graphicData>
            </a:graphic>
          </wp:inline>
        </w:drawing>
      </w:r>
    </w:p>
    <w:p>
      <w:pPr>
        <w:spacing w:line="560" w:lineRule="exact"/>
        <w:ind w:firstLine="560" w:firstLineChars="200"/>
        <w:jc w:val="center"/>
        <w:rPr>
          <w:rFonts w:ascii="仿宋_GB2312" w:eastAsia="仿宋_GB2312"/>
          <w:sz w:val="28"/>
          <w:szCs w:val="28"/>
        </w:rPr>
      </w:pPr>
      <w:r>
        <w:rPr>
          <w:rFonts w:hint="eastAsia" w:ascii="仿宋_GB2312" w:eastAsia="仿宋_GB2312"/>
          <w:sz w:val="28"/>
          <w:szCs w:val="28"/>
        </w:rPr>
        <w:t>图1 场地示意图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技术支持区为参赛选手提供竞赛相关设备备件，服务区提供医疗等服务保障。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竞赛环境依据竞赛需求设计，在竞赛不被干扰的前提下赛场面向媒体、行业专家开放，允许媒体、行业专家在规定的时段内沿指定路线进行现场参观。</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13" w:name="_Toc32441"/>
      <w:r>
        <w:rPr>
          <w:rFonts w:hint="eastAsia" w:ascii="楷体" w:hAnsi="楷体" w:eastAsia="楷体" w:cs="楷体"/>
          <w:sz w:val="30"/>
          <w:szCs w:val="30"/>
        </w:rPr>
        <w:t>（二） 大赛设施</w:t>
      </w:r>
      <w:bookmarkEnd w:id="13"/>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大赛耗材及工具仪器、防护装备由大赛组委会提供；禁止携带任何电子产品及纸质材料物品等。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大赛软、硬件平台由大赛组委会提供，如下表所示：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1</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竞赛硬件平台</w:t>
      </w:r>
    </w:p>
    <w:p>
      <w:pPr>
        <w:spacing w:line="560" w:lineRule="exact"/>
        <w:ind w:firstLine="560" w:firstLineChars="200"/>
        <w:jc w:val="center"/>
        <w:rPr>
          <w:rFonts w:ascii="仿宋_GB2312" w:eastAsia="仿宋_GB2312"/>
          <w:sz w:val="28"/>
          <w:szCs w:val="28"/>
        </w:rPr>
      </w:pPr>
      <w:r>
        <w:rPr>
          <w:rFonts w:hint="eastAsia" w:ascii="仿宋_GB2312" w:eastAsia="仿宋_GB2312"/>
          <w:sz w:val="28"/>
          <w:szCs w:val="28"/>
        </w:rPr>
        <w:t xml:space="preserve">表1：竞赛硬件平台 </w:t>
      </w:r>
    </w:p>
    <w:tbl>
      <w:tblPr>
        <w:tblStyle w:val="20"/>
        <w:tblW w:w="8784" w:type="dxa"/>
        <w:jc w:val="center"/>
        <w:tblLayout w:type="autofit"/>
        <w:tblCellMar>
          <w:top w:w="39" w:type="dxa"/>
          <w:left w:w="72" w:type="dxa"/>
          <w:bottom w:w="0" w:type="dxa"/>
          <w:right w:w="0" w:type="dxa"/>
        </w:tblCellMar>
      </w:tblPr>
      <w:tblGrid>
        <w:gridCol w:w="581"/>
        <w:gridCol w:w="2391"/>
        <w:gridCol w:w="1589"/>
        <w:gridCol w:w="993"/>
        <w:gridCol w:w="850"/>
        <w:gridCol w:w="2380"/>
      </w:tblGrid>
      <w:tr>
        <w:tblPrEx>
          <w:tblCellMar>
            <w:top w:w="39" w:type="dxa"/>
            <w:left w:w="72" w:type="dxa"/>
            <w:bottom w:w="0" w:type="dxa"/>
            <w:right w:w="0" w:type="dxa"/>
          </w:tblCellMar>
        </w:tblPrEx>
        <w:trPr>
          <w:trHeight w:val="636" w:hRule="atLeast"/>
          <w:jc w:val="center"/>
        </w:trPr>
        <w:tc>
          <w:tcPr>
            <w:tcW w:w="581" w:type="dxa"/>
            <w:tcBorders>
              <w:top w:val="single" w:color="000000" w:sz="4" w:space="0"/>
              <w:left w:val="single" w:color="000000" w:sz="4" w:space="0"/>
              <w:bottom w:val="single" w:color="000000" w:sz="4" w:space="0"/>
              <w:right w:val="single" w:color="000000" w:sz="4" w:space="0"/>
            </w:tcBorders>
          </w:tcPr>
          <w:p>
            <w:pPr>
              <w:spacing w:line="560" w:lineRule="exact"/>
              <w:jc w:val="both"/>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序号 </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设备名称 </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型号 </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both"/>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单位 </w:t>
            </w: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both"/>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数量 </w:t>
            </w:r>
          </w:p>
        </w:tc>
        <w:tc>
          <w:tcPr>
            <w:tcW w:w="2380" w:type="dxa"/>
            <w:tcBorders>
              <w:top w:val="single" w:color="000000" w:sz="4" w:space="0"/>
              <w:left w:val="single" w:color="000000" w:sz="4" w:space="0"/>
              <w:bottom w:val="single" w:color="auto"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备注 </w:t>
            </w:r>
          </w:p>
        </w:tc>
      </w:tr>
      <w:tr>
        <w:tblPrEx>
          <w:tblCellMar>
            <w:top w:w="39" w:type="dxa"/>
            <w:left w:w="72" w:type="dxa"/>
            <w:bottom w:w="0" w:type="dxa"/>
            <w:right w:w="0" w:type="dxa"/>
          </w:tblCellMar>
        </w:tblPrEx>
        <w:trPr>
          <w:trHeight w:val="983" w:hRule="atLeast"/>
          <w:jc w:val="center"/>
        </w:trPr>
        <w:tc>
          <w:tcPr>
            <w:tcW w:w="58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1 </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X</w:t>
            </w:r>
            <w:r>
              <w:rPr>
                <w:rFonts w:ascii="仿宋_GB2312" w:hAnsi="仿宋_GB2312" w:eastAsia="仿宋_GB2312" w:cs="仿宋_GB2312"/>
                <w:spacing w:val="-3"/>
                <w:sz w:val="28"/>
                <w:szCs w:val="28"/>
              </w:rPr>
              <w:t>R</w:t>
            </w:r>
            <w:r>
              <w:rPr>
                <w:rFonts w:hint="eastAsia" w:ascii="仿宋_GB2312" w:hAnsi="仿宋_GB2312" w:eastAsia="仿宋_GB2312" w:cs="仿宋_GB2312"/>
                <w:spacing w:val="-3"/>
                <w:sz w:val="28"/>
                <w:szCs w:val="28"/>
              </w:rPr>
              <w:t>头显</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详见十、大赛硬件平台说明</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套 </w:t>
            </w:r>
          </w:p>
        </w:tc>
        <w:tc>
          <w:tcPr>
            <w:tcW w:w="850" w:type="dxa"/>
            <w:tcBorders>
              <w:top w:val="single" w:color="000000" w:sz="4" w:space="0"/>
              <w:left w:val="single" w:color="000000" w:sz="4" w:space="0"/>
              <w:bottom w:val="single" w:color="000000"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2</w:t>
            </w:r>
            <w:r>
              <w:rPr>
                <w:rFonts w:hint="eastAsia" w:ascii="仿宋_GB2312" w:hAnsi="仿宋_GB2312" w:eastAsia="仿宋_GB2312" w:cs="仿宋_GB2312"/>
                <w:spacing w:val="-3"/>
                <w:sz w:val="28"/>
                <w:szCs w:val="28"/>
              </w:rPr>
              <w:t xml:space="preserve"> </w:t>
            </w:r>
          </w:p>
        </w:tc>
        <w:tc>
          <w:tcPr>
            <w:tcW w:w="238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每组配置，实际以参赛</w:t>
            </w:r>
            <w:r>
              <w:rPr>
                <w:rFonts w:hint="eastAsia" w:ascii="仿宋_GB2312" w:hAnsi="仿宋_GB2312" w:eastAsia="仿宋_GB2312" w:cs="仿宋_GB2312"/>
                <w:spacing w:val="-3"/>
                <w:sz w:val="28"/>
                <w:szCs w:val="28"/>
              </w:rPr>
              <w:t>组</w:t>
            </w:r>
            <w:r>
              <w:rPr>
                <w:rFonts w:ascii="仿宋_GB2312" w:hAnsi="仿宋_GB2312" w:eastAsia="仿宋_GB2312" w:cs="仿宋_GB2312"/>
                <w:spacing w:val="-3"/>
                <w:sz w:val="28"/>
                <w:szCs w:val="28"/>
              </w:rPr>
              <w:t>数量准备</w:t>
            </w:r>
          </w:p>
        </w:tc>
      </w:tr>
      <w:tr>
        <w:tblPrEx>
          <w:tblCellMar>
            <w:top w:w="39" w:type="dxa"/>
            <w:left w:w="72" w:type="dxa"/>
            <w:bottom w:w="0" w:type="dxa"/>
            <w:right w:w="0" w:type="dxa"/>
          </w:tblCellMar>
        </w:tblPrEx>
        <w:trPr>
          <w:trHeight w:val="326" w:hRule="atLeast"/>
          <w:jc w:val="center"/>
        </w:trPr>
        <w:tc>
          <w:tcPr>
            <w:tcW w:w="58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 </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计算机 </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联想等</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台</w:t>
            </w:r>
          </w:p>
        </w:tc>
        <w:tc>
          <w:tcPr>
            <w:tcW w:w="850" w:type="dxa"/>
            <w:tcBorders>
              <w:top w:val="single" w:color="000000" w:sz="4" w:space="0"/>
              <w:left w:val="single" w:color="000000" w:sz="4" w:space="0"/>
              <w:bottom w:val="single" w:color="000000"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 </w:t>
            </w:r>
          </w:p>
        </w:tc>
        <w:tc>
          <w:tcPr>
            <w:tcW w:w="2380" w:type="dxa"/>
            <w:vMerge w:val="continue"/>
            <w:tcBorders>
              <w:top w:val="single" w:color="auto" w:sz="4" w:space="0"/>
              <w:left w:val="single" w:color="auto" w:sz="4" w:space="0"/>
              <w:bottom w:val="single" w:color="auto" w:sz="4" w:space="0"/>
              <w:right w:val="single" w:color="auto" w:sz="4" w:space="0"/>
            </w:tcBorders>
          </w:tcPr>
          <w:p>
            <w:pPr>
              <w:spacing w:line="560" w:lineRule="exact"/>
              <w:jc w:val="center"/>
              <w:rPr>
                <w:rFonts w:ascii="仿宋_GB2312" w:hAnsi="仿宋_GB2312" w:eastAsia="仿宋_GB2312" w:cs="仿宋_GB2312"/>
                <w:spacing w:val="-3"/>
                <w:sz w:val="28"/>
                <w:szCs w:val="28"/>
              </w:rPr>
            </w:pPr>
          </w:p>
        </w:tc>
      </w:tr>
      <w:tr>
        <w:tblPrEx>
          <w:tblCellMar>
            <w:top w:w="39" w:type="dxa"/>
            <w:left w:w="72" w:type="dxa"/>
            <w:bottom w:w="0" w:type="dxa"/>
            <w:right w:w="0" w:type="dxa"/>
          </w:tblCellMar>
        </w:tblPrEx>
        <w:trPr>
          <w:trHeight w:val="377" w:hRule="atLeast"/>
          <w:jc w:val="center"/>
        </w:trPr>
        <w:tc>
          <w:tcPr>
            <w:tcW w:w="58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3 </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工作台 </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定制</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张 </w:t>
            </w:r>
          </w:p>
        </w:tc>
        <w:tc>
          <w:tcPr>
            <w:tcW w:w="850" w:type="dxa"/>
            <w:tcBorders>
              <w:top w:val="single" w:color="000000" w:sz="4" w:space="0"/>
              <w:left w:val="single" w:color="000000" w:sz="4" w:space="0"/>
              <w:bottom w:val="single" w:color="000000"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1 </w:t>
            </w:r>
          </w:p>
        </w:tc>
        <w:tc>
          <w:tcPr>
            <w:tcW w:w="2380"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39" w:type="dxa"/>
            <w:left w:w="72" w:type="dxa"/>
            <w:bottom w:w="0" w:type="dxa"/>
            <w:right w:w="0" w:type="dxa"/>
          </w:tblCellMar>
        </w:tblPrEx>
        <w:trPr>
          <w:trHeight w:val="377" w:hRule="atLeast"/>
          <w:jc w:val="center"/>
        </w:trPr>
        <w:tc>
          <w:tcPr>
            <w:tcW w:w="58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4</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摄像头</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定制</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个</w:t>
            </w:r>
          </w:p>
        </w:tc>
        <w:tc>
          <w:tcPr>
            <w:tcW w:w="850" w:type="dxa"/>
            <w:tcBorders>
              <w:top w:val="single" w:color="000000" w:sz="4" w:space="0"/>
              <w:left w:val="single" w:color="000000" w:sz="4" w:space="0"/>
              <w:bottom w:val="single" w:color="000000"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1</w:t>
            </w:r>
          </w:p>
        </w:tc>
        <w:tc>
          <w:tcPr>
            <w:tcW w:w="2380"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39" w:type="dxa"/>
            <w:left w:w="72" w:type="dxa"/>
            <w:bottom w:w="0" w:type="dxa"/>
            <w:right w:w="0" w:type="dxa"/>
          </w:tblCellMar>
        </w:tblPrEx>
        <w:trPr>
          <w:trHeight w:val="377" w:hRule="atLeast"/>
          <w:jc w:val="center"/>
        </w:trPr>
        <w:tc>
          <w:tcPr>
            <w:tcW w:w="581"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5</w:t>
            </w:r>
          </w:p>
        </w:tc>
        <w:tc>
          <w:tcPr>
            <w:tcW w:w="239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无线路由器</w:t>
            </w:r>
          </w:p>
        </w:tc>
        <w:tc>
          <w:tcPr>
            <w:tcW w:w="158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2.4/5G</w:t>
            </w:r>
            <w:r>
              <w:rPr>
                <w:rFonts w:hint="eastAsia" w:ascii="仿宋_GB2312" w:hAnsi="仿宋_GB2312" w:eastAsia="仿宋_GB2312" w:cs="仿宋_GB2312"/>
                <w:spacing w:val="-3"/>
                <w:sz w:val="28"/>
                <w:szCs w:val="28"/>
              </w:rPr>
              <w:t>频段</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个</w:t>
            </w:r>
          </w:p>
        </w:tc>
        <w:tc>
          <w:tcPr>
            <w:tcW w:w="850" w:type="dxa"/>
            <w:tcBorders>
              <w:top w:val="single" w:color="000000" w:sz="4" w:space="0"/>
              <w:left w:val="single" w:color="000000" w:sz="4" w:space="0"/>
              <w:bottom w:val="single" w:color="000000"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1</w:t>
            </w:r>
          </w:p>
        </w:tc>
        <w:tc>
          <w:tcPr>
            <w:tcW w:w="23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根据实际场地配置数量</w:t>
            </w:r>
          </w:p>
        </w:tc>
      </w:tr>
    </w:tbl>
    <w:p>
      <w:pPr>
        <w:spacing w:line="560" w:lineRule="exact"/>
        <w:ind w:firstLine="548" w:firstLineChars="200"/>
        <w:rPr>
          <w:rFonts w:ascii="仿宋_GB2312" w:hAnsi="仿宋" w:eastAsia="仿宋_GB2312" w:cs="仿宋"/>
          <w:spacing w:val="-3"/>
          <w:sz w:val="28"/>
          <w:szCs w:val="28"/>
        </w:rPr>
      </w:pPr>
      <w:r>
        <w:rPr>
          <w:rFonts w:ascii="仿宋_GB2312" w:hAnsi="仿宋" w:eastAsia="仿宋_GB2312" w:cs="仿宋"/>
          <w:spacing w:val="-3"/>
          <w:sz w:val="28"/>
          <w:szCs w:val="28"/>
        </w:rPr>
        <w:t>2.</w:t>
      </w:r>
      <w:r>
        <w:rPr>
          <w:rFonts w:hint="eastAsia" w:ascii="仿宋_GB2312" w:hAnsi="仿宋" w:eastAsia="仿宋_GB2312" w:cs="仿宋"/>
          <w:spacing w:val="-3"/>
          <w:sz w:val="28"/>
          <w:szCs w:val="28"/>
        </w:rPr>
        <w:t>竞赛计算机配置</w:t>
      </w:r>
    </w:p>
    <w:p>
      <w:pPr>
        <w:spacing w:line="560" w:lineRule="exact"/>
        <w:ind w:firstLine="548" w:firstLineChars="200"/>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要求计算机最低配置如下： </w:t>
      </w:r>
    </w:p>
    <w:p>
      <w:pPr>
        <w:spacing w:line="560" w:lineRule="exact"/>
        <w:ind w:firstLine="560" w:firstLineChars="200"/>
        <w:jc w:val="center"/>
        <w:rPr>
          <w:rFonts w:ascii="仿宋_GB2312" w:eastAsia="仿宋_GB2312"/>
          <w:sz w:val="28"/>
          <w:szCs w:val="28"/>
        </w:rPr>
      </w:pPr>
      <w:r>
        <w:rPr>
          <w:rFonts w:hint="eastAsia" w:ascii="仿宋_GB2312" w:eastAsia="仿宋_GB2312"/>
          <w:sz w:val="28"/>
          <w:szCs w:val="28"/>
        </w:rPr>
        <w:t xml:space="preserve">表2：竞赛计算机硬件配置要求 </w:t>
      </w:r>
    </w:p>
    <w:tbl>
      <w:tblPr>
        <w:tblStyle w:val="20"/>
        <w:tblW w:w="7370" w:type="dxa"/>
        <w:tblInd w:w="742" w:type="dxa"/>
        <w:tblLayout w:type="autofit"/>
        <w:tblCellMar>
          <w:top w:w="0" w:type="dxa"/>
          <w:left w:w="115" w:type="dxa"/>
          <w:bottom w:w="0" w:type="dxa"/>
          <w:right w:w="115" w:type="dxa"/>
        </w:tblCellMar>
      </w:tblPr>
      <w:tblGrid>
        <w:gridCol w:w="1860"/>
        <w:gridCol w:w="5510"/>
      </w:tblGrid>
      <w:tr>
        <w:tblPrEx>
          <w:tblCellMar>
            <w:top w:w="0" w:type="dxa"/>
            <w:left w:w="115" w:type="dxa"/>
            <w:bottom w:w="0" w:type="dxa"/>
            <w:right w:w="115" w:type="dxa"/>
          </w:tblCellMar>
        </w:tblPrEx>
        <w:trPr>
          <w:trHeight w:val="384" w:hRule="atLeast"/>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CPU </w:t>
            </w:r>
          </w:p>
        </w:tc>
        <w:tc>
          <w:tcPr>
            <w:tcW w:w="55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i7及以上处理器 </w:t>
            </w:r>
          </w:p>
        </w:tc>
      </w:tr>
      <w:tr>
        <w:tblPrEx>
          <w:tblCellMar>
            <w:top w:w="0" w:type="dxa"/>
            <w:left w:w="115" w:type="dxa"/>
            <w:bottom w:w="0" w:type="dxa"/>
            <w:right w:w="115" w:type="dxa"/>
          </w:tblCellMar>
        </w:tblPrEx>
        <w:trPr>
          <w:trHeight w:val="378" w:hRule="atLeast"/>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内存 </w:t>
            </w:r>
          </w:p>
        </w:tc>
        <w:tc>
          <w:tcPr>
            <w:tcW w:w="55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16</w:t>
            </w:r>
            <w:r>
              <w:rPr>
                <w:rFonts w:hint="eastAsia" w:ascii="仿宋_GB2312" w:hAnsi="仿宋_GB2312" w:eastAsia="仿宋_GB2312" w:cs="仿宋_GB2312"/>
                <w:spacing w:val="-3"/>
                <w:sz w:val="28"/>
                <w:szCs w:val="28"/>
              </w:rPr>
              <w:t xml:space="preserve">G及以上 </w:t>
            </w:r>
          </w:p>
        </w:tc>
      </w:tr>
      <w:tr>
        <w:tblPrEx>
          <w:tblCellMar>
            <w:top w:w="0" w:type="dxa"/>
            <w:left w:w="115" w:type="dxa"/>
            <w:bottom w:w="0" w:type="dxa"/>
            <w:right w:w="115" w:type="dxa"/>
          </w:tblCellMar>
        </w:tblPrEx>
        <w:trPr>
          <w:trHeight w:val="372" w:hRule="atLeast"/>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显卡 </w:t>
            </w:r>
          </w:p>
        </w:tc>
        <w:tc>
          <w:tcPr>
            <w:tcW w:w="55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GTX1060及以上</w:t>
            </w:r>
          </w:p>
        </w:tc>
      </w:tr>
      <w:tr>
        <w:tblPrEx>
          <w:tblCellMar>
            <w:top w:w="0" w:type="dxa"/>
            <w:left w:w="115" w:type="dxa"/>
            <w:bottom w:w="0" w:type="dxa"/>
            <w:right w:w="115" w:type="dxa"/>
          </w:tblCellMar>
        </w:tblPrEx>
        <w:trPr>
          <w:trHeight w:val="366" w:hRule="atLeast"/>
        </w:trPr>
        <w:tc>
          <w:tcPr>
            <w:tcW w:w="186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端口 </w:t>
            </w:r>
          </w:p>
        </w:tc>
        <w:tc>
          <w:tcPr>
            <w:tcW w:w="55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至少1个网口，2个USB接口 </w:t>
            </w:r>
          </w:p>
        </w:tc>
      </w:tr>
    </w:tbl>
    <w:p>
      <w:pPr>
        <w:spacing w:before="120" w:beforeLines="50" w:after="120" w:afterLines="50" w:line="360" w:lineRule="auto"/>
        <w:ind w:firstLine="548" w:firstLineChars="200"/>
        <w:rPr>
          <w:rFonts w:ascii="仿宋_GB2312" w:hAnsi="仿宋" w:eastAsia="仿宋_GB2312" w:cs="仿宋"/>
          <w:spacing w:val="-3"/>
          <w:sz w:val="28"/>
          <w:szCs w:val="28"/>
        </w:rPr>
      </w:pPr>
      <w:bookmarkStart w:id="14" w:name="_Toc2029800934"/>
      <w:r>
        <w:rPr>
          <w:rFonts w:hint="eastAsia" w:ascii="仿宋_GB2312" w:hAnsi="仿宋" w:eastAsia="仿宋_GB2312" w:cs="仿宋"/>
          <w:spacing w:val="-3"/>
          <w:sz w:val="28"/>
          <w:szCs w:val="28"/>
        </w:rPr>
        <w:t>3</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软件环境</w:t>
      </w:r>
      <w:bookmarkEnd w:id="14"/>
      <w:r>
        <w:rPr>
          <w:rFonts w:hint="eastAsia" w:ascii="仿宋_GB2312" w:hAnsi="仿宋" w:eastAsia="仿宋_GB2312" w:cs="仿宋"/>
          <w:spacing w:val="-3"/>
          <w:sz w:val="28"/>
          <w:szCs w:val="28"/>
        </w:rPr>
        <w:t xml:space="preserve"> </w:t>
      </w:r>
    </w:p>
    <w:p>
      <w:pPr>
        <w:spacing w:line="560" w:lineRule="exact"/>
        <w:ind w:firstLine="560" w:firstLineChars="200"/>
        <w:jc w:val="center"/>
        <w:rPr>
          <w:rFonts w:ascii="仿宋_GB2312" w:eastAsia="仿宋_GB2312"/>
          <w:sz w:val="28"/>
          <w:szCs w:val="28"/>
        </w:rPr>
      </w:pPr>
      <w:r>
        <w:rPr>
          <w:rFonts w:hint="eastAsia" w:ascii="仿宋_GB2312" w:eastAsia="仿宋_GB2312"/>
          <w:sz w:val="28"/>
          <w:szCs w:val="28"/>
        </w:rPr>
        <w:t>表</w:t>
      </w:r>
      <w:r>
        <w:rPr>
          <w:rFonts w:ascii="仿宋_GB2312" w:eastAsia="仿宋_GB2312"/>
          <w:sz w:val="28"/>
          <w:szCs w:val="28"/>
        </w:rPr>
        <w:t>3</w:t>
      </w:r>
      <w:r>
        <w:rPr>
          <w:rFonts w:hint="eastAsia" w:ascii="仿宋_GB2312" w:eastAsia="仿宋_GB2312"/>
          <w:sz w:val="28"/>
          <w:szCs w:val="28"/>
        </w:rPr>
        <w:t>：竞赛软件环境要求</w:t>
      </w:r>
    </w:p>
    <w:tbl>
      <w:tblPr>
        <w:tblStyle w:val="20"/>
        <w:tblW w:w="8819" w:type="dxa"/>
        <w:tblInd w:w="175" w:type="dxa"/>
        <w:tblLayout w:type="fixed"/>
        <w:tblCellMar>
          <w:top w:w="0" w:type="dxa"/>
          <w:left w:w="149" w:type="dxa"/>
          <w:bottom w:w="0" w:type="dxa"/>
          <w:right w:w="31" w:type="dxa"/>
        </w:tblCellMar>
      </w:tblPr>
      <w:tblGrid>
        <w:gridCol w:w="1521"/>
        <w:gridCol w:w="2552"/>
        <w:gridCol w:w="2268"/>
        <w:gridCol w:w="2478"/>
      </w:tblGrid>
      <w:tr>
        <w:tblPrEx>
          <w:tblCellMar>
            <w:top w:w="0" w:type="dxa"/>
            <w:left w:w="149" w:type="dxa"/>
            <w:bottom w:w="0" w:type="dxa"/>
            <w:right w:w="31" w:type="dxa"/>
          </w:tblCellMar>
        </w:tblPrEx>
        <w:trPr>
          <w:trHeight w:val="562" w:hRule="atLeast"/>
        </w:trPr>
        <w:tc>
          <w:tcPr>
            <w:tcW w:w="152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软件类型 </w:t>
            </w: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软件名称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软件版本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说明</w:t>
            </w:r>
          </w:p>
        </w:tc>
      </w:tr>
      <w:tr>
        <w:tblPrEx>
          <w:tblCellMar>
            <w:top w:w="0" w:type="dxa"/>
            <w:left w:w="149" w:type="dxa"/>
            <w:bottom w:w="0" w:type="dxa"/>
            <w:right w:w="31" w:type="dxa"/>
          </w:tblCellMar>
        </w:tblPrEx>
        <w:trPr>
          <w:trHeight w:val="562" w:hRule="atLeast"/>
        </w:trPr>
        <w:tc>
          <w:tcPr>
            <w:tcW w:w="152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操作系统 </w:t>
            </w: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Windows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64位Win10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0" w:type="dxa"/>
            <w:left w:w="149" w:type="dxa"/>
            <w:bottom w:w="0" w:type="dxa"/>
            <w:right w:w="31" w:type="dxa"/>
          </w:tblCellMar>
        </w:tblPrEx>
        <w:trPr>
          <w:trHeight w:val="554" w:hRule="atLeast"/>
        </w:trPr>
        <w:tc>
          <w:tcPr>
            <w:tcW w:w="1521" w:type="dxa"/>
            <w:vMerge w:val="restart"/>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VR/MR资源制作软件 </w:t>
            </w: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3ds</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 xml:space="preserve">Max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2020版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英文版</w:t>
            </w:r>
          </w:p>
        </w:tc>
      </w:tr>
      <w:tr>
        <w:tblPrEx>
          <w:tblCellMar>
            <w:top w:w="0" w:type="dxa"/>
            <w:left w:w="149" w:type="dxa"/>
            <w:bottom w:w="0" w:type="dxa"/>
            <w:right w:w="31" w:type="dxa"/>
          </w:tblCellMar>
        </w:tblPrEx>
        <w:trPr>
          <w:trHeight w:val="562" w:hRule="atLeast"/>
        </w:trPr>
        <w:tc>
          <w:tcPr>
            <w:tcW w:w="1521" w:type="dxa"/>
            <w:vMerge w:val="continue"/>
            <w:tcBorders>
              <w:top w:val="nil"/>
              <w:left w:val="single" w:color="000000" w:sz="4" w:space="0"/>
              <w:bottom w:val="nil"/>
              <w:right w:val="single" w:color="000000" w:sz="4" w:space="0"/>
            </w:tcBorders>
          </w:tcPr>
          <w:p>
            <w:pPr>
              <w:spacing w:line="560" w:lineRule="exact"/>
              <w:jc w:val="center"/>
              <w:rPr>
                <w:rFonts w:ascii="仿宋_GB2312" w:hAnsi="仿宋_GB2312" w:eastAsia="仿宋_GB2312" w:cs="仿宋_GB2312"/>
                <w:spacing w:val="-3"/>
                <w:sz w:val="28"/>
                <w:szCs w:val="28"/>
              </w:rPr>
            </w:pP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Autodesk</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 xml:space="preserve">Maya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20</w:t>
            </w:r>
            <w:r>
              <w:rPr>
                <w:rFonts w:ascii="仿宋_GB2312" w:hAnsi="仿宋_GB2312" w:eastAsia="仿宋_GB2312" w:cs="仿宋_GB2312"/>
                <w:spacing w:val="-3"/>
                <w:sz w:val="28"/>
                <w:szCs w:val="28"/>
              </w:rPr>
              <w:t>20</w:t>
            </w:r>
            <w:r>
              <w:rPr>
                <w:rFonts w:hint="eastAsia" w:ascii="仿宋_GB2312" w:hAnsi="仿宋_GB2312" w:eastAsia="仿宋_GB2312" w:cs="仿宋_GB2312"/>
                <w:spacing w:val="-3"/>
                <w:sz w:val="28"/>
                <w:szCs w:val="28"/>
              </w:rPr>
              <w:t xml:space="preserve">版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英文版</w:t>
            </w:r>
          </w:p>
        </w:tc>
      </w:tr>
      <w:tr>
        <w:tblPrEx>
          <w:tblCellMar>
            <w:top w:w="0" w:type="dxa"/>
            <w:left w:w="149" w:type="dxa"/>
            <w:bottom w:w="0" w:type="dxa"/>
            <w:right w:w="31" w:type="dxa"/>
          </w:tblCellMar>
        </w:tblPrEx>
        <w:trPr>
          <w:trHeight w:val="562" w:hRule="atLeast"/>
        </w:trPr>
        <w:tc>
          <w:tcPr>
            <w:tcW w:w="1521" w:type="dxa"/>
            <w:vMerge w:val="continue"/>
            <w:tcBorders>
              <w:top w:val="nil"/>
              <w:left w:val="single" w:color="000000" w:sz="4" w:space="0"/>
              <w:bottom w:val="single" w:color="000000" w:sz="4" w:space="0"/>
              <w:right w:val="single" w:color="000000" w:sz="4" w:space="0"/>
            </w:tcBorders>
          </w:tcPr>
          <w:p>
            <w:pPr>
              <w:spacing w:line="560" w:lineRule="exact"/>
              <w:jc w:val="center"/>
              <w:rPr>
                <w:rFonts w:ascii="仿宋_GB2312" w:hAnsi="仿宋_GB2312" w:eastAsia="仿宋_GB2312" w:cs="仿宋_GB2312"/>
                <w:spacing w:val="-3"/>
                <w:sz w:val="28"/>
                <w:szCs w:val="28"/>
              </w:rPr>
            </w:pP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Photoshop</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 xml:space="preserve">CC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2018版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0" w:type="dxa"/>
            <w:left w:w="149" w:type="dxa"/>
            <w:bottom w:w="0" w:type="dxa"/>
            <w:right w:w="31" w:type="dxa"/>
          </w:tblCellMar>
        </w:tblPrEx>
        <w:trPr>
          <w:trHeight w:val="634" w:hRule="atLeast"/>
        </w:trPr>
        <w:tc>
          <w:tcPr>
            <w:tcW w:w="1521" w:type="dxa"/>
            <w:vMerge w:val="restart"/>
            <w:tcBorders>
              <w:top w:val="single" w:color="000000" w:sz="4" w:space="0"/>
              <w:left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VR/MR引擎 </w:t>
            </w: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Unity</w:t>
            </w:r>
          </w:p>
        </w:tc>
        <w:tc>
          <w:tcPr>
            <w:tcW w:w="2268" w:type="dxa"/>
            <w:tcBorders>
              <w:top w:val="single" w:color="000000" w:sz="4" w:space="0"/>
              <w:left w:val="single" w:color="000000" w:sz="4" w:space="0"/>
              <w:bottom w:val="single" w:color="000000" w:sz="4" w:space="0"/>
              <w:right w:val="single" w:color="000000" w:sz="4" w:space="0"/>
            </w:tcBorders>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2020.3.21</w:t>
            </w:r>
            <w:r>
              <w:rPr>
                <w:rFonts w:hint="eastAsia" w:ascii="仿宋_GB2312" w:hAnsi="仿宋_GB2312" w:eastAsia="仿宋_GB2312" w:cs="仿宋_GB2312"/>
                <w:spacing w:val="-3"/>
                <w:sz w:val="28"/>
                <w:szCs w:val="28"/>
              </w:rPr>
              <w:t>f</w:t>
            </w:r>
            <w:r>
              <w:rPr>
                <w:rFonts w:ascii="仿宋_GB2312" w:hAnsi="仿宋_GB2312" w:eastAsia="仿宋_GB2312" w:cs="仿宋_GB2312"/>
                <w:spacing w:val="-3"/>
                <w:sz w:val="28"/>
                <w:szCs w:val="28"/>
              </w:rPr>
              <w:t>1c1</w:t>
            </w:r>
            <w:r>
              <w:rPr>
                <w:rFonts w:hint="eastAsia" w:ascii="仿宋_GB2312" w:hAnsi="仿宋_GB2312" w:eastAsia="仿宋_GB2312" w:cs="仿宋_GB2312"/>
                <w:spacing w:val="-3"/>
                <w:sz w:val="28"/>
                <w:szCs w:val="28"/>
              </w:rPr>
              <w:t>版</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英文版</w:t>
            </w:r>
          </w:p>
        </w:tc>
      </w:tr>
      <w:tr>
        <w:tblPrEx>
          <w:tblCellMar>
            <w:top w:w="0" w:type="dxa"/>
            <w:left w:w="149" w:type="dxa"/>
            <w:bottom w:w="0" w:type="dxa"/>
            <w:right w:w="31" w:type="dxa"/>
          </w:tblCellMar>
        </w:tblPrEx>
        <w:trPr>
          <w:trHeight w:val="634" w:hRule="atLeast"/>
        </w:trPr>
        <w:tc>
          <w:tcPr>
            <w:tcW w:w="1521" w:type="dxa"/>
            <w:vMerge w:val="continue"/>
            <w:tcBorders>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ascii="仿宋_GB2312" w:hAnsi="仿宋_GB2312" w:eastAsia="仿宋_GB2312" w:cs="仿宋_GB2312"/>
                <w:spacing w:val="-3"/>
                <w:sz w:val="28"/>
                <w:szCs w:val="28"/>
              </w:rPr>
              <w:t>Unreal</w:t>
            </w:r>
          </w:p>
        </w:tc>
        <w:tc>
          <w:tcPr>
            <w:tcW w:w="2268" w:type="dxa"/>
            <w:tcBorders>
              <w:top w:val="single" w:color="000000" w:sz="4" w:space="0"/>
              <w:left w:val="single" w:color="000000" w:sz="4" w:space="0"/>
              <w:bottom w:val="single" w:color="000000" w:sz="4" w:space="0"/>
              <w:right w:val="single" w:color="000000" w:sz="4" w:space="0"/>
            </w:tcBorders>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5</w:t>
            </w:r>
            <w:r>
              <w:rPr>
                <w:rFonts w:ascii="仿宋_GB2312" w:hAnsi="仿宋_GB2312" w:eastAsia="仿宋_GB2312" w:cs="仿宋_GB2312"/>
                <w:spacing w:val="-3"/>
                <w:sz w:val="28"/>
                <w:szCs w:val="28"/>
              </w:rPr>
              <w:t>.1.1</w:t>
            </w:r>
            <w:r>
              <w:rPr>
                <w:rFonts w:hint="eastAsia" w:ascii="仿宋_GB2312" w:hAnsi="仿宋_GB2312" w:eastAsia="仿宋_GB2312" w:cs="仿宋_GB2312"/>
                <w:spacing w:val="-3"/>
                <w:sz w:val="28"/>
                <w:szCs w:val="28"/>
              </w:rPr>
              <w:t>版</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英文版</w:t>
            </w:r>
          </w:p>
        </w:tc>
      </w:tr>
      <w:tr>
        <w:tblPrEx>
          <w:tblCellMar>
            <w:top w:w="0" w:type="dxa"/>
            <w:left w:w="149" w:type="dxa"/>
            <w:bottom w:w="0" w:type="dxa"/>
            <w:right w:w="31" w:type="dxa"/>
          </w:tblCellMar>
        </w:tblPrEx>
        <w:trPr>
          <w:trHeight w:val="367" w:hRule="atLeast"/>
        </w:trPr>
        <w:tc>
          <w:tcPr>
            <w:tcW w:w="1521" w:type="dxa"/>
            <w:vMerge w:val="restart"/>
            <w:tcBorders>
              <w:top w:val="single" w:color="000000" w:sz="4" w:space="0"/>
              <w:left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支撑软件 </w:t>
            </w: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Microsoft</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 xml:space="preserve">Office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2016版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0" w:type="dxa"/>
            <w:left w:w="149" w:type="dxa"/>
            <w:bottom w:w="0" w:type="dxa"/>
            <w:right w:w="31" w:type="dxa"/>
          </w:tblCellMar>
        </w:tblPrEx>
        <w:trPr>
          <w:trHeight w:val="742" w:hRule="atLeast"/>
        </w:trPr>
        <w:tc>
          <w:tcPr>
            <w:tcW w:w="1521" w:type="dxa"/>
            <w:vMerge w:val="continue"/>
            <w:tcBorders>
              <w:left w:val="single" w:color="000000" w:sz="4" w:space="0"/>
              <w:right w:val="single" w:color="000000" w:sz="4" w:space="0"/>
            </w:tcBorders>
          </w:tcPr>
          <w:p>
            <w:pPr>
              <w:spacing w:line="560" w:lineRule="exact"/>
              <w:jc w:val="center"/>
              <w:rPr>
                <w:rFonts w:ascii="仿宋_GB2312" w:hAnsi="仿宋_GB2312" w:eastAsia="仿宋_GB2312" w:cs="仿宋_GB2312"/>
                <w:spacing w:val="-3"/>
                <w:sz w:val="28"/>
                <w:szCs w:val="28"/>
              </w:rPr>
            </w:pPr>
          </w:p>
        </w:tc>
        <w:tc>
          <w:tcPr>
            <w:tcW w:w="255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Microsoft</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Visual</w:t>
            </w:r>
            <w:r>
              <w:rPr>
                <w:rFonts w:ascii="仿宋_GB2312" w:hAnsi="仿宋_GB2312" w:eastAsia="仿宋_GB2312" w:cs="仿宋_GB2312"/>
                <w:spacing w:val="-3"/>
                <w:sz w:val="28"/>
                <w:szCs w:val="28"/>
              </w:rPr>
              <w:t xml:space="preserve"> </w:t>
            </w:r>
            <w:r>
              <w:rPr>
                <w:rFonts w:hint="eastAsia" w:ascii="仿宋_GB2312" w:hAnsi="仿宋_GB2312" w:eastAsia="仿宋_GB2312" w:cs="仿宋_GB2312"/>
                <w:spacing w:val="-3"/>
                <w:sz w:val="28"/>
                <w:szCs w:val="28"/>
              </w:rPr>
              <w:t xml:space="preserve">Studio </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2019版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p>
        </w:tc>
      </w:tr>
      <w:tr>
        <w:tblPrEx>
          <w:tblCellMar>
            <w:top w:w="0" w:type="dxa"/>
            <w:left w:w="149" w:type="dxa"/>
            <w:bottom w:w="0" w:type="dxa"/>
            <w:right w:w="31" w:type="dxa"/>
          </w:tblCellMar>
        </w:tblPrEx>
        <w:trPr>
          <w:trHeight w:val="562" w:hRule="atLeast"/>
        </w:trPr>
        <w:tc>
          <w:tcPr>
            <w:tcW w:w="1521" w:type="dxa"/>
            <w:vMerge w:val="continue"/>
            <w:tcBorders>
              <w:left w:val="single" w:color="000000" w:sz="4" w:space="0"/>
              <w:bottom w:val="single" w:color="000000" w:sz="4" w:space="0"/>
              <w:right w:val="single" w:color="000000" w:sz="4" w:space="0"/>
            </w:tcBorders>
          </w:tcPr>
          <w:p>
            <w:pPr>
              <w:spacing w:line="560" w:lineRule="exact"/>
              <w:jc w:val="center"/>
              <w:rPr>
                <w:rFonts w:ascii="仿宋_GB2312" w:hAnsi="仿宋_GB2312" w:eastAsia="仿宋_GB2312" w:cs="仿宋_GB2312"/>
                <w:spacing w:val="-3"/>
                <w:sz w:val="28"/>
                <w:szCs w:val="28"/>
              </w:rPr>
            </w:pPr>
          </w:p>
        </w:tc>
        <w:tc>
          <w:tcPr>
            <w:tcW w:w="482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理论考试竞赛平台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 </w:t>
            </w:r>
          </w:p>
        </w:tc>
      </w:tr>
      <w:tr>
        <w:tblPrEx>
          <w:tblCellMar>
            <w:top w:w="0" w:type="dxa"/>
            <w:left w:w="149" w:type="dxa"/>
            <w:bottom w:w="0" w:type="dxa"/>
            <w:right w:w="31" w:type="dxa"/>
          </w:tblCellMar>
        </w:tblPrEx>
        <w:trPr>
          <w:trHeight w:val="562" w:hRule="atLeast"/>
        </w:trPr>
        <w:tc>
          <w:tcPr>
            <w:tcW w:w="152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素材包 </w:t>
            </w:r>
          </w:p>
        </w:tc>
        <w:tc>
          <w:tcPr>
            <w:tcW w:w="4820" w:type="dxa"/>
            <w:gridSpan w:val="2"/>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包含设计场景，元素等资料 </w:t>
            </w:r>
          </w:p>
        </w:tc>
        <w:tc>
          <w:tcPr>
            <w:tcW w:w="247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eastAsia="仿宋_GB2312" w:cs="仿宋_GB2312"/>
                <w:spacing w:val="-3"/>
                <w:sz w:val="28"/>
                <w:szCs w:val="28"/>
              </w:rPr>
            </w:pPr>
            <w:r>
              <w:rPr>
                <w:rFonts w:hint="eastAsia" w:ascii="仿宋_GB2312" w:hAnsi="仿宋_GB2312" w:eastAsia="仿宋_GB2312" w:cs="仿宋_GB2312"/>
                <w:spacing w:val="-3"/>
                <w:sz w:val="28"/>
                <w:szCs w:val="28"/>
              </w:rPr>
              <w:t xml:space="preserve"> </w:t>
            </w:r>
          </w:p>
        </w:tc>
      </w:tr>
    </w:tbl>
    <w:p>
      <w:pPr>
        <w:spacing w:line="560" w:lineRule="exact"/>
        <w:ind w:firstLine="548" w:firstLineChars="200"/>
        <w:rPr>
          <w:rFonts w:ascii="仿宋_GB2312" w:hAnsi="仿宋" w:eastAsia="仿宋_GB2312" w:cs="仿宋"/>
          <w:spacing w:val="-3"/>
          <w:sz w:val="28"/>
          <w:szCs w:val="28"/>
        </w:rPr>
      </w:pPr>
      <w:r>
        <w:rPr>
          <w:rFonts w:hint="eastAsia" w:ascii="仿宋_GB2312" w:hAnsi="仿宋" w:eastAsia="仿宋_GB2312" w:cs="仿宋"/>
          <w:spacing w:val="-3"/>
          <w:sz w:val="28"/>
          <w:szCs w:val="28"/>
        </w:rPr>
        <w:t>注：以上软硬件赛场统一提供，不允许选手自带软硬件设备。选手报名时只能选择本组别提供的软件。赛事素材包：设计场景，元素等资料。</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15" w:name="_Toc14235"/>
      <w:r>
        <w:rPr>
          <w:rFonts w:ascii="黑体" w:hAnsi="黑体" w:eastAsia="黑体" w:cs="黑体"/>
          <w:sz w:val="30"/>
          <w:szCs w:val="30"/>
        </w:rPr>
        <w:t>七、大赛关键环节与时间安排</w:t>
      </w:r>
      <w:bookmarkEnd w:id="15"/>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16" w:name="_Toc17123"/>
      <w:r>
        <w:rPr>
          <w:rFonts w:hint="eastAsia" w:ascii="楷体" w:hAnsi="楷体" w:eastAsia="楷体" w:cs="楷体"/>
          <w:sz w:val="30"/>
          <w:szCs w:val="30"/>
        </w:rPr>
        <w:t>（一） 关键环节</w:t>
      </w:r>
      <w:bookmarkEnd w:id="16"/>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参赛选手报到——</w:t>
      </w:r>
      <w:r>
        <w:rPr>
          <w:rFonts w:hint="eastAsia" w:ascii="Times New Roman" w:hAnsi="Times New Roman" w:eastAsia="仿宋_GB2312" w:cs="仿宋"/>
          <w:sz w:val="28"/>
          <w:szCs w:val="28"/>
        </w:rPr>
        <w:t>召开领队赛前说明会——</w:t>
      </w:r>
      <w:r>
        <w:rPr>
          <w:rFonts w:hint="eastAsia" w:ascii="仿宋_GB2312" w:hAnsi="仿宋" w:eastAsia="仿宋_GB2312" w:cs="仿宋"/>
          <w:spacing w:val="-3"/>
          <w:sz w:val="28"/>
          <w:szCs w:val="28"/>
        </w:rPr>
        <w:t>参赛选手赛前熟悉场地——理论考试——开幕式——实操竞赛 ——比赛结束（参赛选手上交比赛成果）——成绩评定——大赛技术点评、颁奖仪式、闭幕式。</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17" w:name="_Toc20846"/>
      <w:r>
        <w:rPr>
          <w:rFonts w:hint="eastAsia" w:ascii="楷体" w:hAnsi="楷体" w:eastAsia="楷体" w:cs="楷体"/>
          <w:sz w:val="30"/>
          <w:szCs w:val="30"/>
        </w:rPr>
        <w:t>（二） 竞赛流程</w:t>
      </w:r>
      <w:bookmarkEnd w:id="17"/>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竞赛组织基本流程</w:t>
      </w:r>
    </w:p>
    <w:p>
      <w:pPr>
        <w:spacing w:before="272" w:line="369" w:lineRule="auto"/>
        <w:ind w:left="4" w:right="86" w:firstLine="102" w:firstLineChars="49"/>
        <w:jc w:val="center"/>
        <w:rPr>
          <w:rFonts w:ascii="仿宋_GB2312" w:hAnsi="仿宋_GB2312" w:eastAsia="仿宋_GB2312" w:cs="仿宋_GB2312"/>
          <w:spacing w:val="-3"/>
          <w:sz w:val="28"/>
          <w:szCs w:val="28"/>
        </w:rPr>
      </w:pPr>
      <w:r>
        <w:drawing>
          <wp:inline distT="0" distB="0" distL="0" distR="0">
            <wp:extent cx="3010535" cy="48748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10535" cy="4874895"/>
                    </a:xfrm>
                    <a:prstGeom prst="rect">
                      <a:avLst/>
                    </a:prstGeom>
                    <a:noFill/>
                    <a:ln>
                      <a:noFill/>
                    </a:ln>
                  </pic:spPr>
                </pic:pic>
              </a:graphicData>
            </a:graphic>
          </wp:inline>
        </w:drawing>
      </w:r>
    </w:p>
    <w:p>
      <w:pPr>
        <w:spacing w:line="560" w:lineRule="exact"/>
        <w:ind w:firstLine="560" w:firstLineChars="200"/>
        <w:jc w:val="center"/>
        <w:rPr>
          <w:rFonts w:ascii="仿宋_GB2312" w:eastAsia="仿宋_GB2312"/>
          <w:sz w:val="28"/>
          <w:szCs w:val="28"/>
        </w:rPr>
      </w:pPr>
      <w:r>
        <w:rPr>
          <w:rFonts w:hint="eastAsia" w:ascii="仿宋_GB2312" w:eastAsia="仿宋_GB2312"/>
          <w:sz w:val="28"/>
          <w:szCs w:val="28"/>
        </w:rPr>
        <w:t>图2</w:t>
      </w:r>
      <w:r>
        <w:rPr>
          <w:rFonts w:ascii="仿宋_GB2312" w:eastAsia="仿宋_GB2312"/>
          <w:sz w:val="28"/>
          <w:szCs w:val="28"/>
        </w:rPr>
        <w:t xml:space="preserve"> </w:t>
      </w:r>
      <w:r>
        <w:rPr>
          <w:rFonts w:hint="eastAsia" w:ascii="仿宋_GB2312" w:eastAsia="仿宋_GB2312"/>
          <w:sz w:val="28"/>
          <w:szCs w:val="28"/>
        </w:rPr>
        <w:t>竞赛组织基本流程</w:t>
      </w:r>
    </w:p>
    <w:p>
      <w:pPr>
        <w:spacing w:before="447" w:line="192" w:lineRule="auto"/>
        <w:ind w:firstLine="607"/>
        <w:outlineLvl w:val="1"/>
        <w:rPr>
          <w:rFonts w:ascii="楷体" w:hAnsi="楷体" w:eastAsia="楷体" w:cs="楷体"/>
          <w:sz w:val="30"/>
          <w:szCs w:val="30"/>
        </w:rPr>
      </w:pPr>
      <w:bookmarkStart w:id="18" w:name="_bookmark18"/>
      <w:bookmarkEnd w:id="18"/>
      <w:bookmarkStart w:id="19" w:name="_Toc24082"/>
      <w:r>
        <w:rPr>
          <w:rFonts w:hint="eastAsia" w:ascii="楷体" w:hAnsi="楷体" w:eastAsia="楷体" w:cs="楷体"/>
          <w:sz w:val="30"/>
          <w:szCs w:val="30"/>
        </w:rPr>
        <w:t>（三） 时间安排</w:t>
      </w:r>
      <w:bookmarkEnd w:id="19"/>
    </w:p>
    <w:p>
      <w:pPr>
        <w:spacing w:line="560" w:lineRule="exact"/>
        <w:ind w:firstLine="548" w:firstLineChars="200"/>
        <w:rPr>
          <w:rFonts w:ascii="仿宋_GB2312" w:hAnsi="仿宋" w:eastAsia="仿宋_GB2312" w:cs="仿宋"/>
          <w:spacing w:val="-3"/>
          <w:sz w:val="28"/>
          <w:szCs w:val="28"/>
        </w:rPr>
      </w:pPr>
      <w:r>
        <w:rPr>
          <w:rFonts w:hint="eastAsia" w:ascii="仿宋_GB2312" w:hAnsi="仿宋" w:eastAsia="仿宋_GB2312" w:cs="仿宋"/>
          <w:spacing w:val="-3"/>
          <w:sz w:val="28"/>
          <w:szCs w:val="28"/>
        </w:rPr>
        <w:t>比赛时间预计为 2天，初定安排如表</w:t>
      </w:r>
      <w:r>
        <w:rPr>
          <w:rFonts w:ascii="仿宋_GB2312" w:hAnsi="仿宋" w:eastAsia="仿宋_GB2312" w:cs="仿宋"/>
          <w:spacing w:val="-3"/>
          <w:sz w:val="28"/>
          <w:szCs w:val="28"/>
        </w:rPr>
        <w:t>4</w:t>
      </w:r>
      <w:r>
        <w:rPr>
          <w:rFonts w:hint="eastAsia" w:ascii="仿宋_GB2312" w:hAnsi="仿宋" w:eastAsia="仿宋_GB2312" w:cs="仿宋"/>
          <w:spacing w:val="-3"/>
          <w:sz w:val="28"/>
          <w:szCs w:val="28"/>
        </w:rPr>
        <w:t>，具体以竞赛指南日程为准。</w:t>
      </w:r>
    </w:p>
    <w:p>
      <w:pPr>
        <w:spacing w:line="560" w:lineRule="exact"/>
        <w:ind w:firstLine="560" w:firstLineChars="200"/>
        <w:jc w:val="center"/>
        <w:rPr>
          <w:rFonts w:ascii="仿宋_GB2312" w:eastAsia="仿宋_GB2312"/>
          <w:sz w:val="28"/>
          <w:szCs w:val="28"/>
        </w:rPr>
      </w:pPr>
      <w:r>
        <w:rPr>
          <w:rFonts w:ascii="仿宋_GB2312" w:eastAsia="仿宋_GB2312"/>
          <w:sz w:val="28"/>
          <w:szCs w:val="28"/>
        </w:rPr>
        <w:t>表4：</w:t>
      </w:r>
      <w:r>
        <w:rPr>
          <w:rFonts w:hint="eastAsia" w:ascii="仿宋_GB2312" w:eastAsia="仿宋_GB2312"/>
          <w:sz w:val="28"/>
          <w:szCs w:val="28"/>
        </w:rPr>
        <w:t>比赛时间安排（初定）</w:t>
      </w:r>
    </w:p>
    <w:tbl>
      <w:tblPr>
        <w:tblStyle w:val="1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08"/>
        <w:gridCol w:w="2068"/>
        <w:gridCol w:w="5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9" w:hRule="atLeast"/>
          <w:jc w:val="center"/>
        </w:trPr>
        <w:tc>
          <w:tcPr>
            <w:tcW w:w="667" w:type="pct"/>
            <w:shd w:val="clear" w:color="auto" w:fill="auto"/>
            <w:vAlign w:val="center"/>
          </w:tcPr>
          <w:p>
            <w:pPr>
              <w:pStyle w:val="4"/>
              <w:jc w:val="center"/>
              <w:rPr>
                <w:rFonts w:ascii="仿宋_GB2312" w:hAnsi="Times New Roman" w:eastAsia="仿宋_GB2312" w:cs="仿宋"/>
                <w:b/>
                <w:bCs/>
                <w:sz w:val="28"/>
                <w:szCs w:val="28"/>
              </w:rPr>
            </w:pPr>
            <w:r>
              <w:rPr>
                <w:rFonts w:hint="eastAsia" w:ascii="仿宋_GB2312" w:hAnsi="Times New Roman" w:eastAsia="仿宋_GB2312" w:cs="仿宋"/>
                <w:b/>
                <w:bCs/>
                <w:sz w:val="28"/>
                <w:szCs w:val="28"/>
              </w:rPr>
              <w:t>日期</w:t>
            </w:r>
          </w:p>
        </w:tc>
        <w:tc>
          <w:tcPr>
            <w:tcW w:w="1141" w:type="pct"/>
            <w:shd w:val="clear" w:color="auto" w:fill="auto"/>
            <w:vAlign w:val="center"/>
          </w:tcPr>
          <w:p>
            <w:pPr>
              <w:pStyle w:val="4"/>
              <w:jc w:val="center"/>
              <w:rPr>
                <w:rFonts w:ascii="仿宋_GB2312" w:hAnsi="Times New Roman" w:eastAsia="仿宋_GB2312" w:cs="仿宋"/>
                <w:b/>
                <w:bCs/>
                <w:sz w:val="28"/>
                <w:szCs w:val="28"/>
              </w:rPr>
            </w:pPr>
            <w:r>
              <w:rPr>
                <w:rFonts w:hint="eastAsia" w:ascii="仿宋_GB2312" w:hAnsi="Times New Roman" w:eastAsia="仿宋_GB2312" w:cs="仿宋"/>
                <w:b/>
                <w:bCs/>
                <w:sz w:val="28"/>
                <w:szCs w:val="28"/>
              </w:rPr>
              <w:t>时   间</w:t>
            </w:r>
          </w:p>
        </w:tc>
        <w:tc>
          <w:tcPr>
            <w:tcW w:w="3192" w:type="pct"/>
            <w:shd w:val="clear" w:color="auto" w:fill="auto"/>
            <w:vAlign w:val="center"/>
          </w:tcPr>
          <w:p>
            <w:pPr>
              <w:pStyle w:val="4"/>
              <w:jc w:val="center"/>
              <w:rPr>
                <w:rFonts w:ascii="仿宋_GB2312" w:hAnsi="Times New Roman" w:eastAsia="仿宋_GB2312" w:cs="仿宋"/>
                <w:b/>
                <w:bCs/>
                <w:sz w:val="28"/>
                <w:szCs w:val="28"/>
              </w:rPr>
            </w:pPr>
            <w:r>
              <w:rPr>
                <w:rFonts w:hint="eastAsia" w:ascii="仿宋_GB2312" w:hAnsi="Times New Roman" w:eastAsia="仿宋_GB2312" w:cs="仿宋"/>
                <w:b/>
                <w:bCs/>
                <w:sz w:val="28"/>
                <w:szCs w:val="28"/>
              </w:rPr>
              <w:t>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restar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第一天</w:t>
            </w: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8:00-13:00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报到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13:00-14:00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开幕式及赛前说明会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14:00-15:00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参观赛场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15:00-16:00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理论考试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16:00-18:00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裁判会议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restar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第二天</w:t>
            </w:r>
          </w:p>
        </w:tc>
        <w:tc>
          <w:tcPr>
            <w:tcW w:w="1141" w:type="pct"/>
            <w:vAlign w:val="center"/>
          </w:tcPr>
          <w:p>
            <w:pPr>
              <w:spacing w:line="360" w:lineRule="auto"/>
              <w:jc w:val="center"/>
              <w:rPr>
                <w:rFonts w:hint="eastAsia" w:ascii="仿宋_GB2312" w:eastAsia="仿宋_GB2312" w:cs="仿宋"/>
                <w:sz w:val="28"/>
                <w:szCs w:val="28"/>
              </w:rPr>
            </w:pPr>
            <w:r>
              <w:rPr>
                <w:rFonts w:ascii="仿宋_GB2312" w:eastAsia="仿宋_GB2312" w:cs="仿宋"/>
                <w:sz w:val="28"/>
                <w:szCs w:val="28"/>
              </w:rPr>
              <w:t>8</w:t>
            </w:r>
            <w:r>
              <w:rPr>
                <w:rFonts w:hint="eastAsia" w:ascii="仿宋_GB2312" w:eastAsia="仿宋_GB2312" w:cs="仿宋"/>
                <w:sz w:val="28"/>
                <w:szCs w:val="28"/>
              </w:rPr>
              <w:t>:00-8:30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检录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8:30-16:30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实操竞赛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16:30-19:30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667" w:type="pct"/>
            <w:vMerge w:val="continue"/>
            <w:vAlign w:val="center"/>
          </w:tcPr>
          <w:p>
            <w:pPr>
              <w:spacing w:line="360" w:lineRule="auto"/>
              <w:jc w:val="center"/>
              <w:rPr>
                <w:rFonts w:hint="eastAsia" w:ascii="仿宋_GB2312" w:eastAsia="仿宋_GB2312" w:cs="仿宋"/>
                <w:sz w:val="28"/>
                <w:szCs w:val="28"/>
              </w:rPr>
            </w:pPr>
          </w:p>
        </w:tc>
        <w:tc>
          <w:tcPr>
            <w:tcW w:w="1141" w:type="pct"/>
            <w:vAlign w:val="center"/>
          </w:tcPr>
          <w:p>
            <w:pPr>
              <w:spacing w:line="360" w:lineRule="auto"/>
              <w:jc w:val="center"/>
              <w:rPr>
                <w:rFonts w:hint="eastAsia" w:ascii="仿宋_GB2312" w:eastAsia="仿宋_GB2312" w:cs="仿宋"/>
                <w:sz w:val="28"/>
                <w:szCs w:val="28"/>
              </w:rPr>
            </w:pPr>
            <w:r>
              <w:rPr>
                <w:rFonts w:hint="eastAsia" w:ascii="仿宋_GB2312" w:eastAsia="仿宋_GB2312" w:cs="仿宋"/>
                <w:sz w:val="28"/>
                <w:szCs w:val="28"/>
              </w:rPr>
              <w:t>19:30-</w:t>
            </w:r>
            <w:r>
              <w:rPr>
                <w:rFonts w:ascii="仿宋_GB2312" w:eastAsia="仿宋_GB2312" w:cs="仿宋"/>
                <w:sz w:val="28"/>
                <w:szCs w:val="28"/>
              </w:rPr>
              <w:t>20</w:t>
            </w:r>
            <w:r>
              <w:rPr>
                <w:rFonts w:hint="eastAsia" w:ascii="仿宋_GB2312" w:eastAsia="仿宋_GB2312" w:cs="仿宋"/>
                <w:sz w:val="28"/>
                <w:szCs w:val="28"/>
              </w:rPr>
              <w:t>:00</w:t>
            </w:r>
          </w:p>
        </w:tc>
        <w:tc>
          <w:tcPr>
            <w:tcW w:w="3192" w:type="pct"/>
            <w:vAlign w:val="center"/>
          </w:tcPr>
          <w:p>
            <w:pPr>
              <w:spacing w:line="360" w:lineRule="auto"/>
              <w:rPr>
                <w:rFonts w:hint="eastAsia" w:ascii="仿宋_GB2312" w:eastAsia="仿宋_GB2312" w:cs="仿宋"/>
                <w:sz w:val="28"/>
                <w:szCs w:val="28"/>
              </w:rPr>
            </w:pPr>
            <w:r>
              <w:rPr>
                <w:rFonts w:hint="eastAsia" w:ascii="仿宋_GB2312" w:eastAsia="仿宋_GB2312" w:cs="仿宋"/>
                <w:sz w:val="28"/>
                <w:szCs w:val="28"/>
              </w:rPr>
              <w:t>汇总竞赛成绩</w:t>
            </w:r>
          </w:p>
        </w:tc>
      </w:tr>
    </w:tbl>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20" w:name="_bookmark19"/>
      <w:bookmarkEnd w:id="20"/>
      <w:bookmarkStart w:id="21" w:name="_Toc29447"/>
      <w:r>
        <w:rPr>
          <w:rFonts w:ascii="黑体" w:hAnsi="黑体" w:eastAsia="黑体" w:cs="黑体"/>
          <w:sz w:val="30"/>
          <w:szCs w:val="30"/>
        </w:rPr>
        <w:t>八、大赛赛题</w:t>
      </w:r>
      <w:bookmarkEnd w:id="21"/>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lang w:val="en-US" w:eastAsia="zh-CN"/>
        </w:rPr>
        <w:t xml:space="preserve"> </w:t>
      </w:r>
      <w:r>
        <w:rPr>
          <w:rFonts w:hint="eastAsia" w:ascii="仿宋_GB2312" w:hAnsi="仿宋" w:eastAsia="仿宋_GB2312" w:cs="仿宋"/>
          <w:spacing w:val="-3"/>
          <w:sz w:val="28"/>
          <w:szCs w:val="28"/>
        </w:rPr>
        <w:t>大赛官方网站将发布比赛样题及大赛所使用相关软件(</w:t>
      </w:r>
      <w:r>
        <w:rPr>
          <w:rFonts w:ascii="仿宋_GB2312" w:hAnsi="仿宋" w:eastAsia="仿宋_GB2312" w:cs="仿宋"/>
          <w:spacing w:val="-3"/>
          <w:sz w:val="28"/>
          <w:szCs w:val="28"/>
        </w:rPr>
        <w:t>网址为http://ds.miiteec.org.cn/</w:t>
      </w:r>
      <w:r>
        <w:rPr>
          <w:rFonts w:hint="eastAsia" w:ascii="仿宋_GB2312" w:hAnsi="仿宋" w:eastAsia="仿宋_GB2312" w:cs="仿宋"/>
          <w:spacing w:val="-3"/>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由专家组负责建立卷库（每套赛卷考核知识点与样卷公布知识点相同，每套赛卷与样卷存在约</w:t>
      </w:r>
      <w:r>
        <w:rPr>
          <w:rFonts w:ascii="仿宋_GB2312" w:hAnsi="仿宋" w:eastAsia="仿宋_GB2312" w:cs="仿宋"/>
          <w:spacing w:val="-3"/>
          <w:sz w:val="28"/>
          <w:szCs w:val="28"/>
        </w:rPr>
        <w:t>30%变动</w:t>
      </w:r>
      <w:r>
        <w:rPr>
          <w:rFonts w:hint="eastAsia" w:ascii="仿宋_GB2312" w:hAnsi="仿宋" w:eastAsia="仿宋_GB2312" w:cs="仿宋"/>
          <w:spacing w:val="-3"/>
          <w:sz w:val="28"/>
          <w:szCs w:val="28"/>
        </w:rPr>
        <w:t>），比赛时从卷库中随机抽取1份作为正式比赛赛卷。</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22" w:name="_bookmark20"/>
      <w:bookmarkEnd w:id="22"/>
      <w:bookmarkStart w:id="23" w:name="_Toc6263"/>
      <w:r>
        <w:rPr>
          <w:rFonts w:ascii="黑体" w:hAnsi="黑体" w:eastAsia="黑体" w:cs="黑体"/>
          <w:sz w:val="30"/>
          <w:szCs w:val="30"/>
        </w:rPr>
        <w:t>九、大赛评分标准制定原则、评分方法、评分细则及技术规范</w:t>
      </w:r>
      <w:bookmarkEnd w:id="23"/>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24" w:name="_bookmark21"/>
      <w:bookmarkEnd w:id="24"/>
      <w:bookmarkStart w:id="25" w:name="_Toc31851"/>
      <w:r>
        <w:rPr>
          <w:rFonts w:hint="eastAsia" w:ascii="楷体" w:hAnsi="楷体" w:eastAsia="楷体" w:cs="楷体"/>
          <w:sz w:val="30"/>
          <w:szCs w:val="30"/>
        </w:rPr>
        <w:t>（一） 评分标准制定原则</w:t>
      </w:r>
      <w:bookmarkEnd w:id="25"/>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依据参赛选手完成的情况实施综合评定。按照技能大赛技术裁判组制定的考核标准进行评分，全面评价参赛选手职业能力的要求，本着“科学严谨、公正公平、可操作性强、突出工匠精神”的原则制定评分标准。</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rPr>
      </w:pPr>
      <w:bookmarkStart w:id="26" w:name="_Toc4147"/>
      <w:r>
        <w:rPr>
          <w:rFonts w:hint="eastAsia" w:ascii="楷体" w:hAnsi="楷体" w:eastAsia="楷体" w:cs="楷体"/>
          <w:sz w:val="30"/>
          <w:szCs w:val="30"/>
        </w:rPr>
        <w:t>（二） 评分方法</w:t>
      </w:r>
      <w:bookmarkEnd w:id="26"/>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1</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 xml:space="preserve">基本评定方法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裁判组在坚持“公平、公正、公开、科学、规范”的原则下，各负其责，按照制订的评分细则进行评分。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现场评分：裁判组在比赛过程中对参赛选手的安全文明生产以及系统安装调试情况进行观察和评价进行现场评分。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结果评分：比赛结束后，裁判组根据参赛选手提交的比赛结果进行评分。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成绩汇总：比赛成绩经过加密裁判组解密后进行加权计算，确定最终比赛成绩，经总裁判长审核、仲裁组长复核后签字确认。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2</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相同成绩处理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总成绩相同时，以实操总成绩得分高的名次在前；总成绩和实操比赛总成绩相同时，</w:t>
      </w:r>
      <w:r>
        <w:rPr>
          <w:rFonts w:hint="eastAsia" w:ascii="仿宋_GB2312" w:hAnsi="仿宋" w:eastAsia="仿宋_GB2312" w:cs="仿宋"/>
          <w:spacing w:val="-3"/>
          <w:sz w:val="28"/>
          <w:szCs w:val="28"/>
          <w:lang w:eastAsia="zh-Hans"/>
        </w:rPr>
        <w:t>理论考试的提交时间短者</w:t>
      </w:r>
      <w:r>
        <w:rPr>
          <w:rFonts w:hint="eastAsia" w:ascii="仿宋_GB2312" w:hAnsi="仿宋" w:eastAsia="仿宋_GB2312" w:cs="仿宋"/>
          <w:spacing w:val="-3"/>
          <w:sz w:val="28"/>
          <w:szCs w:val="28"/>
        </w:rPr>
        <w:t>在前。</w:t>
      </w:r>
    </w:p>
    <w:p>
      <w:pPr>
        <w:keepNext w:val="0"/>
        <w:keepLines w:val="0"/>
        <w:pageBreakBefore w:val="0"/>
        <w:widowControl/>
        <w:kinsoku w:val="0"/>
        <w:wordWrap/>
        <w:overflowPunct/>
        <w:topLinePunct w:val="0"/>
        <w:autoSpaceDE w:val="0"/>
        <w:autoSpaceDN w:val="0"/>
        <w:bidi w:val="0"/>
        <w:adjustRightInd w:val="0"/>
        <w:snapToGrid w:val="0"/>
        <w:spacing w:before="447" w:line="192" w:lineRule="auto"/>
        <w:ind w:firstLine="607"/>
        <w:jc w:val="both"/>
        <w:textAlignment w:val="baseline"/>
        <w:outlineLvl w:val="1"/>
        <w:rPr>
          <w:rFonts w:ascii="楷体" w:hAnsi="楷体" w:eastAsia="楷体" w:cs="楷体"/>
          <w:sz w:val="30"/>
          <w:szCs w:val="30"/>
          <w:lang w:eastAsia="zh-Hans"/>
        </w:rPr>
      </w:pPr>
      <w:bookmarkStart w:id="27" w:name="_bookmark24"/>
      <w:bookmarkEnd w:id="27"/>
      <w:bookmarkStart w:id="28" w:name="_Toc8355"/>
      <w:r>
        <w:rPr>
          <w:rFonts w:hint="eastAsia" w:ascii="楷体" w:hAnsi="楷体" w:eastAsia="楷体" w:cs="楷体"/>
          <w:sz w:val="30"/>
          <w:szCs w:val="30"/>
        </w:rPr>
        <w:t xml:space="preserve">（三） </w:t>
      </w:r>
      <w:bookmarkStart w:id="29" w:name="_Hlk131435148"/>
      <w:r>
        <w:rPr>
          <w:rFonts w:hint="eastAsia" w:ascii="楷体" w:hAnsi="楷体" w:eastAsia="楷体" w:cs="楷体"/>
          <w:sz w:val="30"/>
          <w:szCs w:val="30"/>
        </w:rPr>
        <w:t>评分细则</w:t>
      </w:r>
      <w:r>
        <w:rPr>
          <w:rFonts w:hint="eastAsia" w:ascii="楷体" w:hAnsi="楷体" w:eastAsia="楷体" w:cs="楷体"/>
          <w:sz w:val="30"/>
          <w:szCs w:val="30"/>
          <w:lang w:eastAsia="zh-Hans"/>
        </w:rPr>
        <w:t>（</w:t>
      </w:r>
      <w:r>
        <w:rPr>
          <w:rFonts w:hint="eastAsia" w:ascii="楷体" w:hAnsi="楷体" w:eastAsia="楷体" w:cs="楷体"/>
          <w:sz w:val="30"/>
          <w:szCs w:val="30"/>
        </w:rPr>
        <w:t>评分指标</w:t>
      </w:r>
      <w:bookmarkEnd w:id="28"/>
      <w:r>
        <w:rPr>
          <w:rFonts w:hint="eastAsia" w:ascii="楷体" w:hAnsi="楷体" w:eastAsia="楷体" w:cs="楷体"/>
          <w:sz w:val="30"/>
          <w:szCs w:val="30"/>
          <w:lang w:eastAsia="zh-Hans"/>
        </w:rPr>
        <w:t>）</w:t>
      </w:r>
      <w:bookmarkEnd w:id="29"/>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eastAsia="仿宋_GB2312"/>
          <w:sz w:val="28"/>
          <w:szCs w:val="28"/>
        </w:rPr>
      </w:pPr>
      <w:r>
        <w:rPr>
          <w:rFonts w:hint="eastAsia" w:ascii="仿宋_GB2312" w:eastAsia="仿宋_GB2312"/>
          <w:sz w:val="28"/>
          <w:szCs w:val="28"/>
        </w:rPr>
        <w:t>1．理论考试部分评分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eastAsia="仿宋_GB2312" w:cs="仿宋"/>
          <w:sz w:val="28"/>
          <w:szCs w:val="28"/>
        </w:rPr>
      </w:pPr>
      <w:r>
        <w:rPr>
          <w:rFonts w:hint="eastAsia" w:ascii="仿宋_GB2312" w:eastAsia="仿宋_GB2312" w:cs="仿宋"/>
          <w:sz w:val="28"/>
          <w:szCs w:val="28"/>
        </w:rPr>
        <w:t>理论考试部分总分100分，各题型分值占比分别为单项选择题（</w:t>
      </w:r>
      <w:r>
        <w:rPr>
          <w:rFonts w:ascii="仿宋_GB2312" w:eastAsia="仿宋_GB2312" w:cs="仿宋"/>
          <w:sz w:val="28"/>
          <w:szCs w:val="28"/>
        </w:rPr>
        <w:t>7</w:t>
      </w:r>
      <w:r>
        <w:rPr>
          <w:rFonts w:hint="eastAsia" w:ascii="仿宋_GB2312" w:eastAsia="仿宋_GB2312" w:cs="仿宋"/>
          <w:sz w:val="28"/>
          <w:szCs w:val="28"/>
        </w:rPr>
        <w:t>0分）和判断题（30分）。理论考试竞赛平台直接自动评分。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both"/>
        <w:textAlignment w:val="baseline"/>
        <w:rPr>
          <w:rFonts w:ascii="仿宋_GB2312" w:eastAsia="仿宋_GB2312" w:cs="仿宋"/>
          <w:sz w:val="28"/>
          <w:szCs w:val="28"/>
        </w:rPr>
      </w:pPr>
      <w:r>
        <w:rPr>
          <w:rFonts w:hint="eastAsia" w:ascii="仿宋_GB2312" w:eastAsia="仿宋_GB2312" w:cs="仿宋"/>
          <w:sz w:val="28"/>
          <w:szCs w:val="28"/>
        </w:rPr>
        <w:t>2</w:t>
      </w:r>
      <w:r>
        <w:rPr>
          <w:rFonts w:ascii="仿宋_GB2312" w:eastAsia="仿宋_GB2312" w:cs="仿宋"/>
          <w:sz w:val="28"/>
          <w:szCs w:val="28"/>
        </w:rPr>
        <w:t>.</w:t>
      </w:r>
      <w:r>
        <w:rPr>
          <w:rFonts w:hint="eastAsia" w:ascii="仿宋_GB2312" w:eastAsia="仿宋_GB2312" w:cs="仿宋"/>
          <w:sz w:val="28"/>
          <w:szCs w:val="28"/>
        </w:rPr>
        <w:t>实践操作部分评分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8" w:firstLineChars="200"/>
        <w:jc w:val="both"/>
        <w:textAlignment w:val="baseline"/>
        <w:rPr>
          <w:rFonts w:ascii="仿宋_GB2312" w:hAnsi="仿宋" w:eastAsia="仿宋_GB2312" w:cs="仿宋"/>
          <w:spacing w:val="-3"/>
          <w:sz w:val="28"/>
          <w:szCs w:val="28"/>
        </w:rPr>
      </w:pPr>
      <w:r>
        <w:rPr>
          <w:rFonts w:hint="eastAsia" w:ascii="仿宋_GB2312" w:hAnsi="仿宋" w:eastAsia="仿宋_GB2312" w:cs="仿宋"/>
          <w:spacing w:val="-3"/>
          <w:sz w:val="28"/>
          <w:szCs w:val="28"/>
        </w:rPr>
        <w:t>评分细则见表</w:t>
      </w:r>
      <w:r>
        <w:rPr>
          <w:rFonts w:ascii="仿宋_GB2312" w:hAnsi="仿宋" w:eastAsia="仿宋_GB2312" w:cs="仿宋"/>
          <w:spacing w:val="-3"/>
          <w:sz w:val="28"/>
          <w:szCs w:val="28"/>
        </w:rPr>
        <w:t>5</w:t>
      </w:r>
      <w:r>
        <w:rPr>
          <w:rFonts w:hint="eastAsia" w:ascii="仿宋_GB2312" w:hAnsi="仿宋" w:eastAsia="仿宋_GB2312" w:cs="仿宋"/>
          <w:spacing w:val="-3"/>
          <w:sz w:val="28"/>
          <w:szCs w:val="28"/>
        </w:rPr>
        <w:t>、表6。</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center"/>
        <w:textAlignment w:val="baseline"/>
        <w:rPr>
          <w:rFonts w:ascii="仿宋_GB2312" w:eastAsia="仿宋_GB2312"/>
          <w:sz w:val="28"/>
          <w:szCs w:val="28"/>
        </w:rPr>
      </w:pPr>
      <w:r>
        <w:rPr>
          <w:rFonts w:ascii="仿宋_GB2312" w:eastAsia="仿宋_GB2312"/>
          <w:sz w:val="28"/>
          <w:szCs w:val="28"/>
        </w:rPr>
        <w:t>表5：</w:t>
      </w:r>
      <w:r>
        <w:rPr>
          <w:rFonts w:hint="eastAsia" w:ascii="仿宋_GB2312" w:eastAsia="仿宋_GB2312"/>
          <w:sz w:val="28"/>
          <w:szCs w:val="28"/>
        </w:rPr>
        <w:t>职工组</w:t>
      </w:r>
      <w:r>
        <w:rPr>
          <w:rFonts w:ascii="仿宋_GB2312" w:eastAsia="仿宋_GB2312"/>
          <w:sz w:val="28"/>
          <w:szCs w:val="28"/>
        </w:rPr>
        <w:t>竞赛内容与评分办法</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382"/>
        <w:gridCol w:w="5501"/>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59"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任务名称</w:t>
            </w:r>
          </w:p>
        </w:tc>
        <w:tc>
          <w:tcPr>
            <w:tcW w:w="763"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任务</w:t>
            </w:r>
          </w:p>
        </w:tc>
        <w:tc>
          <w:tcPr>
            <w:tcW w:w="3037"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评分要点</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759"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实践操作部分</w:t>
            </w:r>
          </w:p>
        </w:tc>
        <w:tc>
          <w:tcPr>
            <w:tcW w:w="763" w:type="pc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任务1：开发平台搭建</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（5分）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测试开发所需软件平台，导入</w:t>
            </w:r>
            <w:r>
              <w:rPr>
                <w:rFonts w:hint="eastAsia" w:ascii="仿宋_GB2312" w:hAnsi="仿宋" w:eastAsia="仿宋_GB2312" w:cs="仿宋"/>
                <w:spacing w:val="-3"/>
                <w:sz w:val="28"/>
                <w:szCs w:val="28"/>
              </w:rPr>
              <w:t>XR头显</w:t>
            </w:r>
            <w:r>
              <w:rPr>
                <w:rFonts w:hint="eastAsia" w:ascii="仿宋_GB2312" w:hAnsi="等线" w:eastAsia="仿宋_GB2312" w:cs="仿宋_GB2312"/>
                <w:sz w:val="28"/>
                <w:szCs w:val="28"/>
                <w:lang w:bidi="ar"/>
              </w:rPr>
              <w:t>SDK应用开发包，并打包APK成功安装在</w:t>
            </w:r>
            <w:r>
              <w:rPr>
                <w:rFonts w:ascii="仿宋_GB2312" w:hAnsi="等线" w:eastAsia="仿宋_GB2312" w:cs="仿宋_GB2312"/>
                <w:sz w:val="28"/>
                <w:szCs w:val="28"/>
                <w:lang w:bidi="ar"/>
              </w:rPr>
              <w:t>XR</w:t>
            </w:r>
            <w:r>
              <w:rPr>
                <w:rFonts w:hint="eastAsia" w:ascii="仿宋_GB2312" w:hAnsi="等线" w:eastAsia="仿宋_GB2312" w:cs="仿宋_GB2312"/>
                <w:sz w:val="28"/>
                <w:szCs w:val="28"/>
                <w:lang w:bidi="ar"/>
              </w:rPr>
              <w:t>头显并运行正常显示画面得5分，否则不得分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任务2：交互设计编码</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40</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1.使用自动或手动的方式进行虚拟场景和真实场景空间校准，定位中心与虚拟世界坐标误差不超过10厘米得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2.显示完善的场景模型，最多得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分，每出现一处穿模、悬空、材质偏差扣</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分，超过</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处错误此项不得分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3.实现新用户操作引导（包括文字、图片、动画），每实现任意一项得1分，最多得3分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4、实现语音播放功能得2分，否则不得分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5</w:t>
            </w:r>
            <w:r>
              <w:rPr>
                <w:rFonts w:hint="eastAsia" w:ascii="仿宋_GB2312" w:hAnsi="等线" w:eastAsia="仿宋_GB2312" w:cs="仿宋_GB2312"/>
                <w:sz w:val="28"/>
                <w:szCs w:val="28"/>
                <w:lang w:bidi="ar"/>
              </w:rPr>
              <w:t>.应用界面调出</w:t>
            </w:r>
            <w:r>
              <w:rPr>
                <w:rStyle w:val="25"/>
                <w:rFonts w:hint="eastAsia" w:hAnsi="等线"/>
                <w:sz w:val="28"/>
                <w:szCs w:val="28"/>
                <w:lang w:bidi="ar"/>
              </w:rPr>
              <w:t>Debug模式，实时显示应用在</w:t>
            </w:r>
            <w:r>
              <w:rPr>
                <w:rStyle w:val="25"/>
                <w:rFonts w:hAnsi="等线"/>
                <w:sz w:val="28"/>
                <w:szCs w:val="28"/>
                <w:lang w:bidi="ar"/>
              </w:rPr>
              <w:t>XR</w:t>
            </w:r>
            <w:r>
              <w:rPr>
                <w:rStyle w:val="25"/>
                <w:rFonts w:hint="eastAsia" w:hAnsi="等线"/>
                <w:sz w:val="28"/>
                <w:szCs w:val="28"/>
                <w:lang w:bidi="ar"/>
              </w:rPr>
              <w:t>头显端运行帧率，帧率≥60fps得</w:t>
            </w:r>
            <w:r>
              <w:rPr>
                <w:rStyle w:val="25"/>
                <w:rFonts w:hAnsi="等线"/>
                <w:sz w:val="28"/>
                <w:szCs w:val="28"/>
                <w:lang w:bidi="ar"/>
              </w:rPr>
              <w:t>3</w:t>
            </w:r>
            <w:r>
              <w:rPr>
                <w:rStyle w:val="25"/>
                <w:rFonts w:hint="eastAsia" w:hAnsi="等线"/>
                <w:sz w:val="28"/>
                <w:szCs w:val="28"/>
                <w:lang w:bidi="ar"/>
              </w:rPr>
              <w:t>分，30fps≤帧率</w:t>
            </w:r>
            <w:r>
              <w:rPr>
                <w:rFonts w:hint="eastAsia" w:ascii="仿宋_GB2312" w:hAnsi="等线" w:eastAsia="仿宋_GB2312" w:cs="仿宋_GB2312"/>
                <w:sz w:val="28"/>
                <w:szCs w:val="28"/>
                <w:lang w:bidi="ar"/>
              </w:rPr>
              <w:t>&lt;</w:t>
            </w:r>
            <w:r>
              <w:rPr>
                <w:rStyle w:val="25"/>
                <w:rFonts w:hint="eastAsia" w:hAnsi="等线"/>
                <w:sz w:val="28"/>
                <w:szCs w:val="28"/>
                <w:lang w:bidi="ar"/>
              </w:rPr>
              <w:t>60fps得</w:t>
            </w:r>
            <w:r>
              <w:rPr>
                <w:rStyle w:val="25"/>
                <w:rFonts w:hAnsi="等线"/>
                <w:sz w:val="28"/>
                <w:szCs w:val="28"/>
                <w:lang w:bidi="ar"/>
              </w:rPr>
              <w:t>1</w:t>
            </w:r>
            <w:r>
              <w:rPr>
                <w:rStyle w:val="25"/>
                <w:rFonts w:hint="eastAsia" w:hAnsi="等线"/>
                <w:sz w:val="28"/>
                <w:szCs w:val="28"/>
                <w:lang w:bidi="ar"/>
              </w:rPr>
              <w:t>分，帧率&lt;30fps不得分，未调出Debug模式界面不得分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.使用控制器进行六自由度（6-DoF）交互，实现空间抓取功能得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分，实现移动功能得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分，实现放置功能得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7</w:t>
            </w:r>
            <w:r>
              <w:rPr>
                <w:rFonts w:hint="eastAsia" w:ascii="仿宋_GB2312" w:hAnsi="等线" w:eastAsia="仿宋_GB2312" w:cs="仿宋_GB2312"/>
                <w:sz w:val="28"/>
                <w:szCs w:val="28"/>
                <w:lang w:bidi="ar"/>
              </w:rPr>
              <w:t>.使用控制器摇杆进行场景操作，控制物体旋转得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8</w:t>
            </w:r>
            <w:r>
              <w:rPr>
                <w:rFonts w:hint="eastAsia" w:ascii="仿宋_GB2312" w:hAnsi="等线" w:eastAsia="仿宋_GB2312" w:cs="仿宋_GB2312"/>
                <w:sz w:val="28"/>
                <w:szCs w:val="28"/>
                <w:lang w:bidi="ar"/>
              </w:rPr>
              <w:t>.使用控制器按键进行场景操作，呼出菜单</w:t>
            </w:r>
            <w:r>
              <w:rPr>
                <w:rStyle w:val="25"/>
                <w:rFonts w:hint="eastAsia" w:hAnsi="等线"/>
                <w:sz w:val="28"/>
                <w:szCs w:val="28"/>
                <w:lang w:bidi="ar"/>
              </w:rPr>
              <w:t>得</w:t>
            </w:r>
            <w:r>
              <w:rPr>
                <w:rStyle w:val="25"/>
                <w:rFonts w:hAnsi="等线"/>
                <w:sz w:val="28"/>
                <w:szCs w:val="28"/>
                <w:lang w:bidi="ar"/>
              </w:rPr>
              <w:t>2</w:t>
            </w:r>
            <w:r>
              <w:rPr>
                <w:rStyle w:val="25"/>
                <w:rFonts w:hint="eastAsia" w:hAnsi="等线"/>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9</w:t>
            </w:r>
            <w:r>
              <w:rPr>
                <w:rFonts w:hint="eastAsia" w:ascii="仿宋_GB2312" w:hAnsi="等线" w:eastAsia="仿宋_GB2312" w:cs="仿宋_GB2312"/>
                <w:sz w:val="28"/>
                <w:szCs w:val="28"/>
                <w:lang w:bidi="ar"/>
              </w:rPr>
              <w:t>.使用控制器实现震动反馈，物体碰撞时触发震动得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10</w:t>
            </w:r>
            <w:r>
              <w:rPr>
                <w:rFonts w:hint="eastAsia" w:ascii="仿宋_GB2312" w:hAnsi="等线" w:eastAsia="仿宋_GB2312" w:cs="仿宋_GB2312"/>
                <w:sz w:val="28"/>
                <w:szCs w:val="28"/>
                <w:lang w:bidi="ar"/>
              </w:rPr>
              <w:t>.使用手势交互功能单手进行六自由度（6-DoF）交互，实现空间抓取功能得</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分，实现移动功能得</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分，实现放置功能得</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.每使用一个追踪模块进行移动功能得</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.使用追踪模块进行事件触发，识别出某个追踪模块播放动画，得2分，否则不得分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.使用追踪模块进行事件触发，识别出某个追踪模块加载新模型，得2分，否则不得分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、实现自动评价功能，通过答题或者互动操作后能自动导出评价结果，得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lang w:bidi="ar"/>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任务3：</w:t>
            </w:r>
            <w:r>
              <w:rPr>
                <w:rFonts w:hint="eastAsia" w:ascii="仿宋_GB2312" w:hAnsi="仿宋" w:eastAsia="仿宋_GB2312" w:cs="仿宋"/>
                <w:spacing w:val="-3"/>
                <w:sz w:val="28"/>
                <w:szCs w:val="28"/>
              </w:rPr>
              <w:t>远程协作通信</w:t>
            </w: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20</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1.使用远程协同API进行空间六自由度（6-DoF）同步，场景中所有虚拟物体的位置和朝向在两人的头显内显示保持同步一致，总分</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分，每出现一个虚拟对象不同步扣</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分，超过</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处不同步则此项不得分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2.使用远程协同API进行事件同步，场景中所有操作事件（如抓取、缩放、动画）在两人的头显内同步触发显示，每同步一种操作得2分，最多得6分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3.使用远程协同API进行音频同步，场景中两人均可向对方发送音频并在对方头显播放得</w:t>
            </w:r>
            <w:r>
              <w:rPr>
                <w:rFonts w:ascii="仿宋_GB2312" w:hAnsi="等线" w:eastAsia="仿宋_GB2312" w:cs="仿宋_GB2312"/>
                <w:sz w:val="28"/>
                <w:szCs w:val="28"/>
                <w:lang w:bidi="ar"/>
              </w:rPr>
              <w:t>8</w:t>
            </w:r>
            <w:r>
              <w:rPr>
                <w:rFonts w:hint="eastAsia" w:ascii="仿宋_GB2312" w:hAnsi="等线" w:eastAsia="仿宋_GB2312" w:cs="仿宋_GB2312"/>
                <w:sz w:val="28"/>
                <w:szCs w:val="28"/>
                <w:lang w:bidi="ar"/>
              </w:rPr>
              <w:t>分，仅能单向发送得</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任务4：虚实画面融合直播</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15</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1.调用第三人称摄像头标定API，使用摄像头标定板进行第三人称摄像头与物理空间的标定，标定后在虚拟世界显示摄像头图标，摄像头图标和真实摄像头的位置误差不超过10厘米，得</w:t>
            </w:r>
            <w:r>
              <w:rPr>
                <w:rFonts w:ascii="仿宋_GB2312" w:hAnsi="等线" w:eastAsia="仿宋_GB2312" w:cs="仿宋_GB2312"/>
                <w:sz w:val="28"/>
                <w:szCs w:val="28"/>
                <w:lang w:bidi="ar"/>
              </w:rPr>
              <w:t>5</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2.获取第三人称摄像头视频流并正确显示，屏幕上可以显示摄像头拍摄到的实时画面，得</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3.实现虚拟场景与实际场景叠加融合显示，在电脑屏幕上显示第三人称直播画面中，定位信标中心与虚拟世界坐标误差不超过10厘米，得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bl>
    <w:p>
      <w:pPr>
        <w:spacing w:line="560" w:lineRule="exact"/>
        <w:ind w:firstLine="560" w:firstLineChars="200"/>
        <w:jc w:val="center"/>
        <w:rPr>
          <w:rFonts w:ascii="仿宋_GB2312" w:eastAsia="仿宋_GB2312"/>
          <w:sz w:val="28"/>
          <w:szCs w:val="28"/>
        </w:rPr>
      </w:pPr>
    </w:p>
    <w:p>
      <w:pPr>
        <w:spacing w:line="560" w:lineRule="exact"/>
        <w:ind w:firstLine="560" w:firstLineChars="200"/>
        <w:jc w:val="center"/>
        <w:rPr>
          <w:rFonts w:ascii="仿宋_GB2312" w:eastAsia="仿宋_GB2312"/>
          <w:sz w:val="28"/>
          <w:szCs w:val="28"/>
        </w:rPr>
      </w:pPr>
      <w:r>
        <w:rPr>
          <w:rFonts w:ascii="仿宋_GB2312" w:eastAsia="仿宋_GB2312"/>
          <w:sz w:val="28"/>
          <w:szCs w:val="28"/>
        </w:rPr>
        <w:t>表6：</w:t>
      </w:r>
      <w:r>
        <w:rPr>
          <w:rFonts w:hint="eastAsia" w:ascii="仿宋_GB2312" w:eastAsia="仿宋_GB2312"/>
          <w:sz w:val="28"/>
          <w:szCs w:val="28"/>
        </w:rPr>
        <w:t>学生组</w:t>
      </w:r>
      <w:r>
        <w:rPr>
          <w:rFonts w:ascii="仿宋_GB2312" w:eastAsia="仿宋_GB2312"/>
          <w:sz w:val="28"/>
          <w:szCs w:val="28"/>
        </w:rPr>
        <w:t xml:space="preserve">竞赛内容与评分办法 </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382"/>
        <w:gridCol w:w="5501"/>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59"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任务名称</w:t>
            </w:r>
          </w:p>
        </w:tc>
        <w:tc>
          <w:tcPr>
            <w:tcW w:w="763"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任务</w:t>
            </w:r>
          </w:p>
        </w:tc>
        <w:tc>
          <w:tcPr>
            <w:tcW w:w="3037"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评分要点</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b/>
                <w:bCs/>
                <w:sz w:val="28"/>
                <w:szCs w:val="28"/>
              </w:rPr>
            </w:pPr>
            <w:r>
              <w:rPr>
                <w:rFonts w:hint="eastAsia" w:ascii="仿宋_GB2312" w:hAnsi="等线" w:eastAsia="仿宋_GB2312" w:cs="仿宋_GB2312"/>
                <w:b/>
                <w:bCs/>
                <w:sz w:val="28"/>
                <w:szCs w:val="28"/>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759"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实践操作部分</w:t>
            </w:r>
          </w:p>
        </w:tc>
        <w:tc>
          <w:tcPr>
            <w:tcW w:w="763" w:type="pc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任务1：开发平台搭建</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（5分）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测试开发所需软件平台，导入</w:t>
            </w:r>
            <w:r>
              <w:rPr>
                <w:rFonts w:hint="eastAsia" w:ascii="仿宋_GB2312" w:hAnsi="仿宋" w:eastAsia="仿宋_GB2312" w:cs="仿宋"/>
                <w:spacing w:val="-3"/>
                <w:sz w:val="28"/>
                <w:szCs w:val="28"/>
              </w:rPr>
              <w:t>XR头显</w:t>
            </w:r>
            <w:r>
              <w:rPr>
                <w:rFonts w:hint="eastAsia" w:ascii="仿宋_GB2312" w:hAnsi="等线" w:eastAsia="仿宋_GB2312" w:cs="仿宋_GB2312"/>
                <w:sz w:val="28"/>
                <w:szCs w:val="28"/>
                <w:lang w:bidi="ar"/>
              </w:rPr>
              <w:t>SDK应用开发包，并打包APK成功安装在</w:t>
            </w:r>
            <w:r>
              <w:rPr>
                <w:rFonts w:ascii="仿宋_GB2312" w:hAnsi="等线" w:eastAsia="仿宋_GB2312" w:cs="仿宋_GB2312"/>
                <w:sz w:val="28"/>
                <w:szCs w:val="28"/>
                <w:lang w:bidi="ar"/>
              </w:rPr>
              <w:t>XR</w:t>
            </w:r>
            <w:r>
              <w:rPr>
                <w:rFonts w:hint="eastAsia" w:ascii="仿宋_GB2312" w:hAnsi="等线" w:eastAsia="仿宋_GB2312" w:cs="仿宋_GB2312"/>
                <w:sz w:val="28"/>
                <w:szCs w:val="28"/>
                <w:lang w:bidi="ar"/>
              </w:rPr>
              <w:t>头显并运行正常显示画面得5分，否则不得分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任务2：交互设计编码</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55</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1.使用自动或手动的方式进行虚拟场景和真实场景空间校准，定位中心与虚拟世界坐标误差不超过10厘米得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2.显示完善的场景模型，最多得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分，每出现一处穿模、悬空、材质偏差扣</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分，超过</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处错误此项不得分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3.实现新用户操作引导（包括文字、图片、动画），每实现任意一项得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4、实现语音播放功能得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lang w:bidi="ar"/>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5</w:t>
            </w:r>
            <w:r>
              <w:rPr>
                <w:rFonts w:hint="eastAsia" w:ascii="仿宋_GB2312" w:hAnsi="等线" w:eastAsia="仿宋_GB2312" w:cs="仿宋_GB2312"/>
                <w:sz w:val="28"/>
                <w:szCs w:val="28"/>
                <w:lang w:bidi="ar"/>
              </w:rPr>
              <w:t>.应用界面调出</w:t>
            </w:r>
            <w:r>
              <w:rPr>
                <w:rStyle w:val="25"/>
                <w:rFonts w:hint="eastAsia" w:hAnsi="等线"/>
                <w:sz w:val="28"/>
                <w:szCs w:val="28"/>
                <w:lang w:bidi="ar"/>
              </w:rPr>
              <w:t>Debug模式，实时显示应用在</w:t>
            </w:r>
            <w:r>
              <w:rPr>
                <w:rStyle w:val="25"/>
                <w:rFonts w:hAnsi="等线"/>
                <w:sz w:val="28"/>
                <w:szCs w:val="28"/>
                <w:lang w:bidi="ar"/>
              </w:rPr>
              <w:t>XR</w:t>
            </w:r>
            <w:r>
              <w:rPr>
                <w:rStyle w:val="25"/>
                <w:rFonts w:hint="eastAsia" w:hAnsi="等线"/>
                <w:sz w:val="28"/>
                <w:szCs w:val="28"/>
                <w:lang w:bidi="ar"/>
              </w:rPr>
              <w:t>头显端运行帧率，帧率≥60fps得4分，30fps≤帧率</w:t>
            </w:r>
            <w:r>
              <w:rPr>
                <w:rFonts w:hint="eastAsia" w:ascii="仿宋_GB2312" w:hAnsi="等线" w:eastAsia="仿宋_GB2312" w:cs="仿宋_GB2312"/>
                <w:sz w:val="28"/>
                <w:szCs w:val="28"/>
                <w:lang w:bidi="ar"/>
              </w:rPr>
              <w:t>&lt;</w:t>
            </w:r>
            <w:r>
              <w:rPr>
                <w:rStyle w:val="25"/>
                <w:rFonts w:hint="eastAsia" w:hAnsi="等线"/>
                <w:sz w:val="28"/>
                <w:szCs w:val="28"/>
                <w:lang w:bidi="ar"/>
              </w:rPr>
              <w:t>60fps得2分，帧率&lt;30fps不得分，未调出Debug模式界面不得分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.使用控制器进行六自由度（6-DoF）交互，实现空间抓取功能得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分，实现移动功能得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分，实现放置功能得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7</w:t>
            </w:r>
            <w:r>
              <w:rPr>
                <w:rFonts w:hint="eastAsia" w:ascii="仿宋_GB2312" w:hAnsi="等线" w:eastAsia="仿宋_GB2312" w:cs="仿宋_GB2312"/>
                <w:sz w:val="28"/>
                <w:szCs w:val="28"/>
                <w:lang w:bidi="ar"/>
              </w:rPr>
              <w:t>.使用控制器摇杆进行场景操作，控制物体旋转得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8</w:t>
            </w:r>
            <w:r>
              <w:rPr>
                <w:rFonts w:hint="eastAsia" w:ascii="仿宋_GB2312" w:hAnsi="等线" w:eastAsia="仿宋_GB2312" w:cs="仿宋_GB2312"/>
                <w:sz w:val="28"/>
                <w:szCs w:val="28"/>
                <w:lang w:bidi="ar"/>
              </w:rPr>
              <w:t>.使用控制器按键进行场景操作，呼出菜单</w:t>
            </w:r>
            <w:r>
              <w:rPr>
                <w:rStyle w:val="25"/>
                <w:rFonts w:hint="eastAsia" w:hAnsi="等线"/>
                <w:sz w:val="28"/>
                <w:szCs w:val="28"/>
                <w:lang w:bidi="ar"/>
              </w:rPr>
              <w:t>得</w:t>
            </w:r>
            <w:r>
              <w:rPr>
                <w:rStyle w:val="25"/>
                <w:rFonts w:hAnsi="等线"/>
                <w:sz w:val="28"/>
                <w:szCs w:val="28"/>
                <w:lang w:bidi="ar"/>
              </w:rPr>
              <w:t>2</w:t>
            </w:r>
            <w:r>
              <w:rPr>
                <w:rStyle w:val="25"/>
                <w:rFonts w:hint="eastAsia" w:hAnsi="等线"/>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9</w:t>
            </w:r>
            <w:r>
              <w:rPr>
                <w:rFonts w:hint="eastAsia" w:ascii="仿宋_GB2312" w:hAnsi="等线" w:eastAsia="仿宋_GB2312" w:cs="仿宋_GB2312"/>
                <w:sz w:val="28"/>
                <w:szCs w:val="28"/>
                <w:lang w:bidi="ar"/>
              </w:rPr>
              <w:t>.使用控制器实现震动反馈，物体碰撞时触发震动得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10</w:t>
            </w:r>
            <w:r>
              <w:rPr>
                <w:rFonts w:hint="eastAsia" w:ascii="仿宋_GB2312" w:hAnsi="等线" w:eastAsia="仿宋_GB2312" w:cs="仿宋_GB2312"/>
                <w:sz w:val="28"/>
                <w:szCs w:val="28"/>
                <w:lang w:bidi="ar"/>
              </w:rPr>
              <w:t>.使用手势交互功能单手进行六自由度（6-DoF）交互，实现空间抓取功能得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分，实现移动功能得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分，实现放置功能得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6</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.每使用一个追踪模块进行移动功能得2分，最多得4分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.使用追踪模块进行事件触发，识别出某个追踪模块播放动画，得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.使用追踪模块进行事件触发，识别出某个追踪模块加载新模型，得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1</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、实现自动评价功能，通过答题或者互动操作后能自动导出评价结果，得</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lang w:bidi="ar"/>
              </w:rPr>
            </w:pPr>
            <w:r>
              <w:rPr>
                <w:rFonts w:ascii="仿宋_GB2312" w:hAnsi="等线" w:eastAsia="仿宋_GB2312" w:cs="仿宋_GB2312"/>
                <w:sz w:val="28"/>
                <w:szCs w:val="2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任务3：</w:t>
            </w:r>
            <w:r>
              <w:rPr>
                <w:rFonts w:hint="eastAsia" w:ascii="仿宋_GB2312" w:hAnsi="仿宋" w:eastAsia="仿宋_GB2312" w:cs="仿宋"/>
                <w:spacing w:val="-3"/>
                <w:sz w:val="28"/>
                <w:szCs w:val="28"/>
              </w:rPr>
              <w:t>远程协作通信</w:t>
            </w: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10</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1.使用远程协同API进行空间六自由度（6-DoF）同步，场景中所有虚拟物体的位置和朝向在两人的头显内显示保持同步一致，总分</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分，每出现一个虚拟对象不同步扣</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分，超过</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处不同步则此项不得分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2.使用远程协同API进行事件同步，场景中所有操作事件（如抓取、缩放、动画）在两人的头显内同步触发显示，每同步一种操作得</w:t>
            </w:r>
            <w:r>
              <w:rPr>
                <w:rFonts w:ascii="仿宋_GB2312" w:hAnsi="等线" w:eastAsia="仿宋_GB2312" w:cs="仿宋_GB2312"/>
                <w:sz w:val="28"/>
                <w:szCs w:val="28"/>
                <w:lang w:bidi="ar"/>
              </w:rPr>
              <w:t>1</w:t>
            </w:r>
            <w:r>
              <w:rPr>
                <w:rFonts w:hint="eastAsia" w:ascii="仿宋_GB2312" w:hAnsi="等线" w:eastAsia="仿宋_GB2312" w:cs="仿宋_GB2312"/>
                <w:sz w:val="28"/>
                <w:szCs w:val="28"/>
                <w:lang w:bidi="ar"/>
              </w:rPr>
              <w:t>分，最多得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3.使用远程协同API进行音频同步，场景中两人均可向对方发送音频并在对方头显播放得</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分，仅能单向发送得</w:t>
            </w:r>
            <w:r>
              <w:rPr>
                <w:rFonts w:ascii="仿宋_GB2312" w:hAnsi="等线" w:eastAsia="仿宋_GB2312" w:cs="仿宋_GB2312"/>
                <w:sz w:val="28"/>
                <w:szCs w:val="28"/>
                <w:lang w:bidi="ar"/>
              </w:rPr>
              <w:t>2</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restart"/>
            <w:shd w:val="clear" w:color="auto" w:fill="auto"/>
            <w:vAlign w:val="center"/>
          </w:tcPr>
          <w:p>
            <w:pPr>
              <w:spacing w:line="400" w:lineRule="exact"/>
              <w:jc w:val="center"/>
              <w:textAlignment w:val="center"/>
              <w:rPr>
                <w:rFonts w:ascii="仿宋_GB2312" w:hAnsi="等线" w:eastAsia="仿宋_GB2312" w:cs="仿宋_GB2312"/>
                <w:sz w:val="28"/>
                <w:szCs w:val="28"/>
                <w:lang w:bidi="ar"/>
              </w:rPr>
            </w:pPr>
            <w:r>
              <w:rPr>
                <w:rFonts w:hint="eastAsia" w:ascii="仿宋_GB2312" w:hAnsi="等线" w:eastAsia="仿宋_GB2312" w:cs="仿宋_GB2312"/>
                <w:sz w:val="28"/>
                <w:szCs w:val="28"/>
                <w:lang w:bidi="ar"/>
              </w:rPr>
              <w:t>任务4：虚实画面融合直播</w:t>
            </w:r>
          </w:p>
          <w:p>
            <w:pPr>
              <w:spacing w:line="400" w:lineRule="exact"/>
              <w:jc w:val="center"/>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w:t>
            </w:r>
            <w:r>
              <w:rPr>
                <w:rFonts w:ascii="仿宋_GB2312" w:hAnsi="等线" w:eastAsia="仿宋_GB2312" w:cs="仿宋_GB2312"/>
                <w:sz w:val="28"/>
                <w:szCs w:val="28"/>
                <w:lang w:bidi="ar"/>
              </w:rPr>
              <w:t>10</w:t>
            </w:r>
            <w:r>
              <w:rPr>
                <w:rFonts w:hint="eastAsia" w:ascii="仿宋_GB2312" w:hAnsi="等线" w:eastAsia="仿宋_GB2312" w:cs="仿宋_GB2312"/>
                <w:sz w:val="28"/>
                <w:szCs w:val="28"/>
                <w:lang w:bidi="ar"/>
              </w:rPr>
              <w:t>分）</w:t>
            </w: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1.调用第三人称摄像头标定API，使用摄像头标定板进行第三人称摄像头与物理空间的标定，标定后在虚拟世界显示摄像头图标，摄像头图标和真实摄像头的位置误差不超过10厘米，得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2.获取第三人称摄像头视频流并正确显示，屏幕上可以显示摄像头拍摄到的实时画面，得</w:t>
            </w:r>
            <w:r>
              <w:rPr>
                <w:rFonts w:ascii="仿宋_GB2312" w:hAnsi="等线" w:eastAsia="仿宋_GB2312" w:cs="仿宋_GB2312"/>
                <w:sz w:val="28"/>
                <w:szCs w:val="28"/>
                <w:lang w:bidi="ar"/>
              </w:rPr>
              <w:t>3</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59"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763" w:type="pct"/>
            <w:vMerge w:val="continue"/>
            <w:shd w:val="clear" w:color="auto" w:fill="auto"/>
            <w:vAlign w:val="center"/>
          </w:tcPr>
          <w:p>
            <w:pPr>
              <w:spacing w:line="400" w:lineRule="exact"/>
              <w:jc w:val="center"/>
              <w:rPr>
                <w:rFonts w:ascii="仿宋_GB2312" w:hAnsi="等线" w:eastAsia="仿宋_GB2312" w:cs="仿宋_GB2312"/>
                <w:sz w:val="28"/>
                <w:szCs w:val="28"/>
              </w:rPr>
            </w:pPr>
          </w:p>
        </w:tc>
        <w:tc>
          <w:tcPr>
            <w:tcW w:w="3037" w:type="pct"/>
            <w:shd w:val="clear" w:color="auto" w:fill="auto"/>
            <w:vAlign w:val="center"/>
          </w:tcPr>
          <w:p>
            <w:pPr>
              <w:spacing w:line="400" w:lineRule="exact"/>
              <w:textAlignment w:val="center"/>
              <w:rPr>
                <w:rFonts w:ascii="仿宋_GB2312" w:hAnsi="等线" w:eastAsia="仿宋_GB2312" w:cs="仿宋_GB2312"/>
                <w:sz w:val="28"/>
                <w:szCs w:val="28"/>
              </w:rPr>
            </w:pPr>
            <w:r>
              <w:rPr>
                <w:rFonts w:hint="eastAsia" w:ascii="仿宋_GB2312" w:hAnsi="等线" w:eastAsia="仿宋_GB2312" w:cs="仿宋_GB2312"/>
                <w:sz w:val="28"/>
                <w:szCs w:val="28"/>
                <w:lang w:bidi="ar"/>
              </w:rPr>
              <w:t>3.</w:t>
            </w:r>
            <w:bookmarkStart w:id="30" w:name="_Hlk139805890"/>
            <w:r>
              <w:rPr>
                <w:rFonts w:hint="eastAsia" w:ascii="仿宋_GB2312" w:hAnsi="等线" w:eastAsia="仿宋_GB2312" w:cs="仿宋_GB2312"/>
                <w:sz w:val="28"/>
                <w:szCs w:val="28"/>
                <w:lang w:bidi="ar"/>
              </w:rPr>
              <w:t>实现虚拟场景与实际场景叠加融合显示，在电脑屏幕上显示第三人称直播画面中</w:t>
            </w:r>
            <w:bookmarkEnd w:id="30"/>
            <w:r>
              <w:rPr>
                <w:rFonts w:hint="eastAsia" w:ascii="仿宋_GB2312" w:hAnsi="等线" w:eastAsia="仿宋_GB2312" w:cs="仿宋_GB2312"/>
                <w:sz w:val="28"/>
                <w:szCs w:val="28"/>
                <w:lang w:bidi="ar"/>
              </w:rPr>
              <w:t>，定位信标中心与虚拟世界坐标误差不超过10厘米，得</w:t>
            </w:r>
            <w:r>
              <w:rPr>
                <w:rFonts w:ascii="仿宋_GB2312" w:hAnsi="等线" w:eastAsia="仿宋_GB2312" w:cs="仿宋_GB2312"/>
                <w:sz w:val="28"/>
                <w:szCs w:val="28"/>
                <w:lang w:bidi="ar"/>
              </w:rPr>
              <w:t>4</w:t>
            </w:r>
            <w:r>
              <w:rPr>
                <w:rFonts w:hint="eastAsia" w:ascii="仿宋_GB2312" w:hAnsi="等线" w:eastAsia="仿宋_GB2312" w:cs="仿宋_GB2312"/>
                <w:sz w:val="28"/>
                <w:szCs w:val="28"/>
                <w:lang w:bidi="ar"/>
              </w:rPr>
              <w:t>分，否则不得分</w:t>
            </w:r>
          </w:p>
        </w:tc>
        <w:tc>
          <w:tcPr>
            <w:tcW w:w="441" w:type="pct"/>
            <w:shd w:val="clear" w:color="auto" w:fill="auto"/>
            <w:noWrap/>
            <w:vAlign w:val="center"/>
          </w:tcPr>
          <w:p>
            <w:pPr>
              <w:spacing w:line="400" w:lineRule="exact"/>
              <w:jc w:val="center"/>
              <w:textAlignment w:val="center"/>
              <w:rPr>
                <w:rFonts w:ascii="仿宋_GB2312" w:hAnsi="等线" w:eastAsia="仿宋_GB2312" w:cs="仿宋_GB2312"/>
                <w:sz w:val="28"/>
                <w:szCs w:val="28"/>
              </w:rPr>
            </w:pPr>
            <w:r>
              <w:rPr>
                <w:rFonts w:ascii="仿宋_GB2312" w:hAnsi="等线" w:eastAsia="仿宋_GB2312" w:cs="仿宋_GB2312"/>
                <w:sz w:val="28"/>
                <w:szCs w:val="28"/>
                <w:lang w:bidi="ar"/>
              </w:rPr>
              <w:t>4</w:t>
            </w:r>
          </w:p>
        </w:tc>
      </w:tr>
    </w:tbl>
    <w:p>
      <w:pPr>
        <w:keepNext w:val="0"/>
        <w:keepLines w:val="0"/>
        <w:pageBreakBefore w:val="0"/>
        <w:wordWrap/>
        <w:overflowPunct/>
        <w:topLinePunct w:val="0"/>
        <w:bidi w:val="0"/>
        <w:spacing w:line="560" w:lineRule="exact"/>
        <w:jc w:val="both"/>
        <w:rPr>
          <w:rFonts w:ascii="仿宋_GB2312" w:eastAsia="仿宋_GB2312"/>
          <w:sz w:val="28"/>
          <w:szCs w:val="28"/>
        </w:rPr>
      </w:pPr>
    </w:p>
    <w:p>
      <w:pPr>
        <w:keepNext w:val="0"/>
        <w:keepLines w:val="0"/>
        <w:pageBreakBefore w:val="0"/>
        <w:wordWrap/>
        <w:overflowPunct/>
        <w:topLinePunct w:val="0"/>
        <w:bidi w:val="0"/>
        <w:spacing w:before="447" w:line="192" w:lineRule="auto"/>
        <w:ind w:firstLine="607"/>
        <w:jc w:val="both"/>
        <w:outlineLvl w:val="1"/>
        <w:rPr>
          <w:rFonts w:ascii="楷体" w:hAnsi="楷体" w:eastAsia="楷体" w:cs="楷体"/>
          <w:sz w:val="30"/>
          <w:szCs w:val="30"/>
        </w:rPr>
      </w:pPr>
      <w:bookmarkStart w:id="31" w:name="_Toc11243"/>
      <w:r>
        <w:rPr>
          <w:rFonts w:hint="eastAsia" w:ascii="楷体" w:hAnsi="楷体" w:eastAsia="楷体" w:cs="楷体"/>
          <w:sz w:val="30"/>
          <w:szCs w:val="30"/>
        </w:rPr>
        <w:t>（四） 评分方式</w:t>
      </w:r>
      <w:bookmarkEnd w:id="31"/>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采用过程评分、结果评分和违规扣分方式，完全采用客观化评分，</w:t>
      </w:r>
      <w:r>
        <w:rPr>
          <w:rFonts w:ascii="仿宋_GB2312" w:hAnsi="仿宋" w:eastAsia="仿宋_GB2312" w:cs="仿宋"/>
          <w:spacing w:val="-3"/>
          <w:sz w:val="28"/>
          <w:szCs w:val="28"/>
        </w:rPr>
        <w:t>结果评分至少由 2 名裁判根据评分细则进行客观评分，并记录评分结果。</w:t>
      </w:r>
      <w:r>
        <w:rPr>
          <w:rFonts w:hint="eastAsia" w:ascii="仿宋_GB2312" w:hAnsi="仿宋" w:eastAsia="仿宋_GB2312" w:cs="仿宋"/>
          <w:spacing w:val="-3"/>
          <w:sz w:val="28"/>
          <w:szCs w:val="28"/>
        </w:rPr>
        <w:t>现场评分仅对违规扣分</w:t>
      </w:r>
      <w:r>
        <w:rPr>
          <w:rFonts w:ascii="仿宋_GB2312" w:hAnsi="仿宋" w:eastAsia="仿宋_GB2312" w:cs="仿宋"/>
          <w:spacing w:val="-3"/>
          <w:sz w:val="28"/>
          <w:szCs w:val="28"/>
        </w:rPr>
        <w:t xml:space="preserve">。 </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选手比赛中有下列情形者将予以扣分：</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在完成工作任务的过程中，因操作不当导致事故，扣总分10～15%，情况严重者取消比赛资格。 </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 xml:space="preserve">因违规操作损坏赛场提供的设备，污染赛场环境等严重不符合职业规范的行为，视情节扣总分 5～10%，情况严重者取消比赛资格。 </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扰乱赛场秩序，干扰裁判员工作，视情节扣总分 5～10%，情况严重者取消比赛资格。</w:t>
      </w:r>
    </w:p>
    <w:p>
      <w:pPr>
        <w:keepNext w:val="0"/>
        <w:keepLines w:val="0"/>
        <w:pageBreakBefore w:val="0"/>
        <w:wordWrap/>
        <w:overflowPunct/>
        <w:topLinePunct w:val="0"/>
        <w:bidi w:val="0"/>
        <w:spacing w:before="447" w:line="192" w:lineRule="auto"/>
        <w:ind w:firstLine="607"/>
        <w:jc w:val="both"/>
        <w:outlineLvl w:val="1"/>
        <w:rPr>
          <w:rFonts w:ascii="楷体" w:hAnsi="楷体" w:eastAsia="楷体" w:cs="楷体"/>
          <w:sz w:val="30"/>
          <w:szCs w:val="30"/>
        </w:rPr>
      </w:pPr>
      <w:bookmarkStart w:id="32" w:name="_bookmark25"/>
      <w:bookmarkEnd w:id="32"/>
      <w:bookmarkStart w:id="33" w:name="_Toc13430"/>
      <w:r>
        <w:rPr>
          <w:rFonts w:hint="eastAsia" w:ascii="楷体" w:hAnsi="楷体" w:eastAsia="楷体" w:cs="楷体"/>
          <w:sz w:val="30"/>
          <w:szCs w:val="30"/>
        </w:rPr>
        <w:t>（五） 技术规范</w:t>
      </w:r>
      <w:bookmarkEnd w:id="33"/>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GB 21746—2008 教学仪器设备安全要求总则。</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GB/T21747-2008 教学实验室设备实验台(桌)的安全要求及试验方法。</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GB16917.1－2003 家用和类似用途的带过电流保护的剩余电流动作断路器(RCB0) 第1部分：一般规则</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《虚拟现实工程技术人员职业标准》（职业编码</w:t>
      </w:r>
      <w:r>
        <w:rPr>
          <w:rFonts w:ascii="仿宋_GB2312" w:hAnsi="仿宋" w:eastAsia="仿宋_GB2312" w:cs="仿宋"/>
          <w:spacing w:val="-3"/>
          <w:sz w:val="28"/>
          <w:szCs w:val="28"/>
        </w:rPr>
        <w:t>2</w:t>
      </w:r>
      <w:r>
        <w:rPr>
          <w:rFonts w:hint="eastAsia" w:ascii="仿宋_GB2312" w:hAnsi="仿宋" w:eastAsia="仿宋_GB2312" w:cs="仿宋"/>
          <w:spacing w:val="-3"/>
          <w:sz w:val="28"/>
          <w:szCs w:val="28"/>
        </w:rPr>
        <w:t>-0</w:t>
      </w:r>
      <w:r>
        <w:rPr>
          <w:rFonts w:ascii="仿宋_GB2312" w:hAnsi="仿宋" w:eastAsia="仿宋_GB2312" w:cs="仿宋"/>
          <w:spacing w:val="-3"/>
          <w:sz w:val="28"/>
          <w:szCs w:val="28"/>
        </w:rPr>
        <w:t>2</w:t>
      </w:r>
      <w:r>
        <w:rPr>
          <w:rFonts w:hint="eastAsia" w:ascii="仿宋_GB2312" w:hAnsi="仿宋" w:eastAsia="仿宋_GB2312" w:cs="仿宋"/>
          <w:spacing w:val="-3"/>
          <w:sz w:val="28"/>
          <w:szCs w:val="28"/>
        </w:rPr>
        <w:t>-02</w:t>
      </w:r>
      <w:r>
        <w:rPr>
          <w:rFonts w:ascii="仿宋_GB2312" w:hAnsi="仿宋" w:eastAsia="仿宋_GB2312" w:cs="仿宋"/>
          <w:spacing w:val="-3"/>
          <w:sz w:val="28"/>
          <w:szCs w:val="28"/>
        </w:rPr>
        <w:t>10</w:t>
      </w:r>
      <w:r>
        <w:rPr>
          <w:rFonts w:hint="eastAsia" w:ascii="仿宋_GB2312" w:hAnsi="仿宋" w:eastAsia="仿宋_GB2312" w:cs="仿宋"/>
          <w:spacing w:val="-3"/>
          <w:sz w:val="28"/>
          <w:szCs w:val="28"/>
        </w:rPr>
        <w:t>-</w:t>
      </w:r>
      <w:r>
        <w:rPr>
          <w:rFonts w:ascii="仿宋_GB2312" w:hAnsi="仿宋" w:eastAsia="仿宋_GB2312" w:cs="仿宋"/>
          <w:spacing w:val="-3"/>
          <w:sz w:val="28"/>
          <w:szCs w:val="28"/>
        </w:rPr>
        <w:t>14</w:t>
      </w:r>
      <w:r>
        <w:rPr>
          <w:rFonts w:hint="eastAsia" w:ascii="仿宋_GB2312" w:hAnsi="仿宋" w:eastAsia="仿宋_GB2312" w:cs="仿宋"/>
          <w:spacing w:val="-3"/>
          <w:sz w:val="28"/>
          <w:szCs w:val="28"/>
        </w:rPr>
        <w:t>）</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《制图员国家职业标准》（职业编码3-01-02-06）</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《计算机操作员国家职业标准》（职业编码3-01-02-05）</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《多媒体作品制作员》（职业编码XZ-02-13-07）</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《计算机与应用工程技术员》（职业编码2-02-13）</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《网络课件设计师（试行》）（ 职业编码X2-02-13-09）</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bookmarkStart w:id="34" w:name="_Toc42453291"/>
      <w:r>
        <w:rPr>
          <w:rFonts w:hint="eastAsia" w:ascii="仿宋_GB2312" w:hAnsi="仿宋" w:eastAsia="仿宋_GB2312" w:cs="仿宋"/>
          <w:spacing w:val="-3"/>
          <w:sz w:val="28"/>
          <w:szCs w:val="28"/>
        </w:rPr>
        <w:t>职业素养与安全要求</w:t>
      </w:r>
      <w:bookmarkEnd w:id="34"/>
      <w:r>
        <w:rPr>
          <w:rFonts w:hint="eastAsia" w:ascii="仿宋_GB2312" w:hAnsi="仿宋" w:eastAsia="仿宋_GB2312" w:cs="仿宋"/>
          <w:spacing w:val="-3"/>
          <w:sz w:val="28"/>
          <w:szCs w:val="28"/>
        </w:rPr>
        <w:t>：</w:t>
      </w: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严格遵循相关职业素养要求及安全规范，安全文明参赛；操作规范；工具摆放整齐；着装规范；资料归档完整等。</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35" w:name="_bookmark26"/>
      <w:bookmarkEnd w:id="35"/>
      <w:bookmarkStart w:id="36" w:name="_Toc15139"/>
      <w:r>
        <w:rPr>
          <w:rFonts w:ascii="黑体" w:hAnsi="黑体" w:eastAsia="黑体" w:cs="黑体"/>
          <w:sz w:val="30"/>
          <w:szCs w:val="30"/>
        </w:rPr>
        <w:t>十、大赛硬件平台说明</w:t>
      </w:r>
      <w:bookmarkEnd w:id="36"/>
    </w:p>
    <w:p>
      <w:pPr>
        <w:keepNext w:val="0"/>
        <w:keepLines w:val="0"/>
        <w:pageBreakBefore w:val="0"/>
        <w:wordWrap/>
        <w:overflowPunct/>
        <w:topLinePunct w:val="0"/>
        <w:bidi w:val="0"/>
        <w:jc w:val="both"/>
      </w:pPr>
    </w:p>
    <w:p>
      <w:pPr>
        <w:keepNext w:val="0"/>
        <w:keepLines w:val="0"/>
        <w:pageBreakBefore w:val="0"/>
        <w:wordWrap/>
        <w:overflowPunct/>
        <w:topLinePunct w:val="0"/>
        <w:bidi w:val="0"/>
        <w:spacing w:line="560" w:lineRule="exact"/>
        <w:ind w:firstLine="548" w:firstLineChars="20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大赛平台采用由广东虚拟现实科技有限公司提供技术支持的XR头显，设备提供S</w:t>
      </w:r>
      <w:r>
        <w:rPr>
          <w:rFonts w:ascii="仿宋_GB2312" w:hAnsi="仿宋" w:eastAsia="仿宋_GB2312" w:cs="仿宋"/>
          <w:spacing w:val="-3"/>
          <w:sz w:val="28"/>
          <w:szCs w:val="28"/>
        </w:rPr>
        <w:t>DK</w:t>
      </w:r>
      <w:r>
        <w:rPr>
          <w:rFonts w:hint="eastAsia" w:ascii="仿宋_GB2312" w:hAnsi="仿宋" w:eastAsia="仿宋_GB2312" w:cs="仿宋"/>
          <w:spacing w:val="-3"/>
          <w:sz w:val="28"/>
          <w:szCs w:val="28"/>
        </w:rPr>
        <w:t>工具包用于应用开发，功能参数要求如下：</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主机：性能不低高通骁龙XR2芯片</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内存：</w:t>
      </w:r>
      <w:r>
        <w:rPr>
          <w:rFonts w:ascii="仿宋_GB2312" w:hAnsi="仿宋" w:eastAsia="仿宋_GB2312" w:cs="仿宋"/>
          <w:spacing w:val="-3"/>
          <w:sz w:val="28"/>
          <w:szCs w:val="28"/>
        </w:rPr>
        <w:t>4</w:t>
      </w:r>
      <w:r>
        <w:rPr>
          <w:rFonts w:hint="eastAsia" w:ascii="仿宋_GB2312" w:hAnsi="仿宋" w:eastAsia="仿宋_GB2312" w:cs="仿宋"/>
          <w:spacing w:val="-3"/>
          <w:sz w:val="28"/>
          <w:szCs w:val="28"/>
        </w:rPr>
        <w:t>GB内存及以上</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存储：</w:t>
      </w:r>
      <w:r>
        <w:rPr>
          <w:rFonts w:ascii="仿宋_GB2312" w:hAnsi="仿宋" w:eastAsia="仿宋_GB2312" w:cs="仿宋"/>
          <w:spacing w:val="-3"/>
          <w:sz w:val="28"/>
          <w:szCs w:val="28"/>
        </w:rPr>
        <w:t>64</w:t>
      </w:r>
      <w:r>
        <w:rPr>
          <w:rFonts w:hint="eastAsia" w:ascii="仿宋_GB2312" w:hAnsi="仿宋" w:eastAsia="仿宋_GB2312" w:cs="仿宋"/>
          <w:spacing w:val="-3"/>
          <w:sz w:val="28"/>
          <w:szCs w:val="28"/>
        </w:rPr>
        <w:t>G Flash高速闪存及以上</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连接：</w:t>
      </w:r>
      <w:r>
        <w:rPr>
          <w:rFonts w:ascii="仿宋_GB2312" w:hAnsi="仿宋" w:eastAsia="仿宋_GB2312" w:cs="仿宋"/>
          <w:spacing w:val="-3"/>
          <w:sz w:val="28"/>
          <w:szCs w:val="28"/>
        </w:rPr>
        <w:t>Wi-Fi 6</w:t>
      </w:r>
      <w:r>
        <w:rPr>
          <w:rFonts w:hint="eastAsia" w:ascii="仿宋_GB2312" w:hAnsi="仿宋" w:eastAsia="仿宋_GB2312" w:cs="仿宋"/>
          <w:spacing w:val="-3"/>
          <w:sz w:val="28"/>
          <w:szCs w:val="28"/>
        </w:rPr>
        <w:t>和蓝牙5.1</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音频：降噪拾音，支持对接第三方语音识别</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透视方式：光学透视（O</w:t>
      </w:r>
      <w:r>
        <w:rPr>
          <w:rFonts w:ascii="仿宋_GB2312" w:hAnsi="仿宋" w:eastAsia="仿宋_GB2312" w:cs="仿宋"/>
          <w:spacing w:val="-3"/>
          <w:sz w:val="28"/>
          <w:szCs w:val="28"/>
        </w:rPr>
        <w:t>ST</w:t>
      </w:r>
      <w:r>
        <w:rPr>
          <w:rFonts w:hint="eastAsia" w:ascii="仿宋_GB2312" w:hAnsi="仿宋" w:eastAsia="仿宋_GB2312" w:cs="仿宋"/>
          <w:spacing w:val="-3"/>
          <w:sz w:val="28"/>
          <w:szCs w:val="28"/>
        </w:rPr>
        <w:t>）或视频透视（V</w:t>
      </w:r>
      <w:r>
        <w:rPr>
          <w:rFonts w:ascii="仿宋_GB2312" w:hAnsi="仿宋" w:eastAsia="仿宋_GB2312" w:cs="仿宋"/>
          <w:spacing w:val="-3"/>
          <w:sz w:val="28"/>
          <w:szCs w:val="28"/>
        </w:rPr>
        <w:t>ST</w:t>
      </w:r>
      <w:r>
        <w:rPr>
          <w:rFonts w:hint="eastAsia" w:ascii="仿宋_GB2312" w:hAnsi="仿宋" w:eastAsia="仿宋_GB2312" w:cs="仿宋"/>
          <w:spacing w:val="-3"/>
          <w:sz w:val="28"/>
          <w:szCs w:val="28"/>
        </w:rPr>
        <w:t>）</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支持头手6</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 xml:space="preserve">DoF空间交互 </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灵活的控制方式：支持双手柄6</w:t>
      </w:r>
      <w:r>
        <w:rPr>
          <w:rFonts w:ascii="仿宋_GB2312" w:hAnsi="仿宋" w:eastAsia="仿宋_GB2312" w:cs="仿宋"/>
          <w:spacing w:val="-3"/>
          <w:sz w:val="28"/>
          <w:szCs w:val="28"/>
        </w:rPr>
        <w:t>-</w:t>
      </w:r>
      <w:r>
        <w:rPr>
          <w:rFonts w:hint="eastAsia" w:ascii="仿宋_GB2312" w:hAnsi="仿宋" w:eastAsia="仿宋_GB2312" w:cs="仿宋"/>
          <w:spacing w:val="-3"/>
          <w:sz w:val="28"/>
          <w:szCs w:val="28"/>
        </w:rPr>
        <w:t>DoF控制器及手势交互</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多人快速协同：能实现多人大空间协同操作</w:t>
      </w:r>
    </w:p>
    <w:p>
      <w:pPr>
        <w:pStyle w:val="17"/>
        <w:keepNext w:val="0"/>
        <w:keepLines w:val="0"/>
        <w:pageBreakBefore w:val="0"/>
        <w:numPr>
          <w:ilvl w:val="0"/>
          <w:numId w:val="1"/>
        </w:numPr>
        <w:wordWrap/>
        <w:overflowPunct/>
        <w:topLinePunct w:val="0"/>
        <w:bidi w:val="0"/>
        <w:spacing w:line="560" w:lineRule="exact"/>
        <w:ind w:firstLineChars="0"/>
        <w:jc w:val="both"/>
        <w:rPr>
          <w:rFonts w:ascii="仿宋_GB2312" w:hAnsi="仿宋" w:eastAsia="仿宋_GB2312" w:cs="仿宋"/>
          <w:spacing w:val="-3"/>
          <w:sz w:val="28"/>
          <w:szCs w:val="28"/>
        </w:rPr>
      </w:pPr>
      <w:r>
        <w:rPr>
          <w:rFonts w:hint="eastAsia" w:ascii="仿宋_GB2312" w:hAnsi="仿宋" w:eastAsia="仿宋_GB2312" w:cs="仿宋"/>
          <w:spacing w:val="-3"/>
          <w:sz w:val="28"/>
          <w:szCs w:val="28"/>
        </w:rPr>
        <w:t>能实现虚拟场景与实际场景叠加融合的第三视角分享</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37" w:name="_bookmark27"/>
      <w:bookmarkEnd w:id="37"/>
      <w:bookmarkStart w:id="38" w:name="_Toc10213"/>
      <w:bookmarkStart w:id="39" w:name="_Hlk131435684"/>
      <w:r>
        <w:rPr>
          <w:rFonts w:ascii="黑体" w:hAnsi="黑体" w:eastAsia="黑体" w:cs="黑体"/>
          <w:sz w:val="30"/>
          <w:szCs w:val="30"/>
        </w:rPr>
        <w:t>十一、大赛安全保障</w:t>
      </w:r>
      <w:bookmarkEnd w:id="38"/>
    </w:p>
    <w:bookmarkEnd w:id="39"/>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为确保大赛赛事的安全，采取切实有效的措施保证大赛期间参赛选手、工作人员及观众的人身安全。根据提出的安全要点，制定相应制度文件，落实相关责任。</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（一）赛场建立与公安、消防、司法行政、交通、卫生、食品、质检等相关部门的协调机制，保证比赛安全，制定应急预案，及时处置突发事件。</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（二）大赛办公室在赛前组织专人对比赛现场、住宿场所和交通保障进行考察，并对安全工作提出明确要求。赛场的布置，赛场内的器材、设备，应符合国家有关安全规定。</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（三）赛场周围设立警戒线，防止无关人员进入，发生意外事件。在具有危险性的操作环节，裁判员要严防选手出现错误操作。</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（四）大赛期间组织的参观和观摩活动的交通安全由大赛办公室负责。大赛办公室</w:t>
      </w:r>
      <w:r>
        <w:rPr>
          <w:rFonts w:hint="eastAsia" w:ascii="Times New Roman" w:hAnsi="Times New Roman" w:eastAsia="仿宋_GB2312" w:cs="仿宋"/>
          <w:bCs/>
          <w:sz w:val="28"/>
          <w:szCs w:val="28"/>
        </w:rPr>
        <w:t>和比赛场地方</w:t>
      </w:r>
      <w:r>
        <w:rPr>
          <w:rFonts w:hint="eastAsia" w:ascii="Times New Roman" w:hAnsi="Times New Roman" w:eastAsia="仿宋_GB2312" w:cs="仿宋"/>
          <w:sz w:val="28"/>
          <w:szCs w:val="28"/>
        </w:rPr>
        <w:t>须保证比赛期间选手、工作人员的交通安全。</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（五）</w:t>
      </w:r>
      <w:r>
        <w:rPr>
          <w:rFonts w:hint="eastAsia" w:ascii="Times New Roman" w:hAnsi="Times New Roman" w:eastAsia="仿宋_GB2312" w:cs="仿宋"/>
          <w:sz w:val="28"/>
          <w:szCs w:val="28"/>
          <w:lang w:val="en-US" w:eastAsia="zh-CN"/>
        </w:rPr>
        <w:t>各设区市</w:t>
      </w:r>
      <w:r>
        <w:rPr>
          <w:rFonts w:hint="eastAsia" w:ascii="Times New Roman" w:hAnsi="Times New Roman" w:eastAsia="仿宋_GB2312" w:cs="仿宋"/>
          <w:sz w:val="28"/>
          <w:szCs w:val="28"/>
        </w:rPr>
        <w:t>在组织参赛选手时，须安排为参赛选手购买大赛期间的人身意外伤害保险。</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六）比赛期间发生意外事故时，发现者应第一时间报告大赛办公室，同时采取措施，避免事态扩大。大赛办公室应立即启动预案予以解决并向大赛组委会报告。出现重大安全问题，比赛可以停赛，是否停赛由大赛组委会决定。</w:t>
      </w:r>
    </w:p>
    <w:p>
      <w:pPr>
        <w:pStyle w:val="4"/>
        <w:keepNext w:val="0"/>
        <w:keepLines w:val="0"/>
        <w:pageBreakBefore w:val="0"/>
        <w:wordWrap/>
        <w:overflowPunct/>
        <w:topLinePunct w:val="0"/>
        <w:bidi w:val="0"/>
        <w:spacing w:after="0" w:line="560" w:lineRule="exact"/>
        <w:ind w:left="0" w:leftChars="0" w:firstLine="560" w:firstLineChars="200"/>
        <w:jc w:val="both"/>
        <w:rPr>
          <w:rFonts w:ascii="Times New Roman" w:hAnsi="Times New Roman" w:eastAsia="仿宋_GB2312" w:cs="仿宋"/>
          <w:sz w:val="28"/>
          <w:szCs w:val="28"/>
        </w:rPr>
      </w:pPr>
      <w:r>
        <w:rPr>
          <w:rFonts w:hint="eastAsia" w:ascii="Times New Roman" w:hAnsi="Times New Roman" w:eastAsia="仿宋_GB2312" w:cs="仿宋"/>
          <w:sz w:val="28"/>
          <w:szCs w:val="28"/>
        </w:rPr>
        <w:t>（七）赛场由裁判员监督完成比赛设备通电前的检查全过程，对出现的操作隐患及时提醒和制止。比赛过程中，参赛选手应严格遵守安全操作规程，遇有紧急情况，应立即切断电源，在工作人员安排下有序退场。</w:t>
      </w:r>
    </w:p>
    <w:p>
      <w:pPr>
        <w:keepNext w:val="0"/>
        <w:keepLines w:val="0"/>
        <w:pageBreakBefore w:val="0"/>
        <w:wordWrap/>
        <w:overflowPunct/>
        <w:topLinePunct w:val="0"/>
        <w:bidi w:val="0"/>
        <w:spacing w:line="560" w:lineRule="exact"/>
        <w:ind w:firstLine="560" w:firstLineChars="200"/>
        <w:jc w:val="both"/>
        <w:rPr>
          <w:rFonts w:ascii="仿宋_GB2312" w:hAnsi="仿宋" w:eastAsia="仿宋_GB2312" w:cs="仿宋"/>
          <w:spacing w:val="-3"/>
          <w:sz w:val="28"/>
          <w:szCs w:val="28"/>
        </w:rPr>
      </w:pPr>
      <w:r>
        <w:rPr>
          <w:rFonts w:hint="eastAsia" w:ascii="Times New Roman" w:hAnsi="Times New Roman" w:eastAsia="仿宋_GB2312" w:cs="仿宋"/>
          <w:sz w:val="28"/>
          <w:szCs w:val="28"/>
        </w:rPr>
        <w:t>（八）赛场提供应急医疗措施和消防措施。</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40" w:name="_bookmark28"/>
      <w:bookmarkEnd w:id="40"/>
      <w:bookmarkStart w:id="41" w:name="_bookmark29"/>
      <w:bookmarkEnd w:id="41"/>
      <w:bookmarkStart w:id="42" w:name="_Toc31281"/>
      <w:r>
        <w:rPr>
          <w:rFonts w:ascii="黑体" w:hAnsi="黑体" w:eastAsia="黑体" w:cs="黑体"/>
          <w:sz w:val="30"/>
          <w:szCs w:val="30"/>
        </w:rPr>
        <w:t>十二、大赛组织与管理</w:t>
      </w:r>
      <w:bookmarkEnd w:id="42"/>
    </w:p>
    <w:p>
      <w:pPr>
        <w:keepNext w:val="0"/>
        <w:keepLines w:val="0"/>
        <w:pageBreakBefore w:val="0"/>
        <w:wordWrap/>
        <w:overflowPunct/>
        <w:topLinePunct w:val="0"/>
        <w:bidi w:val="0"/>
        <w:spacing w:before="447" w:line="192" w:lineRule="auto"/>
        <w:ind w:firstLine="607"/>
        <w:jc w:val="both"/>
        <w:outlineLvl w:val="1"/>
        <w:rPr>
          <w:rFonts w:ascii="楷体" w:hAnsi="楷体" w:eastAsia="楷体" w:cs="楷体"/>
          <w:sz w:val="30"/>
          <w:szCs w:val="30"/>
        </w:rPr>
      </w:pPr>
      <w:bookmarkStart w:id="43" w:name="_Toc10439"/>
      <w:r>
        <w:rPr>
          <w:rFonts w:hint="eastAsia" w:ascii="楷体" w:hAnsi="楷体" w:eastAsia="楷体" w:cs="楷体"/>
          <w:sz w:val="30"/>
          <w:szCs w:val="30"/>
        </w:rPr>
        <w:t xml:space="preserve">（一） </w:t>
      </w:r>
      <w:bookmarkStart w:id="44" w:name="_Hlk131427924"/>
      <w:r>
        <w:rPr>
          <w:rFonts w:hint="eastAsia" w:ascii="楷体" w:hAnsi="楷体" w:eastAsia="楷体" w:cs="楷体"/>
          <w:sz w:val="30"/>
          <w:szCs w:val="30"/>
        </w:rPr>
        <w:t>大赛设备与设施管理</w:t>
      </w:r>
      <w:bookmarkEnd w:id="43"/>
      <w:bookmarkEnd w:id="44"/>
    </w:p>
    <w:p>
      <w:pPr>
        <w:keepNext w:val="0"/>
        <w:keepLines w:val="0"/>
        <w:pageBreakBefore w:val="0"/>
        <w:wordWrap/>
        <w:overflowPunct/>
        <w:topLinePunct w:val="0"/>
        <w:bidi w:val="0"/>
        <w:spacing w:line="560" w:lineRule="exact"/>
        <w:ind w:firstLine="548" w:firstLineChars="200"/>
        <w:jc w:val="both"/>
        <w:rPr>
          <w:rFonts w:ascii="仿宋_GB2312" w:hAnsi="仿宋_GB2312" w:eastAsia="仿宋_GB2312" w:cs="仿宋"/>
          <w:spacing w:val="-3"/>
          <w:sz w:val="28"/>
          <w:szCs w:val="28"/>
        </w:rPr>
      </w:pPr>
      <w:r>
        <w:rPr>
          <w:rFonts w:hint="eastAsia" w:ascii="仿宋_GB2312" w:hAnsi="仿宋_GB2312" w:eastAsia="仿宋_GB2312" w:cs="宋体"/>
          <w:spacing w:val="-3"/>
          <w:sz w:val="28"/>
          <w:szCs w:val="28"/>
        </w:rPr>
        <w:t>1.赛场条件</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 w:eastAsia="仿宋_GB2312" w:cs="仿宋"/>
          <w:sz w:val="28"/>
          <w:szCs w:val="28"/>
        </w:rPr>
      </w:pPr>
      <w:r>
        <w:rPr>
          <w:rFonts w:hint="eastAsia" w:ascii="仿宋_GB2312" w:hAnsi="仿宋_GB2312" w:eastAsia="仿宋_GB2312" w:cs="宋体"/>
          <w:sz w:val="28"/>
          <w:szCs w:val="28"/>
        </w:rPr>
        <w:t>（</w:t>
      </w:r>
      <w:r>
        <w:rPr>
          <w:rFonts w:hint="eastAsia" w:ascii="仿宋_GB2312" w:hAnsi="仿宋_GB2312" w:eastAsia="仿宋_GB2312" w:cs="仿宋"/>
          <w:sz w:val="28"/>
          <w:szCs w:val="28"/>
        </w:rPr>
        <w:t>1</w:t>
      </w:r>
      <w:r>
        <w:rPr>
          <w:rFonts w:hint="eastAsia" w:ascii="仿宋_GB2312" w:hAnsi="仿宋_GB2312" w:eastAsia="仿宋_GB2312" w:cs="宋体"/>
          <w:sz w:val="28"/>
          <w:szCs w:val="28"/>
        </w:rPr>
        <w:t>）赛场布置，贯彻赛场集中，工位独立的原则。选手大赛单元相对独立，确保选手独立开展比赛，不受外界影响；工位集中布置，保证大赛氛围。</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仿宋_GB2312" w:eastAsia="仿宋_GB2312" w:cs="宋体"/>
          <w:sz w:val="28"/>
          <w:szCs w:val="28"/>
        </w:rPr>
        <w:t>（</w:t>
      </w:r>
      <w:r>
        <w:rPr>
          <w:rFonts w:hint="eastAsia" w:ascii="仿宋_GB2312" w:hAnsi="仿宋_GB2312" w:eastAsia="仿宋_GB2312" w:cs="仿宋"/>
          <w:sz w:val="28"/>
          <w:szCs w:val="28"/>
        </w:rPr>
        <w:t>2</w:t>
      </w:r>
      <w:r>
        <w:rPr>
          <w:rFonts w:hint="eastAsia" w:ascii="仿宋_GB2312" w:hAnsi="仿宋_GB2312" w:eastAsia="仿宋_GB2312" w:cs="宋体"/>
          <w:sz w:val="28"/>
          <w:szCs w:val="28"/>
        </w:rPr>
        <w:t>）卫生间、医疗、维修服务、生活补给站和垃圾分类回收点都在警戒线范围内，以确保大赛在相对安全的环境内进行。</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仿宋_GB2312" w:eastAsia="仿宋_GB2312" w:cs="宋体"/>
          <w:sz w:val="28"/>
          <w:szCs w:val="28"/>
        </w:rPr>
        <w:t>（</w:t>
      </w:r>
      <w:r>
        <w:rPr>
          <w:rFonts w:hint="eastAsia" w:ascii="仿宋_GB2312" w:hAnsi="仿宋_GB2312" w:eastAsia="仿宋_GB2312" w:cs="仿宋"/>
          <w:sz w:val="28"/>
          <w:szCs w:val="28"/>
        </w:rPr>
        <w:t>3</w:t>
      </w:r>
      <w:r>
        <w:rPr>
          <w:rFonts w:hint="eastAsia" w:ascii="仿宋_GB2312" w:hAnsi="仿宋_GB2312" w:eastAsia="仿宋_GB2312" w:cs="宋体"/>
          <w:sz w:val="28"/>
          <w:szCs w:val="28"/>
        </w:rPr>
        <w:t>）设置安全通道和警戒线，确保进入赛场的参观、采访和视察的人员在安全区域内活动，以保证大赛安全有序进行。</w:t>
      </w:r>
    </w:p>
    <w:p>
      <w:pPr>
        <w:keepNext w:val="0"/>
        <w:keepLines w:val="0"/>
        <w:pageBreakBefore w:val="0"/>
        <w:wordWrap/>
        <w:overflowPunct/>
        <w:topLinePunct w:val="0"/>
        <w:bidi w:val="0"/>
        <w:spacing w:line="560" w:lineRule="exact"/>
        <w:ind w:firstLine="548" w:firstLineChars="200"/>
        <w:jc w:val="both"/>
        <w:rPr>
          <w:rFonts w:ascii="仿宋_GB2312" w:hAnsi="仿宋_GB2312" w:eastAsia="仿宋_GB2312" w:cs="宋体"/>
          <w:spacing w:val="-3"/>
          <w:sz w:val="28"/>
          <w:szCs w:val="28"/>
        </w:rPr>
      </w:pPr>
      <w:r>
        <w:rPr>
          <w:rFonts w:hint="eastAsia" w:ascii="仿宋_GB2312" w:hAnsi="仿宋_GB2312" w:eastAsia="仿宋_GB2312" w:cs="宋体"/>
          <w:spacing w:val="-3"/>
          <w:sz w:val="28"/>
          <w:szCs w:val="28"/>
        </w:rPr>
        <w:t>2．大赛保障</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1</w:t>
      </w:r>
      <w:r>
        <w:rPr>
          <w:rFonts w:hint="eastAsia" w:ascii="仿宋_GB2312" w:hAnsi="宋体" w:eastAsia="仿宋_GB2312" w:cs="宋体"/>
          <w:sz w:val="28"/>
          <w:szCs w:val="28"/>
        </w:rPr>
        <w:t>）建立完善的大赛保障组织管理机制，做到各比赛单元均有专人负责指挥和协调，确保大赛有序进行。</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2</w:t>
      </w:r>
      <w:r>
        <w:rPr>
          <w:rFonts w:hint="eastAsia" w:ascii="仿宋_GB2312" w:hAnsi="宋体" w:eastAsia="仿宋_GB2312" w:cs="宋体"/>
          <w:sz w:val="28"/>
          <w:szCs w:val="28"/>
        </w:rPr>
        <w:t>）设置生活保障组，为大赛选手与裁判提供相应的生活服务和后勤保障。</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宋体" w:eastAsia="仿宋_GB2312" w:cs="宋体"/>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3</w:t>
      </w:r>
      <w:r>
        <w:rPr>
          <w:rFonts w:hint="eastAsia" w:ascii="仿宋_GB2312" w:hAnsi="宋体" w:eastAsia="仿宋_GB2312" w:cs="宋体"/>
          <w:sz w:val="28"/>
          <w:szCs w:val="28"/>
        </w:rPr>
        <w:t>）设置技术保障组，为大赛设备、软件与大赛设施提供保养、维修等服务，保障设备的完好性和正常使用，保障设备配件与操作工具的及时供应。竞赛现场提供应急的备用电源，同时设置备用工位和设备，经现场裁判确定需要更换设备或者调整工位时，可及时更换。更换设备或者调整工位的时间，可在比赛结束后相应延时。</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4</w:t>
      </w:r>
      <w:r>
        <w:rPr>
          <w:rFonts w:hint="eastAsia" w:ascii="仿宋_GB2312" w:hAnsi="宋体" w:eastAsia="仿宋_GB2312" w:cs="宋体"/>
          <w:sz w:val="28"/>
          <w:szCs w:val="28"/>
        </w:rPr>
        <w:t>）设置医疗保障服务站，为可能发生的事故提供伤口处理等应急服务。</w:t>
      </w:r>
    </w:p>
    <w:p>
      <w:pPr>
        <w:pStyle w:val="4"/>
        <w:keepNext w:val="0"/>
        <w:keepLines w:val="0"/>
        <w:pageBreakBefore w:val="0"/>
        <w:wordWrap/>
        <w:overflowPunct/>
        <w:topLinePunct w:val="0"/>
        <w:bidi w:val="0"/>
        <w:spacing w:after="0" w:line="560" w:lineRule="exact"/>
        <w:ind w:left="0" w:leftChars="0" w:firstLine="560" w:firstLineChars="200"/>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5</w:t>
      </w:r>
      <w:r>
        <w:rPr>
          <w:rFonts w:hint="eastAsia" w:ascii="仿宋_GB2312" w:hAnsi="宋体" w:eastAsia="仿宋_GB2312" w:cs="宋体"/>
          <w:sz w:val="28"/>
          <w:szCs w:val="28"/>
        </w:rPr>
        <w:t>）设置外围安保组，对赛场核心区域的外围进行警戒与引导服务。</w:t>
      </w:r>
    </w:p>
    <w:p>
      <w:pPr>
        <w:keepNext w:val="0"/>
        <w:keepLines w:val="0"/>
        <w:pageBreakBefore w:val="0"/>
        <w:wordWrap/>
        <w:overflowPunct/>
        <w:topLinePunct w:val="0"/>
        <w:bidi w:val="0"/>
        <w:spacing w:line="560" w:lineRule="exact"/>
        <w:ind w:firstLine="548" w:firstLineChars="200"/>
        <w:jc w:val="both"/>
        <w:rPr>
          <w:rFonts w:ascii="仿宋_GB2312" w:hAnsi="仿宋_GB2312" w:eastAsia="仿宋_GB2312" w:cs="宋体"/>
          <w:spacing w:val="-3"/>
          <w:sz w:val="28"/>
          <w:szCs w:val="28"/>
        </w:rPr>
      </w:pPr>
      <w:r>
        <w:rPr>
          <w:rFonts w:hint="eastAsia" w:ascii="仿宋_GB2312" w:hAnsi="仿宋_GB2312" w:eastAsia="仿宋_GB2312" w:cs="宋体"/>
          <w:spacing w:val="-3"/>
          <w:sz w:val="28"/>
          <w:szCs w:val="28"/>
        </w:rPr>
        <w:t>3．赛场布置</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1</w:t>
      </w:r>
      <w:r>
        <w:rPr>
          <w:rFonts w:hint="eastAsia" w:ascii="仿宋_GB2312" w:hAnsi="宋体" w:eastAsia="仿宋_GB2312" w:cs="宋体"/>
          <w:sz w:val="28"/>
          <w:szCs w:val="28"/>
        </w:rPr>
        <w:t>）赛场应进行周密设计，绘制满足赛事管理、引导、指示要求的平面图。大赛举行期间，应在比赛场所、人员密集的地方张贴标识。</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2</w:t>
      </w:r>
      <w:r>
        <w:rPr>
          <w:rFonts w:hint="eastAsia" w:ascii="仿宋_GB2312" w:hAnsi="宋体" w:eastAsia="仿宋_GB2312" w:cs="宋体"/>
          <w:sz w:val="28"/>
          <w:szCs w:val="28"/>
        </w:rPr>
        <w:t>）赛场平面图上应标明安全出口、消防通道、警戒区、紧急事件发生时的疏散通道。</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3</w:t>
      </w:r>
      <w:r>
        <w:rPr>
          <w:rFonts w:hint="eastAsia" w:ascii="仿宋_GB2312" w:hAnsi="宋体" w:eastAsia="仿宋_GB2312" w:cs="宋体"/>
          <w:sz w:val="28"/>
          <w:szCs w:val="28"/>
        </w:rPr>
        <w:t>）赛场的标注、标识应进行统一设计，按规定使用大赛的标注、标识。赛场各功能区域、工位等应具有清晰的标注与标识。</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4</w:t>
      </w:r>
      <w:r>
        <w:rPr>
          <w:rFonts w:hint="eastAsia" w:ascii="仿宋_GB2312" w:hAnsi="宋体" w:eastAsia="仿宋_GB2312" w:cs="宋体"/>
          <w:sz w:val="28"/>
          <w:szCs w:val="28"/>
        </w:rPr>
        <w:t>）工位上张贴各种设备的安全文明生产操作规程。</w:t>
      </w:r>
    </w:p>
    <w:p>
      <w:pPr>
        <w:keepNext w:val="0"/>
        <w:keepLines w:val="0"/>
        <w:pageBreakBefore w:val="0"/>
        <w:wordWrap/>
        <w:overflowPunct/>
        <w:topLinePunct w:val="0"/>
        <w:bidi w:val="0"/>
        <w:spacing w:line="560" w:lineRule="exact"/>
        <w:ind w:firstLine="548" w:firstLineChars="200"/>
        <w:jc w:val="both"/>
        <w:rPr>
          <w:rFonts w:ascii="仿宋_GB2312" w:hAnsi="仿宋_GB2312" w:eastAsia="仿宋_GB2312" w:cs="宋体"/>
          <w:spacing w:val="-3"/>
          <w:sz w:val="28"/>
          <w:szCs w:val="28"/>
        </w:rPr>
      </w:pPr>
      <w:r>
        <w:rPr>
          <w:rFonts w:hint="eastAsia" w:ascii="仿宋_GB2312" w:hAnsi="仿宋_GB2312" w:eastAsia="仿宋_GB2312" w:cs="宋体"/>
          <w:spacing w:val="-3"/>
          <w:sz w:val="28"/>
          <w:szCs w:val="28"/>
        </w:rPr>
        <w:t>4．安全防范措施</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1</w:t>
      </w:r>
      <w:r>
        <w:rPr>
          <w:rFonts w:hint="eastAsia" w:ascii="仿宋_GB2312" w:hAnsi="宋体" w:eastAsia="仿宋_GB2312" w:cs="宋体"/>
          <w:sz w:val="28"/>
          <w:szCs w:val="28"/>
        </w:rPr>
        <w:t>）根据大赛具体特点做好安全事故应急预案。</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2</w:t>
      </w:r>
      <w:r>
        <w:rPr>
          <w:rFonts w:hint="eastAsia" w:ascii="仿宋_GB2312" w:hAnsi="宋体" w:eastAsia="仿宋_GB2312" w:cs="宋体"/>
          <w:sz w:val="28"/>
          <w:szCs w:val="28"/>
        </w:rPr>
        <w:t>）赛前应组织安保人员进行培训，提前进行安全教育和演习，使安保人员熟悉大赛的安全预案，明确各自的分工和职责。督促各部门检查消防设施，做好安全保卫工作，防止火灾、盗窃现象发生，要按时关窗锁门，确保大赛期间赛场财产的安全。</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3</w:t>
      </w:r>
      <w:r>
        <w:rPr>
          <w:rFonts w:hint="eastAsia" w:ascii="仿宋_GB2312" w:hAnsi="宋体" w:eastAsia="仿宋_GB2312" w:cs="宋体"/>
          <w:sz w:val="28"/>
          <w:szCs w:val="28"/>
        </w:rPr>
        <w:t>）比赛过程中如若发生安全事故，应立即报告现场总指挥，同时启动事故处理应急预案，各类人员按照分工各尽其责，立即展开现场抢救和组织人员疏散，最大限度地减少人员伤害及财产损失。</w:t>
      </w:r>
    </w:p>
    <w:p>
      <w:pPr>
        <w:keepNext w:val="0"/>
        <w:keepLines w:val="0"/>
        <w:pageBreakBefore w:val="0"/>
        <w:wordWrap/>
        <w:overflowPunct/>
        <w:topLinePunct w:val="0"/>
        <w:bidi w:val="0"/>
        <w:spacing w:line="560" w:lineRule="exact"/>
        <w:ind w:firstLine="596" w:firstLineChars="213"/>
        <w:jc w:val="both"/>
        <w:rPr>
          <w:rFonts w:ascii="仿宋_GB2312" w:hAnsi="仿宋_GB2312" w:eastAsia="仿宋_GB2312" w:cs="仿宋"/>
          <w:sz w:val="28"/>
          <w:szCs w:val="28"/>
        </w:rPr>
      </w:pPr>
      <w:r>
        <w:rPr>
          <w:rFonts w:hint="eastAsia" w:ascii="仿宋_GB2312" w:hAnsi="宋体" w:eastAsia="仿宋_GB2312" w:cs="宋体"/>
          <w:sz w:val="28"/>
          <w:szCs w:val="28"/>
        </w:rPr>
        <w:t>（</w:t>
      </w:r>
      <w:r>
        <w:rPr>
          <w:rFonts w:hint="eastAsia" w:ascii="仿宋_GB2312" w:hAnsi="仿宋_GB2312" w:eastAsia="仿宋_GB2312" w:cs="仿宋"/>
          <w:sz w:val="28"/>
          <w:szCs w:val="28"/>
        </w:rPr>
        <w:t>4</w:t>
      </w:r>
      <w:r>
        <w:rPr>
          <w:rFonts w:hint="eastAsia" w:ascii="仿宋_GB2312" w:hAnsi="宋体" w:eastAsia="仿宋_GB2312" w:cs="宋体"/>
          <w:sz w:val="28"/>
          <w:szCs w:val="28"/>
        </w:rPr>
        <w:t>）比赛结束时，要及时进行安全检查，重点做好防火、防盗以及电气、设备的安全检查，防止因疏忽而发生事故。</w:t>
      </w:r>
    </w:p>
    <w:p>
      <w:pPr>
        <w:keepNext w:val="0"/>
        <w:keepLines w:val="0"/>
        <w:pageBreakBefore w:val="0"/>
        <w:wordWrap/>
        <w:overflowPunct/>
        <w:topLinePunct w:val="0"/>
        <w:bidi w:val="0"/>
        <w:spacing w:before="447" w:line="192" w:lineRule="auto"/>
        <w:ind w:firstLine="607"/>
        <w:jc w:val="both"/>
        <w:outlineLvl w:val="1"/>
        <w:rPr>
          <w:rFonts w:ascii="楷体" w:hAnsi="楷体" w:eastAsia="楷体" w:cs="楷体"/>
          <w:sz w:val="30"/>
          <w:szCs w:val="30"/>
        </w:rPr>
      </w:pPr>
      <w:bookmarkStart w:id="45" w:name="_bookmark30"/>
      <w:bookmarkEnd w:id="45"/>
      <w:bookmarkStart w:id="46" w:name="_Toc7943"/>
      <w:r>
        <w:rPr>
          <w:rFonts w:hint="eastAsia" w:ascii="楷体" w:hAnsi="楷体" w:eastAsia="楷体" w:cs="楷体"/>
          <w:sz w:val="30"/>
          <w:szCs w:val="30"/>
        </w:rPr>
        <w:t xml:space="preserve">（二） </w:t>
      </w:r>
      <w:bookmarkStart w:id="47" w:name="_Hlk131427942"/>
      <w:r>
        <w:rPr>
          <w:rFonts w:hint="eastAsia" w:ascii="楷体" w:hAnsi="楷体" w:eastAsia="楷体" w:cs="楷体"/>
          <w:sz w:val="30"/>
          <w:szCs w:val="30"/>
        </w:rPr>
        <w:t>大赛监督与仲裁管理</w:t>
      </w:r>
      <w:bookmarkEnd w:id="46"/>
      <w:bookmarkEnd w:id="47"/>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shd w:val="clear" w:color="auto" w:fill="FFFFFF"/>
        </w:rPr>
      </w:pPr>
      <w:r>
        <w:rPr>
          <w:rFonts w:hint="eastAsia" w:ascii="仿宋_GB2312" w:eastAsia="仿宋_GB2312"/>
          <w:sz w:val="28"/>
          <w:szCs w:val="28"/>
          <w:shd w:val="clear" w:color="auto" w:fill="FFFFFF"/>
        </w:rPr>
        <w:t>1.大赛监督</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（1）监督组在大赛办公室领导下，负责对大赛筹备与组织工作，实施全程现场监督。</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（2）监督组的监督内容包括大赛场地和设施的部署、选手抽签、裁判培训、大赛组织、成绩评判及汇总、成绩发布、申诉仲裁、成绩复核等。</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（3）监督组对比赛过程中明显违规现象，应及时向大赛办公室提出改正建议，同时采取必要技术手段，留取监督的过程资料。比赛结束后，向大赛组委会提报监督工作报告。</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（4）监督组不参与具体的赛事组织活动。</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shd w:val="clear" w:color="auto" w:fill="FFFFFF"/>
        </w:rPr>
      </w:pPr>
      <w:r>
        <w:rPr>
          <w:rFonts w:hint="eastAsia" w:ascii="仿宋_GB2312" w:eastAsia="仿宋_GB2312"/>
          <w:sz w:val="28"/>
          <w:szCs w:val="28"/>
          <w:shd w:val="clear" w:color="auto" w:fill="FFFFFF"/>
        </w:rPr>
        <w:t>2.申诉与仲裁</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（1）各参赛选手对不符合大赛规程规定的仪器、设备、工装、材料、物件、计算机软硬件、大赛使用工具、用品，大赛执裁、赛场管理、比赛成绩，以及工作人员的不规范行为等，可向大赛仲裁组提出申诉。</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（2）申诉主体为参赛选手。</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（3）申诉启动时，参赛选手以亲笔签字的书面报告的形式递交大赛仲裁组。报告应对申诉事件的现象、发生时间、涉及人员、申诉依据等进行充分、实事求是的叙述。非书面申诉不予受理。</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（4）提出申诉应在比赛结束后不超过 2 小时内提出。超过时效不予受理。</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（5）大赛仲裁工作组在接到申诉报告后的 2 小时内组织复议，并及时将复议结果以书面形式告知申诉方。申诉方对复议结果仍有异议，可由省（市）大赛组委会机构向大赛办公室提出申诉。大赛办公室的仲裁结果为最终结果。</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（6）申诉方不得以任何理由拒绝接收仲裁结果；不得以任何理由采取过激行为扰乱赛场秩序；仲裁结果由申诉人签收，不能代收；如在约定时间和地点申诉人离开，视为自行放弃申诉。</w:t>
      </w:r>
    </w:p>
    <w:p>
      <w:pPr>
        <w:keepNext w:val="0"/>
        <w:keepLines w:val="0"/>
        <w:pageBreakBefore w:val="0"/>
        <w:wordWrap/>
        <w:overflowPunct/>
        <w:topLinePunct w:val="0"/>
        <w:bidi w:val="0"/>
        <w:spacing w:line="560" w:lineRule="exact"/>
        <w:ind w:firstLine="560" w:firstLineChars="200"/>
        <w:jc w:val="both"/>
        <w:rPr>
          <w:rFonts w:ascii="仿宋_GB2312" w:eastAsia="仿宋_GB2312" w:cs="仿宋"/>
          <w:sz w:val="28"/>
          <w:szCs w:val="28"/>
        </w:rPr>
      </w:pPr>
      <w:r>
        <w:rPr>
          <w:rFonts w:hint="eastAsia" w:ascii="仿宋_GB2312" w:eastAsia="仿宋_GB2312" w:cs="仿宋"/>
          <w:sz w:val="28"/>
          <w:szCs w:val="28"/>
        </w:rPr>
        <w:t>（7）申诉方可随时提出放弃申诉。</w:t>
      </w:r>
    </w:p>
    <w:p>
      <w:pPr>
        <w:keepNext w:val="0"/>
        <w:keepLines w:val="0"/>
        <w:pageBreakBefore w:val="0"/>
        <w:widowControl/>
        <w:kinsoku w:val="0"/>
        <w:wordWrap/>
        <w:overflowPunct/>
        <w:topLinePunct w:val="0"/>
        <w:autoSpaceDE w:val="0"/>
        <w:autoSpaceDN w:val="0"/>
        <w:bidi w:val="0"/>
        <w:adjustRightInd w:val="0"/>
        <w:snapToGrid w:val="0"/>
        <w:spacing w:before="450" w:line="240" w:lineRule="auto"/>
        <w:ind w:firstLine="600" w:firstLineChars="200"/>
        <w:jc w:val="both"/>
        <w:textAlignment w:val="baseline"/>
        <w:outlineLvl w:val="0"/>
        <w:rPr>
          <w:rFonts w:ascii="黑体" w:hAnsi="黑体" w:eastAsia="黑体" w:cs="黑体"/>
          <w:sz w:val="30"/>
          <w:szCs w:val="30"/>
        </w:rPr>
      </w:pPr>
      <w:bookmarkStart w:id="48" w:name="_bookmark31"/>
      <w:bookmarkEnd w:id="48"/>
      <w:bookmarkStart w:id="49" w:name="_Toc7918"/>
      <w:r>
        <w:rPr>
          <w:rFonts w:ascii="黑体" w:hAnsi="黑体" w:eastAsia="黑体" w:cs="黑体"/>
          <w:sz w:val="30"/>
          <w:szCs w:val="30"/>
        </w:rPr>
        <w:t>十三、裁判人员要求</w:t>
      </w:r>
      <w:bookmarkEnd w:id="49"/>
    </w:p>
    <w:p>
      <w:pPr>
        <w:keepNext w:val="0"/>
        <w:keepLines w:val="0"/>
        <w:pageBreakBefore w:val="0"/>
        <w:wordWrap/>
        <w:overflowPunct/>
        <w:topLinePunct w:val="0"/>
        <w:bidi w:val="0"/>
        <w:spacing w:before="447" w:line="192" w:lineRule="auto"/>
        <w:ind w:firstLine="607"/>
        <w:jc w:val="both"/>
        <w:outlineLvl w:val="1"/>
        <w:rPr>
          <w:rFonts w:hint="eastAsia" w:ascii="楷体" w:hAnsi="楷体" w:eastAsia="楷体" w:cs="楷体"/>
          <w:sz w:val="30"/>
          <w:szCs w:val="30"/>
        </w:rPr>
      </w:pPr>
      <w:r>
        <w:rPr>
          <w:rFonts w:hint="eastAsia" w:ascii="楷体" w:hAnsi="楷体" w:eastAsia="楷体" w:cs="楷体"/>
          <w:sz w:val="30"/>
          <w:szCs w:val="30"/>
        </w:rPr>
        <w:t>（一）裁判人员组成</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大赛的裁判工作由裁判长、副裁判长、加密裁判、检录裁判、现场裁判、评分裁判组成。</w:t>
      </w:r>
    </w:p>
    <w:p>
      <w:pPr>
        <w:keepNext w:val="0"/>
        <w:keepLines w:val="0"/>
        <w:pageBreakBefore w:val="0"/>
        <w:wordWrap/>
        <w:overflowPunct/>
        <w:topLinePunct w:val="0"/>
        <w:bidi w:val="0"/>
        <w:spacing w:before="447" w:line="192" w:lineRule="auto"/>
        <w:ind w:firstLine="607"/>
        <w:jc w:val="both"/>
        <w:outlineLvl w:val="1"/>
        <w:rPr>
          <w:rFonts w:ascii="楷体" w:hAnsi="楷体" w:eastAsia="楷体" w:cs="楷体"/>
          <w:sz w:val="30"/>
          <w:szCs w:val="30"/>
        </w:rPr>
      </w:pPr>
      <w:r>
        <w:rPr>
          <w:rFonts w:hint="eastAsia" w:ascii="楷体" w:hAnsi="楷体" w:eastAsia="楷体" w:cs="楷体"/>
          <w:sz w:val="30"/>
          <w:szCs w:val="30"/>
        </w:rPr>
        <w:t>（二）裁判人员要求</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1.具有良好的职业道德和心理素质，严守竞赛纪律，服从组织安排，责任心强；</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2.</w:t>
      </w:r>
      <w:r>
        <w:rPr>
          <w:rFonts w:hint="eastAsia"/>
        </w:rPr>
        <w:t xml:space="preserve"> </w:t>
      </w:r>
      <w:r>
        <w:rPr>
          <w:rFonts w:hint="eastAsia" w:ascii="仿宋_GB2312" w:eastAsia="仿宋_GB2312"/>
          <w:sz w:val="28"/>
          <w:szCs w:val="28"/>
        </w:rPr>
        <w:t>评分裁判须从事计算机专业（职业）相关工作 2 年以上（含2 年），具备深厚的专业理论知识和较高的实践技能水平，具有省级或行业职业技能竞赛执裁经验；</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3.有较强的组织协调能力和临场应变能力；</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4.年龄原则上不超过 60 周岁，身体健康，无任何违法违纪记录，且获得工作单位支持，能在规定时间内到岗，并按要求完成指定裁判工作。</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5.加密裁判、检录裁判由大赛办公室指派责任心强的专业人员担任。</w:t>
      </w:r>
    </w:p>
    <w:p>
      <w:pPr>
        <w:keepNext w:val="0"/>
        <w:keepLines w:val="0"/>
        <w:pageBreakBefore w:val="0"/>
        <w:wordWrap/>
        <w:overflowPunct/>
        <w:topLinePunct w:val="0"/>
        <w:bidi w:val="0"/>
        <w:spacing w:line="560" w:lineRule="exact"/>
        <w:ind w:firstLine="560" w:firstLineChars="200"/>
        <w:jc w:val="both"/>
        <w:rPr>
          <w:rFonts w:ascii="仿宋_GB2312" w:hAnsi="仿宋" w:eastAsia="仿宋_GB2312" w:cs="仿宋"/>
          <w:sz w:val="28"/>
          <w:szCs w:val="28"/>
        </w:rPr>
      </w:pPr>
      <w:r>
        <w:rPr>
          <w:rFonts w:hint="eastAsia" w:ascii="仿宋_GB2312" w:eastAsia="仿宋_GB2312"/>
          <w:sz w:val="28"/>
          <w:szCs w:val="28"/>
        </w:rPr>
        <w:t>6.</w:t>
      </w:r>
      <w:r>
        <w:rPr>
          <w:rFonts w:hint="eastAsia" w:ascii="仿宋_GB2312" w:hAnsi="仿宋" w:eastAsia="仿宋_GB2312" w:cs="仿宋"/>
          <w:sz w:val="28"/>
          <w:szCs w:val="28"/>
        </w:rPr>
        <w:t>竞赛中所有裁判人员不得影响选手正常竞赛。</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7.评分裁判严格执行竞赛项目评分标准，做到公平、公正、真实、准确，杜绝随意打分；严禁利用工作之便，弄虚作假、徇私舞弊。</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hint="eastAsia" w:ascii="仿宋_GB2312" w:eastAsia="仿宋_GB2312"/>
          <w:sz w:val="28"/>
          <w:szCs w:val="28"/>
        </w:rPr>
        <w:t>8.现场裁判要提醒选手注意操作安全，对于选手的违规操作或有可能引发人身伤害、设备损坏等事故的行为，应立即制止并按规定扣分，对于参赛选手作弊的情况</w:t>
      </w:r>
      <w:r>
        <w:rPr>
          <w:rFonts w:hint="eastAsia" w:ascii="仿宋_GB2312" w:hAnsi="仿宋" w:eastAsia="仿宋_GB2312" w:cs="仿宋"/>
          <w:spacing w:val="-3"/>
          <w:sz w:val="28"/>
          <w:szCs w:val="28"/>
        </w:rPr>
        <w:t>取消其比赛资格。</w:t>
      </w:r>
    </w:p>
    <w:p>
      <w:pPr>
        <w:keepNext w:val="0"/>
        <w:keepLines w:val="0"/>
        <w:pageBreakBefore w:val="0"/>
        <w:wordWrap/>
        <w:overflowPunct/>
        <w:topLinePunct w:val="0"/>
        <w:bidi w:val="0"/>
        <w:spacing w:line="560" w:lineRule="exact"/>
        <w:ind w:firstLine="560" w:firstLineChars="200"/>
        <w:jc w:val="both"/>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.竞赛期间，因裁判人员工作不负责任，造成竞赛程序无法继续进行或评判结果不真实的情况，由赛项组委会视情节轻重，给予通报批评或停止裁判资格，并通知其所在单位做出相应处理。</w:t>
      </w:r>
    </w:p>
    <w:sectPr>
      <w:footerReference r:id="rId5" w:type="default"/>
      <w:pgSz w:w="11906" w:h="16839"/>
      <w:pgMar w:top="1531" w:right="1474" w:bottom="1417" w:left="1587" w:header="0" w:footer="1613"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3C0041" w:csb1="A0080000"/>
  </w:font>
  <w:font w:name="方正小标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93"/>
      </w:tabs>
      <w:spacing w:line="143" w:lineRule="exact"/>
      <w:rPr>
        <w:rFonts w:ascii="Times New Roman" w:hAnsi="Times New Roman" w:eastAsia="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3" w:lineRule="exact"/>
      <w:rPr>
        <w:rFonts w:ascii="Times New Roman" w:hAnsi="Times New Roman" w:eastAsia="宋体"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ij4t8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Pi3ywCAABXBAAADgAAAAAAAAABACAAAAAfAQAAZHJzL2Uyb0RvYy54bWxQSwUGAAAAAAYA&#10;BgBZAQAAvQUAAAAA&#10;">
              <v:fill on="f" focussize="0,0"/>
              <v:stroke on="f" weight="0.5pt"/>
              <v:imagedata o:title=""/>
              <o:lock v:ext="edit" aspectratio="f"/>
              <v:textbox inset="0mm,0mm,0mm,0mm" style="mso-fit-shape-to-text:t;">
                <w:txbxContent>
                  <w:p>
                    <w:pPr>
                      <w:pStyle w:val="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caps/>
        <w:color w:val="auto"/>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caps/>
                              <w:color w:val="auto"/>
                              <w:sz w:val="32"/>
                              <w:szCs w:val="32"/>
                            </w:rPr>
                            <w:fldChar w:fldCharType="begin"/>
                          </w:r>
                          <w:r>
                            <w:rPr>
                              <w:rFonts w:hint="eastAsia" w:ascii="方正仿宋_GBK" w:hAnsi="方正仿宋_GBK" w:eastAsia="方正仿宋_GBK" w:cs="方正仿宋_GBK"/>
                              <w:caps/>
                              <w:color w:val="auto"/>
                              <w:sz w:val="32"/>
                              <w:szCs w:val="32"/>
                            </w:rPr>
                            <w:instrText xml:space="preserve">PAGE   \* MERGEFORMAT</w:instrText>
                          </w:r>
                          <w:r>
                            <w:rPr>
                              <w:rFonts w:hint="eastAsia" w:ascii="方正仿宋_GBK" w:hAnsi="方正仿宋_GBK" w:eastAsia="方正仿宋_GBK" w:cs="方正仿宋_GBK"/>
                              <w:caps/>
                              <w:color w:val="auto"/>
                              <w:sz w:val="32"/>
                              <w:szCs w:val="32"/>
                            </w:rPr>
                            <w:fldChar w:fldCharType="separate"/>
                          </w:r>
                          <w:r>
                            <w:rPr>
                              <w:rFonts w:hint="eastAsia" w:ascii="方正仿宋_GBK" w:hAnsi="方正仿宋_GBK" w:eastAsia="方正仿宋_GBK" w:cs="方正仿宋_GBK"/>
                              <w:caps/>
                              <w:color w:val="auto"/>
                              <w:sz w:val="32"/>
                              <w:szCs w:val="32"/>
                              <w:lang w:val="zh-CN"/>
                            </w:rPr>
                            <w:t>2</w:t>
                          </w:r>
                          <w:r>
                            <w:rPr>
                              <w:rFonts w:hint="eastAsia" w:ascii="方正仿宋_GBK" w:hAnsi="方正仿宋_GBK" w:eastAsia="方正仿宋_GBK" w:cs="方正仿宋_GBK"/>
                              <w:caps/>
                              <w:color w:val="auto"/>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caps/>
                        <w:color w:val="auto"/>
                        <w:sz w:val="32"/>
                        <w:szCs w:val="32"/>
                      </w:rPr>
                      <w:fldChar w:fldCharType="begin"/>
                    </w:r>
                    <w:r>
                      <w:rPr>
                        <w:rFonts w:hint="eastAsia" w:ascii="方正仿宋_GBK" w:hAnsi="方正仿宋_GBK" w:eastAsia="方正仿宋_GBK" w:cs="方正仿宋_GBK"/>
                        <w:caps/>
                        <w:color w:val="auto"/>
                        <w:sz w:val="32"/>
                        <w:szCs w:val="32"/>
                      </w:rPr>
                      <w:instrText xml:space="preserve">PAGE   \* MERGEFORMAT</w:instrText>
                    </w:r>
                    <w:r>
                      <w:rPr>
                        <w:rFonts w:hint="eastAsia" w:ascii="方正仿宋_GBK" w:hAnsi="方正仿宋_GBK" w:eastAsia="方正仿宋_GBK" w:cs="方正仿宋_GBK"/>
                        <w:caps/>
                        <w:color w:val="auto"/>
                        <w:sz w:val="32"/>
                        <w:szCs w:val="32"/>
                      </w:rPr>
                      <w:fldChar w:fldCharType="separate"/>
                    </w:r>
                    <w:r>
                      <w:rPr>
                        <w:rFonts w:hint="eastAsia" w:ascii="方正仿宋_GBK" w:hAnsi="方正仿宋_GBK" w:eastAsia="方正仿宋_GBK" w:cs="方正仿宋_GBK"/>
                        <w:caps/>
                        <w:color w:val="auto"/>
                        <w:sz w:val="32"/>
                        <w:szCs w:val="32"/>
                        <w:lang w:val="zh-CN"/>
                      </w:rPr>
                      <w:t>2</w:t>
                    </w:r>
                    <w:r>
                      <w:rPr>
                        <w:rFonts w:hint="eastAsia" w:ascii="方正仿宋_GBK" w:hAnsi="方正仿宋_GBK" w:eastAsia="方正仿宋_GBK" w:cs="方正仿宋_GBK"/>
                        <w:caps/>
                        <w:color w:val="auto"/>
                        <w:sz w:val="32"/>
                        <w:szCs w:val="32"/>
                      </w:rPr>
                      <w:fldChar w:fldCharType="end"/>
                    </w:r>
                  </w:p>
                </w:txbxContent>
              </v:textbox>
            </v:shape>
          </w:pict>
        </mc:Fallback>
      </mc:AlternateContent>
    </w:r>
  </w:p>
  <w:p>
    <w:pPr>
      <w:spacing w:line="143" w:lineRule="exact"/>
      <w:rPr>
        <w:rFonts w:ascii="Times New Roman" w:hAnsi="Times New Roman" w:eastAsia="宋体"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E33C4"/>
    <w:multiLevelType w:val="multilevel"/>
    <w:tmpl w:val="07BE33C4"/>
    <w:lvl w:ilvl="0" w:tentative="0">
      <w:start w:val="1"/>
      <w:numFmt w:val="decimal"/>
      <w:lvlText w:val="%1."/>
      <w:lvlJc w:val="left"/>
      <w:pPr>
        <w:ind w:left="988" w:hanging="440"/>
      </w:pPr>
    </w:lvl>
    <w:lvl w:ilvl="1" w:tentative="0">
      <w:start w:val="1"/>
      <w:numFmt w:val="lowerLetter"/>
      <w:lvlText w:val="%2)"/>
      <w:lvlJc w:val="left"/>
      <w:pPr>
        <w:ind w:left="1428" w:hanging="440"/>
      </w:pPr>
    </w:lvl>
    <w:lvl w:ilvl="2" w:tentative="0">
      <w:start w:val="1"/>
      <w:numFmt w:val="lowerRoman"/>
      <w:lvlText w:val="%3."/>
      <w:lvlJc w:val="right"/>
      <w:pPr>
        <w:ind w:left="1868" w:hanging="440"/>
      </w:pPr>
    </w:lvl>
    <w:lvl w:ilvl="3" w:tentative="0">
      <w:start w:val="1"/>
      <w:numFmt w:val="decimal"/>
      <w:lvlText w:val="%4."/>
      <w:lvlJc w:val="left"/>
      <w:pPr>
        <w:ind w:left="2308" w:hanging="440"/>
      </w:pPr>
    </w:lvl>
    <w:lvl w:ilvl="4" w:tentative="0">
      <w:start w:val="1"/>
      <w:numFmt w:val="lowerLetter"/>
      <w:lvlText w:val="%5)"/>
      <w:lvlJc w:val="left"/>
      <w:pPr>
        <w:ind w:left="2748" w:hanging="440"/>
      </w:pPr>
    </w:lvl>
    <w:lvl w:ilvl="5" w:tentative="0">
      <w:start w:val="1"/>
      <w:numFmt w:val="lowerRoman"/>
      <w:lvlText w:val="%6."/>
      <w:lvlJc w:val="right"/>
      <w:pPr>
        <w:ind w:left="3188" w:hanging="440"/>
      </w:pPr>
    </w:lvl>
    <w:lvl w:ilvl="6" w:tentative="0">
      <w:start w:val="1"/>
      <w:numFmt w:val="decimal"/>
      <w:lvlText w:val="%7."/>
      <w:lvlJc w:val="left"/>
      <w:pPr>
        <w:ind w:left="3628" w:hanging="440"/>
      </w:pPr>
    </w:lvl>
    <w:lvl w:ilvl="7" w:tentative="0">
      <w:start w:val="1"/>
      <w:numFmt w:val="lowerLetter"/>
      <w:lvlText w:val="%8)"/>
      <w:lvlJc w:val="left"/>
      <w:pPr>
        <w:ind w:left="4068" w:hanging="440"/>
      </w:pPr>
    </w:lvl>
    <w:lvl w:ilvl="8" w:tentative="0">
      <w:start w:val="1"/>
      <w:numFmt w:val="lowerRoman"/>
      <w:lvlText w:val="%9."/>
      <w:lvlJc w:val="right"/>
      <w:pPr>
        <w:ind w:left="4508"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yMWNlMzJmZjNjZTIyYmZkODIzMDg2MmExZTA4ZDIifQ=="/>
  </w:docVars>
  <w:rsids>
    <w:rsidRoot w:val="00DC2259"/>
    <w:rsid w:val="0001023C"/>
    <w:rsid w:val="000134BE"/>
    <w:rsid w:val="000322B5"/>
    <w:rsid w:val="0003278A"/>
    <w:rsid w:val="00032BE9"/>
    <w:rsid w:val="00037569"/>
    <w:rsid w:val="00041905"/>
    <w:rsid w:val="00071CAE"/>
    <w:rsid w:val="0009739C"/>
    <w:rsid w:val="000A3411"/>
    <w:rsid w:val="000A3B93"/>
    <w:rsid w:val="000A49AA"/>
    <w:rsid w:val="000B087C"/>
    <w:rsid w:val="000D2408"/>
    <w:rsid w:val="000E1E86"/>
    <w:rsid w:val="000E2208"/>
    <w:rsid w:val="000F5E20"/>
    <w:rsid w:val="001005C9"/>
    <w:rsid w:val="00115F88"/>
    <w:rsid w:val="00143718"/>
    <w:rsid w:val="00154D1B"/>
    <w:rsid w:val="00160916"/>
    <w:rsid w:val="001628C2"/>
    <w:rsid w:val="001779D1"/>
    <w:rsid w:val="001A4C23"/>
    <w:rsid w:val="001B465F"/>
    <w:rsid w:val="001B4C39"/>
    <w:rsid w:val="001C2FCE"/>
    <w:rsid w:val="001F42CF"/>
    <w:rsid w:val="001F491F"/>
    <w:rsid w:val="00213A03"/>
    <w:rsid w:val="002309D7"/>
    <w:rsid w:val="00236EFA"/>
    <w:rsid w:val="002574CE"/>
    <w:rsid w:val="00262293"/>
    <w:rsid w:val="0026346A"/>
    <w:rsid w:val="0028390B"/>
    <w:rsid w:val="0028408E"/>
    <w:rsid w:val="0028454E"/>
    <w:rsid w:val="00295D6E"/>
    <w:rsid w:val="00296DD9"/>
    <w:rsid w:val="002B6052"/>
    <w:rsid w:val="002C566D"/>
    <w:rsid w:val="002C6CB2"/>
    <w:rsid w:val="003102D5"/>
    <w:rsid w:val="00312DD5"/>
    <w:rsid w:val="003241F3"/>
    <w:rsid w:val="003249F2"/>
    <w:rsid w:val="00336235"/>
    <w:rsid w:val="00344D1F"/>
    <w:rsid w:val="00350B62"/>
    <w:rsid w:val="00351A4A"/>
    <w:rsid w:val="00352E28"/>
    <w:rsid w:val="00354B39"/>
    <w:rsid w:val="003620E4"/>
    <w:rsid w:val="00376B7C"/>
    <w:rsid w:val="0038066F"/>
    <w:rsid w:val="0039288B"/>
    <w:rsid w:val="0039574D"/>
    <w:rsid w:val="003A008F"/>
    <w:rsid w:val="003A418D"/>
    <w:rsid w:val="003D1C65"/>
    <w:rsid w:val="003D207A"/>
    <w:rsid w:val="003E4027"/>
    <w:rsid w:val="003E5EF6"/>
    <w:rsid w:val="004001B9"/>
    <w:rsid w:val="00402A7E"/>
    <w:rsid w:val="00414944"/>
    <w:rsid w:val="00414C87"/>
    <w:rsid w:val="00420101"/>
    <w:rsid w:val="00425CB4"/>
    <w:rsid w:val="004442EB"/>
    <w:rsid w:val="004564F1"/>
    <w:rsid w:val="00475C5A"/>
    <w:rsid w:val="0048503C"/>
    <w:rsid w:val="004935A4"/>
    <w:rsid w:val="00494B13"/>
    <w:rsid w:val="00497132"/>
    <w:rsid w:val="004B3828"/>
    <w:rsid w:val="004E3EDE"/>
    <w:rsid w:val="004E5592"/>
    <w:rsid w:val="004F42C0"/>
    <w:rsid w:val="005055F7"/>
    <w:rsid w:val="00534C76"/>
    <w:rsid w:val="00542F41"/>
    <w:rsid w:val="00545DD1"/>
    <w:rsid w:val="00550038"/>
    <w:rsid w:val="0056790F"/>
    <w:rsid w:val="00570A87"/>
    <w:rsid w:val="005773B6"/>
    <w:rsid w:val="00580E8C"/>
    <w:rsid w:val="00585C19"/>
    <w:rsid w:val="00595944"/>
    <w:rsid w:val="005A6E54"/>
    <w:rsid w:val="005B138E"/>
    <w:rsid w:val="005B2EB2"/>
    <w:rsid w:val="005B4644"/>
    <w:rsid w:val="005E2320"/>
    <w:rsid w:val="005E4A89"/>
    <w:rsid w:val="005F3271"/>
    <w:rsid w:val="00611AA0"/>
    <w:rsid w:val="00613D69"/>
    <w:rsid w:val="006335EA"/>
    <w:rsid w:val="006364AA"/>
    <w:rsid w:val="00650E07"/>
    <w:rsid w:val="00651DE0"/>
    <w:rsid w:val="00652C3D"/>
    <w:rsid w:val="006710AC"/>
    <w:rsid w:val="00681807"/>
    <w:rsid w:val="006953C4"/>
    <w:rsid w:val="00697970"/>
    <w:rsid w:val="006A511A"/>
    <w:rsid w:val="006A7132"/>
    <w:rsid w:val="006B3C3E"/>
    <w:rsid w:val="006B6995"/>
    <w:rsid w:val="006E0916"/>
    <w:rsid w:val="006E26D5"/>
    <w:rsid w:val="006F0EA6"/>
    <w:rsid w:val="00723E97"/>
    <w:rsid w:val="007318CA"/>
    <w:rsid w:val="00741B24"/>
    <w:rsid w:val="00766C88"/>
    <w:rsid w:val="00771333"/>
    <w:rsid w:val="007B2CFA"/>
    <w:rsid w:val="007C7212"/>
    <w:rsid w:val="007F24C8"/>
    <w:rsid w:val="007F4F9C"/>
    <w:rsid w:val="008125A8"/>
    <w:rsid w:val="0082100C"/>
    <w:rsid w:val="008556DF"/>
    <w:rsid w:val="0086279C"/>
    <w:rsid w:val="00863585"/>
    <w:rsid w:val="00871B5B"/>
    <w:rsid w:val="00872B76"/>
    <w:rsid w:val="00877101"/>
    <w:rsid w:val="00885A03"/>
    <w:rsid w:val="00897B84"/>
    <w:rsid w:val="008B363B"/>
    <w:rsid w:val="008B4D75"/>
    <w:rsid w:val="008C5B84"/>
    <w:rsid w:val="008E1915"/>
    <w:rsid w:val="008E3130"/>
    <w:rsid w:val="008E4C9C"/>
    <w:rsid w:val="008E5BAB"/>
    <w:rsid w:val="009000C4"/>
    <w:rsid w:val="00913F0A"/>
    <w:rsid w:val="00922F0D"/>
    <w:rsid w:val="00947B18"/>
    <w:rsid w:val="0096009B"/>
    <w:rsid w:val="00975315"/>
    <w:rsid w:val="00980F3B"/>
    <w:rsid w:val="00983038"/>
    <w:rsid w:val="00991416"/>
    <w:rsid w:val="00992855"/>
    <w:rsid w:val="009C07A8"/>
    <w:rsid w:val="00A00AD6"/>
    <w:rsid w:val="00A215E1"/>
    <w:rsid w:val="00A23A17"/>
    <w:rsid w:val="00A24495"/>
    <w:rsid w:val="00A317D2"/>
    <w:rsid w:val="00A34DDC"/>
    <w:rsid w:val="00A40171"/>
    <w:rsid w:val="00A511F1"/>
    <w:rsid w:val="00A5671B"/>
    <w:rsid w:val="00A6786D"/>
    <w:rsid w:val="00A80503"/>
    <w:rsid w:val="00A975E5"/>
    <w:rsid w:val="00AA2B0A"/>
    <w:rsid w:val="00AA3228"/>
    <w:rsid w:val="00AA4749"/>
    <w:rsid w:val="00AA7E1C"/>
    <w:rsid w:val="00AB32AD"/>
    <w:rsid w:val="00AB3775"/>
    <w:rsid w:val="00AD1D2E"/>
    <w:rsid w:val="00AD67CE"/>
    <w:rsid w:val="00AD6F3E"/>
    <w:rsid w:val="00AE61C9"/>
    <w:rsid w:val="00AF123E"/>
    <w:rsid w:val="00AF35EB"/>
    <w:rsid w:val="00B01750"/>
    <w:rsid w:val="00B04E64"/>
    <w:rsid w:val="00B1097A"/>
    <w:rsid w:val="00B1151B"/>
    <w:rsid w:val="00B12AF1"/>
    <w:rsid w:val="00B1468A"/>
    <w:rsid w:val="00B31463"/>
    <w:rsid w:val="00B3168A"/>
    <w:rsid w:val="00B4554B"/>
    <w:rsid w:val="00B6402B"/>
    <w:rsid w:val="00B66908"/>
    <w:rsid w:val="00B71B51"/>
    <w:rsid w:val="00B777DC"/>
    <w:rsid w:val="00BA1F02"/>
    <w:rsid w:val="00BA2BEB"/>
    <w:rsid w:val="00BB66E2"/>
    <w:rsid w:val="00BD3F28"/>
    <w:rsid w:val="00BE38C2"/>
    <w:rsid w:val="00BE3E8B"/>
    <w:rsid w:val="00C00965"/>
    <w:rsid w:val="00C16AEB"/>
    <w:rsid w:val="00C231F9"/>
    <w:rsid w:val="00C2406E"/>
    <w:rsid w:val="00C33040"/>
    <w:rsid w:val="00C47EA4"/>
    <w:rsid w:val="00C67024"/>
    <w:rsid w:val="00C73C90"/>
    <w:rsid w:val="00C77F9D"/>
    <w:rsid w:val="00C8554B"/>
    <w:rsid w:val="00C86AA4"/>
    <w:rsid w:val="00C87A37"/>
    <w:rsid w:val="00C90E7B"/>
    <w:rsid w:val="00C9217C"/>
    <w:rsid w:val="00C927BE"/>
    <w:rsid w:val="00C94F27"/>
    <w:rsid w:val="00CA335E"/>
    <w:rsid w:val="00CA4212"/>
    <w:rsid w:val="00CA4523"/>
    <w:rsid w:val="00CB4E4F"/>
    <w:rsid w:val="00CC35CD"/>
    <w:rsid w:val="00CF4DBD"/>
    <w:rsid w:val="00D26ADA"/>
    <w:rsid w:val="00D337DD"/>
    <w:rsid w:val="00D33A55"/>
    <w:rsid w:val="00D4117F"/>
    <w:rsid w:val="00D414E0"/>
    <w:rsid w:val="00D60E8F"/>
    <w:rsid w:val="00D6218F"/>
    <w:rsid w:val="00D67F25"/>
    <w:rsid w:val="00D7157C"/>
    <w:rsid w:val="00D77774"/>
    <w:rsid w:val="00D94546"/>
    <w:rsid w:val="00DA1763"/>
    <w:rsid w:val="00DB3098"/>
    <w:rsid w:val="00DB3203"/>
    <w:rsid w:val="00DB3DAD"/>
    <w:rsid w:val="00DC2259"/>
    <w:rsid w:val="00DD1178"/>
    <w:rsid w:val="00DE257F"/>
    <w:rsid w:val="00DF520B"/>
    <w:rsid w:val="00E10F90"/>
    <w:rsid w:val="00E321FB"/>
    <w:rsid w:val="00E41D92"/>
    <w:rsid w:val="00E474FD"/>
    <w:rsid w:val="00E47E5F"/>
    <w:rsid w:val="00E52451"/>
    <w:rsid w:val="00E53403"/>
    <w:rsid w:val="00E5555F"/>
    <w:rsid w:val="00E56F86"/>
    <w:rsid w:val="00E66861"/>
    <w:rsid w:val="00E81D90"/>
    <w:rsid w:val="00EB1BD9"/>
    <w:rsid w:val="00ED0036"/>
    <w:rsid w:val="00ED1948"/>
    <w:rsid w:val="00EE41DB"/>
    <w:rsid w:val="00F03638"/>
    <w:rsid w:val="00F4370C"/>
    <w:rsid w:val="00F7755A"/>
    <w:rsid w:val="00F94B01"/>
    <w:rsid w:val="00F97B99"/>
    <w:rsid w:val="00FB2162"/>
    <w:rsid w:val="00FB2263"/>
    <w:rsid w:val="00FB34A9"/>
    <w:rsid w:val="00FC6B5A"/>
    <w:rsid w:val="00FD2C23"/>
    <w:rsid w:val="00FD32AB"/>
    <w:rsid w:val="05E8281E"/>
    <w:rsid w:val="0F3E2434"/>
    <w:rsid w:val="1BB93B82"/>
    <w:rsid w:val="1BFFF214"/>
    <w:rsid w:val="20BC68A7"/>
    <w:rsid w:val="27F2831E"/>
    <w:rsid w:val="288967B7"/>
    <w:rsid w:val="2DAD3D75"/>
    <w:rsid w:val="314E1EA7"/>
    <w:rsid w:val="33746229"/>
    <w:rsid w:val="33A92700"/>
    <w:rsid w:val="34151734"/>
    <w:rsid w:val="36294186"/>
    <w:rsid w:val="36CC7811"/>
    <w:rsid w:val="3C781177"/>
    <w:rsid w:val="3FFF74E0"/>
    <w:rsid w:val="40363F4D"/>
    <w:rsid w:val="4E3E18F1"/>
    <w:rsid w:val="53D51E06"/>
    <w:rsid w:val="55F95AE8"/>
    <w:rsid w:val="561439C7"/>
    <w:rsid w:val="56C41E5B"/>
    <w:rsid w:val="5DC0337C"/>
    <w:rsid w:val="6D107D5F"/>
    <w:rsid w:val="6DEB7C3F"/>
    <w:rsid w:val="6FFB3CB8"/>
    <w:rsid w:val="773A5AF5"/>
    <w:rsid w:val="7B6B72F9"/>
    <w:rsid w:val="7C576C69"/>
    <w:rsid w:val="7F846DA8"/>
    <w:rsid w:val="DBBF0A05"/>
    <w:rsid w:val="DE5B0FDE"/>
    <w:rsid w:val="E0D7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2">
    <w:name w:val="heading 3"/>
    <w:basedOn w:val="1"/>
    <w:next w:val="1"/>
    <w:link w:val="26"/>
    <w:qFormat/>
    <w:uiPriority w:val="0"/>
    <w:pPr>
      <w:widowControl w:val="0"/>
      <w:kinsoku/>
      <w:autoSpaceDE/>
      <w:autoSpaceDN/>
      <w:adjustRightInd/>
      <w:snapToGrid/>
      <w:jc w:val="both"/>
      <w:textAlignment w:val="auto"/>
      <w:outlineLvl w:val="2"/>
    </w:pPr>
    <w:rPr>
      <w:rFonts w:ascii="仿宋" w:hAnsi="仿宋" w:eastAsia="仿宋" w:cs="仿宋"/>
      <w:b/>
      <w:bCs/>
      <w:snapToGrid/>
      <w:color w:val="auto"/>
      <w:kern w:val="2"/>
      <w:sz w:val="30"/>
      <w:szCs w:val="3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ody Text Indent"/>
    <w:basedOn w:val="1"/>
    <w:link w:val="22"/>
    <w:unhideWhenUsed/>
    <w:qFormat/>
    <w:uiPriority w:val="0"/>
    <w:pPr>
      <w:widowControl w:val="0"/>
      <w:kinsoku/>
      <w:autoSpaceDE/>
      <w:autoSpaceDN/>
      <w:adjustRightInd/>
      <w:snapToGrid/>
      <w:spacing w:after="120"/>
      <w:ind w:left="420" w:leftChars="200"/>
      <w:jc w:val="both"/>
      <w:textAlignment w:val="auto"/>
    </w:pPr>
    <w:rPr>
      <w:rFonts w:ascii="Calibri" w:hAnsi="Calibri" w:eastAsia="宋体" w:cs="Times New Roman"/>
      <w:snapToGrid/>
      <w:color w:val="auto"/>
      <w:kern w:val="2"/>
      <w:szCs w:val="24"/>
    </w:rPr>
  </w:style>
  <w:style w:type="paragraph" w:styleId="5">
    <w:name w:val="footer"/>
    <w:basedOn w:val="1"/>
    <w:link w:val="16"/>
    <w:unhideWhenUsed/>
    <w:qFormat/>
    <w:uiPriority w:val="99"/>
    <w:pPr>
      <w:tabs>
        <w:tab w:val="center" w:pos="4153"/>
        <w:tab w:val="right" w:pos="8306"/>
      </w:tabs>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style>
  <w:style w:type="paragraph" w:styleId="8">
    <w:name w:val="toc 2"/>
    <w:basedOn w:val="1"/>
    <w:next w:val="1"/>
    <w:unhideWhenUsed/>
    <w:qFormat/>
    <w:uiPriority w:val="39"/>
    <w:pPr>
      <w:ind w:left="420" w:leftChars="200"/>
    </w:pPr>
  </w:style>
  <w:style w:type="paragraph" w:styleId="9">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table" w:customStyle="1" w:styleId="14">
    <w:name w:val="Table Normal1"/>
    <w:semiHidden/>
    <w:unhideWhenUsed/>
    <w:qFormat/>
    <w:uiPriority w:val="0"/>
    <w:tblPr>
      <w:tblCellMar>
        <w:top w:w="0" w:type="dxa"/>
        <w:left w:w="0" w:type="dxa"/>
        <w:bottom w:w="0" w:type="dxa"/>
        <w:right w:w="0" w:type="dxa"/>
      </w:tblCellMar>
    </w:tbl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WPSOffice手动目录 1"/>
    <w:qFormat/>
    <w:uiPriority w:val="0"/>
    <w:rPr>
      <w:rFonts w:ascii="Calibri" w:hAnsi="Calibri" w:eastAsia="宋体" w:cs="Times New Roman"/>
      <w:lang w:val="en-US" w:eastAsia="zh-CN" w:bidi="ar-SA"/>
    </w:rPr>
  </w:style>
  <w:style w:type="paragraph" w:customStyle="1" w:styleId="19">
    <w:name w:val="WPSOffice手动目录 2"/>
    <w:qFormat/>
    <w:uiPriority w:val="0"/>
    <w:pPr>
      <w:ind w:left="200" w:leftChars="200"/>
    </w:pPr>
    <w:rPr>
      <w:rFonts w:ascii="Calibri" w:hAnsi="Calibri" w:eastAsia="宋体" w:cs="Times New Roman"/>
      <w:lang w:val="en-US" w:eastAsia="zh-CN" w:bidi="ar-SA"/>
    </w:rPr>
  </w:style>
  <w:style w:type="table" w:customStyle="1" w:styleId="20">
    <w:name w:val="TableGrid"/>
    <w:qFormat/>
    <w:uiPriority w:val="0"/>
    <w:tblPr>
      <w:tblCellMar>
        <w:top w:w="0" w:type="dxa"/>
        <w:left w:w="0" w:type="dxa"/>
        <w:bottom w:w="0" w:type="dxa"/>
        <w:right w:w="0" w:type="dxa"/>
      </w:tblCellMar>
    </w:tblPr>
  </w:style>
  <w:style w:type="character" w:customStyle="1" w:styleId="21">
    <w:name w:val="标题 字符"/>
    <w:basedOn w:val="11"/>
    <w:link w:val="9"/>
    <w:qFormat/>
    <w:uiPriority w:val="10"/>
    <w:rPr>
      <w:rFonts w:asciiTheme="majorHAnsi" w:hAnsiTheme="majorHAnsi" w:eastAsiaTheme="majorEastAsia" w:cstheme="majorBidi"/>
      <w:b/>
      <w:bCs/>
      <w:snapToGrid w:val="0"/>
      <w:color w:val="000000"/>
      <w:sz w:val="32"/>
      <w:szCs w:val="32"/>
    </w:rPr>
  </w:style>
  <w:style w:type="character" w:customStyle="1" w:styleId="22">
    <w:name w:val="正文文本缩进 字符"/>
    <w:basedOn w:val="11"/>
    <w:link w:val="4"/>
    <w:qFormat/>
    <w:uiPriority w:val="0"/>
    <w:rPr>
      <w:kern w:val="2"/>
      <w:sz w:val="21"/>
      <w:szCs w:val="24"/>
    </w:rPr>
  </w:style>
  <w:style w:type="character" w:customStyle="1" w:styleId="23">
    <w:name w:val="font21"/>
    <w:basedOn w:val="11"/>
    <w:qFormat/>
    <w:uiPriority w:val="0"/>
    <w:rPr>
      <w:rFonts w:hint="default" w:ascii="仿宋_GB2312" w:eastAsia="仿宋_GB2312" w:cs="仿宋_GB2312"/>
      <w:color w:val="000000"/>
      <w:sz w:val="24"/>
      <w:szCs w:val="24"/>
      <w:u w:val="none"/>
    </w:rPr>
  </w:style>
  <w:style w:type="character" w:customStyle="1" w:styleId="24">
    <w:name w:val="font01"/>
    <w:basedOn w:val="11"/>
    <w:qFormat/>
    <w:uiPriority w:val="0"/>
    <w:rPr>
      <w:rFonts w:hint="default" w:ascii="仿宋_GB2312" w:eastAsia="仿宋_GB2312" w:cs="仿宋_GB2312"/>
      <w:color w:val="000000"/>
      <w:sz w:val="24"/>
      <w:szCs w:val="24"/>
      <w:u w:val="none"/>
    </w:rPr>
  </w:style>
  <w:style w:type="character" w:customStyle="1" w:styleId="25">
    <w:name w:val="font11"/>
    <w:basedOn w:val="11"/>
    <w:qFormat/>
    <w:uiPriority w:val="0"/>
    <w:rPr>
      <w:rFonts w:hint="default" w:ascii="仿宋_GB2312" w:eastAsia="仿宋_GB2312" w:cs="仿宋_GB2312"/>
      <w:color w:val="000000"/>
      <w:sz w:val="22"/>
      <w:szCs w:val="22"/>
      <w:u w:val="none"/>
    </w:rPr>
  </w:style>
  <w:style w:type="character" w:customStyle="1" w:styleId="26">
    <w:name w:val="标题 3 字符"/>
    <w:basedOn w:val="11"/>
    <w:link w:val="2"/>
    <w:qFormat/>
    <w:uiPriority w:val="0"/>
    <w:rPr>
      <w:rFonts w:ascii="仿宋" w:hAnsi="仿宋" w:eastAsia="仿宋" w:cs="仿宋"/>
      <w:b/>
      <w:bCs/>
      <w:kern w:val="2"/>
      <w:sz w:val="30"/>
      <w:szCs w:val="30"/>
    </w:rPr>
  </w:style>
  <w:style w:type="paragraph" w:customStyle="1" w:styleId="27">
    <w:name w:val="修订1"/>
    <w:hidden/>
    <w:semiHidden/>
    <w:qFormat/>
    <w:uiPriority w:val="99"/>
    <w:rPr>
      <w:rFonts w:ascii="Arial" w:hAnsi="Arial" w:cs="Arial" w:eastAsiaTheme="minorEastAsia"/>
      <w:snapToGrid w:val="0"/>
      <w:color w:val="00000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1917</Words>
  <Characters>10930</Characters>
  <Lines>91</Lines>
  <Paragraphs>25</Paragraphs>
  <TotalTime>8</TotalTime>
  <ScaleCrop>false</ScaleCrop>
  <LinksUpToDate>false</LinksUpToDate>
  <CharactersWithSpaces>12822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2023-09-22T08:27:00Z</dcterms:created>
  <dc:creator>番茄花园;王亮亮</dc:creator>
  <cp:lastModifiedBy>杨栋</cp:lastModifiedBy>
  <cp:lastPrinted>2023-08-15T09:28:00Z</cp:lastPrinted>
  <dcterms:modified xsi:type="dcterms:W3CDTF">2023-09-25T12:30:15Z</dcterms:modified>
  <dc:title>2016年全国工业机器人技术应用技能大赛</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2022-03-21T11:03:20Z</vt:filetime>
  </property>
  <property fmtid="{D5CDD505-2E9C-101B-9397-08002B2CF9AE}" pid="4" name="KSOProductBuildVer">
    <vt:lpwstr>2052-12.1.0.15374</vt:lpwstr>
  </property>
  <property fmtid="{D5CDD505-2E9C-101B-9397-08002B2CF9AE}" pid="5" name="ICV">
    <vt:lpwstr>8260481E56C64CC58B3208E5D431F7B9</vt:lpwstr>
  </property>
</Properties>
</file>