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60" w:type="pct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8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8" w:type="pct"/>
            <w:vAlign w:val="center"/>
          </w:tcPr>
          <w:p>
            <w:pPr>
              <w:jc w:val="distribute"/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80"/>
                <w:szCs w:val="60"/>
              </w:rPr>
            </w:pPr>
            <w:r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80"/>
                <w:szCs w:val="60"/>
              </w:rPr>
              <w:t>江苏省工业和信息化厅</w:t>
            </w:r>
          </w:p>
          <w:p>
            <w:pPr>
              <w:jc w:val="distribute"/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60"/>
                <w:szCs w:val="60"/>
              </w:rPr>
            </w:pPr>
            <w:r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80"/>
                <w:szCs w:val="60"/>
              </w:rPr>
              <w:t>江苏省发展和改革委员会</w:t>
            </w:r>
          </w:p>
        </w:tc>
        <w:tc>
          <w:tcPr>
            <w:tcW w:w="1012" w:type="pct"/>
            <w:vAlign w:val="center"/>
          </w:tcPr>
          <w:p>
            <w:pPr>
              <w:jc w:val="left"/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60"/>
                <w:szCs w:val="60"/>
              </w:rPr>
            </w:pPr>
            <w:r>
              <w:rPr>
                <w:rFonts w:hint="default" w:ascii="Times New Roman" w:hAnsi="Times New Roman" w:eastAsia="方正小标宋_GBK" w:cs="Times New Roman"/>
                <w:color w:val="FF0000"/>
                <w:spacing w:val="-6"/>
                <w:w w:val="80"/>
                <w:sz w:val="80"/>
                <w:szCs w:val="60"/>
              </w:rPr>
              <w:t>文件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</w:p>
    <w:p>
      <w:pPr>
        <w:jc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苏工信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424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</w:t>
      </w:r>
    </w:p>
    <w:p>
      <w:pPr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  <w:lang w:bidi="ar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</w:rPr>
        <w:drawing>
          <wp:inline distT="0" distB="0" distL="114300" distR="114300">
            <wp:extent cx="5610225" cy="349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adjustRightInd w:val="0"/>
        <w:spacing w:line="590" w:lineRule="exact"/>
        <w:ind w:firstLine="42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  <w:lang w:bidi="ar"/>
        </w:rPr>
        <w:t xml:space="preserve"> </w:t>
      </w:r>
    </w:p>
    <w:p>
      <w:pPr>
        <w:overflowPunct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关于组织报送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2021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年国家企业技术中心</w:t>
      </w:r>
    </w:p>
    <w:p>
      <w:pPr>
        <w:overflowPunct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（第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28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批）申请材料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及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国家企业</w:t>
      </w:r>
    </w:p>
    <w:p>
      <w:pPr>
        <w:overflowPunct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技术中心评价材料的通知</w:t>
      </w:r>
    </w:p>
    <w:p>
      <w:pPr>
        <w:overflowPunct w:val="0"/>
        <w:adjustRightInd w:val="0"/>
        <w:spacing w:line="600" w:lineRule="exac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  <w:lang w:bidi="ar"/>
        </w:rPr>
        <w:t xml:space="preserve"> </w:t>
      </w:r>
    </w:p>
    <w:p>
      <w:pPr>
        <w:overflowPunct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各设区市工信局、发展改革委，昆山市、泰兴市、沭阳县工信局、发展改革委：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现将《国家发展改革委办公厅关于组织开展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年国家企业技术中心（第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批）认定及国家企业技术中心评价工作的通知》（发改办高技〔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663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号，以下称《通知》，见附件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）转发给你们。请按照《国家企业技术中心认定管理办法》（国家发展改革委、科技部、财政部、海关总署、税务总局第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34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号令，以下简称《管理办法》）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《国家企业技术中心认定评价工作指南（试行）》（发改办高技〔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2016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937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号，以下简称《工作指南》）和《通知》要求，抓紧做好相关工作。有关事项通知如下：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、2021年认定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工作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（一）请各市对照《通知》规定的认定领域，以及企业应具备的基本条件，择优筛选，认真做好第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批国家企业技术中心的遴选和推荐工作。请认真对申请企业主营业务是否符合认定领域进行审核，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企业技术中心研发的主要产品和服务应属于《战略性新兴产业重点产品和服务指导目录》（国家发展改革委公告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2017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号）范围，优先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同时符合《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绿色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产业指导目录（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年版）》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发改环资〔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2019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293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）的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的评价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方法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初评打分，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得分应高于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分（包含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分）。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（二）请各市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企业（不要超额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没有具备条件企业的地区可不推荐。申报国家企业技术中心分中心不占名额。根据《通知》附件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，昆山市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、南京市雨花台区符合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激励条件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，可各增加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个推荐名额，该名额由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市发展改革部门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商同级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工信部门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提出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意见。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要指导企业按照《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工作指南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认真编制申报材料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，对其真实性及附件（表）进行审查和复核，按照《通知》附件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填报《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推荐企业技术中心领域审核及评价得分汇总表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和《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××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企业技术中心数据核定表》、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××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评价情况表》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（四）各市工信局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改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革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、科技、财政、海关、税务等部门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统一对推荐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材料进行会审，并对其信用、税务以及是否存在违法情况进行核查把关。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（五）请各市工信局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同级发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改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革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委于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日前将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文件和企业申请材料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的纸质和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电子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（附表用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Office Excel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格式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，采用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U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盘拷贝方式）分别报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省工信厅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（纸质一式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电子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份）和省发改委（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纸质一式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份）。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《推荐企业技术中心领域审核及评价得分汇总表》和《××企业技术中心数据核定表》、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××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评价情况表》发至电子邮箱：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"mailto:707248671@qq.com。"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4D4D4D"/>
          <w:sz w:val="32"/>
          <w:szCs w:val="32"/>
          <w:u w:val="none" w:color="000000"/>
        </w:rPr>
        <w:t>707248671@qq.com</w:t>
      </w:r>
      <w:r>
        <w:rPr>
          <w:rStyle w:val="6"/>
          <w:rFonts w:hint="default" w:ascii="Times New Roman" w:hAnsi="Times New Roman" w:eastAsia="方正仿宋_GBK" w:cs="Times New Roman"/>
          <w:color w:val="4D4D4D"/>
          <w:sz w:val="32"/>
          <w:szCs w:val="32"/>
          <w:u w:val="none" w:color="000000"/>
        </w:rPr>
        <w:t>。</w:t>
      </w:r>
      <w:r>
        <w:rPr>
          <w:rStyle w:val="6"/>
          <w:rFonts w:hint="default" w:ascii="Times New Roman" w:hAnsi="Times New Roman" w:eastAsia="方正仿宋_GBK" w:cs="Times New Roman"/>
          <w:color w:val="4D4D4D"/>
          <w:sz w:val="32"/>
          <w:szCs w:val="32"/>
          <w:u w:val="none" w:color="000000"/>
        </w:rPr>
        <w:fldChar w:fldCharType="end"/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（六）《通知》电子版可在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国家发改委官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方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网站“政府信息公开目录”栏目内下载。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年度《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企业研究开发项目情况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107-1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表）、《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企业研究开发活动及相关情况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107-2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表）采用《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国统字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〔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2020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105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号》表式，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请在江苏省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工信厅官方网站“政策法规”栏目相应通知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附件下载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下载。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、2021年评价工作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（一）请各地工信部门通知本地国家企业技术中心所在企业（名单见附件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）按照《工作指南》做好评价材料填报工作，并对评价材料和免税情况表汇总审核确认。发生更名或重组的，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填写国家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企业技术中心名称变更情况表（《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，并提供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相关证明材料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（二）请各地工信局会同同级发展改革委于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日前行文将审核确认后的企业评价材料、免税情况表纸质材料和名称变更材料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（一式一份）报省工信厅（邮寄地址另行通知）。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联系方式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：省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工信厅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025-69652812</w:t>
      </w:r>
    </w:p>
    <w:p>
      <w:pPr>
        <w:overflowPunct w:val="0"/>
        <w:adjustRightInd w:val="0"/>
        <w:spacing w:line="600" w:lineRule="exact"/>
        <w:ind w:firstLine="2240" w:firstLineChars="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省发改委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025-83392516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国家发展改革委办公厅关于组织开展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年国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家企业技术中心（第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批）认定及国家企业技术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中心评价工作的通知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2. 2021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年参加评价的国家企业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技术中心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名单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</w:t>
      </w:r>
    </w:p>
    <w:p>
      <w:pPr>
        <w:overflowPunct w:val="0"/>
        <w:adjustRightInd w:val="0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江苏省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工业和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信息化厅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江苏省发展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改革委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员会</w:t>
      </w:r>
    </w:p>
    <w:p>
      <w:pPr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日</w:t>
      </w:r>
    </w:p>
    <w:p>
      <w:pPr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</w:p>
    <w:p>
      <w:pPr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</w:p>
    <w:p>
      <w:pPr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bookmarkStart w:id="0" w:name="_GoBack"/>
      <w:bookmarkEnd w:id="0"/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" w:hRule="atLeast"/>
        </w:trPr>
        <w:tc>
          <w:tcPr>
            <w:tcW w:w="9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560" w:lineRule="exact"/>
              <w:rPr>
                <w:rFonts w:hint="default" w:ascii="Times New Roman" w:hAnsi="Times New Roman" w:eastAsia="方正仿宋_GBK" w:cs="Times New Roman"/>
                <w:spacing w:val="-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抄送：</w:t>
            </w:r>
            <w:r>
              <w:rPr>
                <w:rFonts w:hint="default" w:ascii="Times New Roman" w:hAnsi="Times New Roman" w:eastAsia="方正仿宋_GBK" w:cs="Times New Roman"/>
                <w:spacing w:val="-12"/>
                <w:sz w:val="32"/>
                <w:szCs w:val="32"/>
                <w:lang w:bidi="ar"/>
              </w:rPr>
              <w:t>省财政厅、省科技厅、省</w:t>
            </w:r>
            <w:r>
              <w:rPr>
                <w:rFonts w:hint="default" w:ascii="Times New Roman" w:hAnsi="Times New Roman" w:eastAsia="方正仿宋_GBK" w:cs="Times New Roman"/>
                <w:spacing w:val="-12"/>
                <w:sz w:val="32"/>
                <w:szCs w:val="32"/>
                <w:lang w:bidi="ar"/>
              </w:rPr>
              <w:t>税务</w:t>
            </w:r>
            <w:r>
              <w:rPr>
                <w:rFonts w:hint="default" w:ascii="Times New Roman" w:hAnsi="Times New Roman" w:eastAsia="方正仿宋_GBK" w:cs="Times New Roman"/>
                <w:spacing w:val="-12"/>
                <w:sz w:val="32"/>
                <w:szCs w:val="32"/>
                <w:lang w:bidi="ar"/>
              </w:rPr>
              <w:t>局、南京海关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2" w:hRule="atLeast"/>
        </w:trPr>
        <w:tc>
          <w:tcPr>
            <w:tcW w:w="9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江苏省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工信厅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办公室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 xml:space="preserve">  2021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bidi="ar"/>
              </w:rPr>
              <w:t>日印发</w:t>
            </w:r>
          </w:p>
        </w:tc>
      </w:tr>
    </w:tbl>
    <w:p>
      <w:pPr>
        <w:spacing w:line="18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D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329F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9D07CA"/>
    <w:rsid w:val="00AF3D23"/>
    <w:rsid w:val="00B03B03"/>
    <w:rsid w:val="00B21D0E"/>
    <w:rsid w:val="00B87CE9"/>
    <w:rsid w:val="00CA2FE8"/>
    <w:rsid w:val="00DF3232"/>
    <w:rsid w:val="00EE3A9F"/>
    <w:rsid w:val="00F53AA0"/>
    <w:rsid w:val="00FA1396"/>
    <w:rsid w:val="00FB6774"/>
    <w:rsid w:val="3777F06C"/>
    <w:rsid w:val="4D6D506D"/>
    <w:rsid w:val="73BE5CE0"/>
    <w:rsid w:val="7C38F8E6"/>
    <w:rsid w:val="F77E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15"/>
    <w:basedOn w:val="5"/>
    <w:uiPriority w:val="0"/>
    <w:rPr>
      <w:rFonts w:hint="default" w:ascii="Calibri" w:hAnsi="Calibri" w:cs="Calibri"/>
      <w:color w:val="4D4D4D"/>
    </w:rPr>
  </w:style>
  <w:style w:type="character" w:customStyle="1" w:styleId="8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271</Words>
  <Characters>1547</Characters>
  <Lines>12</Lines>
  <Paragraphs>3</Paragraphs>
  <TotalTime>3</TotalTime>
  <ScaleCrop>false</ScaleCrop>
  <LinksUpToDate>false</LinksUpToDate>
  <CharactersWithSpaces>1815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2021-08-31T07:34:00Z</dcterms:created>
  <dc:creator>测试2</dc:creator>
  <cp:lastModifiedBy>Administrator</cp:lastModifiedBy>
  <dcterms:modified xsi:type="dcterms:W3CDTF">2021-09-01T23:12:07Z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71EC26FEA16A499DBC716236B3021D6D</vt:lpwstr>
  </property>
</Properties>
</file>