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省级企业技术中心初评方法</w:t>
      </w:r>
    </w:p>
    <w:p>
      <w:pPr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spacing w:line="540" w:lineRule="exact"/>
        <w:ind w:firstLine="600"/>
        <w:rPr>
          <w:rFonts w:ascii="Times New Roman" w:hAnsi="Times New Roman" w:eastAsia="方正仿宋_GBK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省级企业技术中心的初评按以下程序进行：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t>一、基础数据处理</w:t>
      </w:r>
    </w:p>
    <w:p>
      <w:pPr>
        <w:widowControl/>
        <w:spacing w:line="540" w:lineRule="exact"/>
        <w:ind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在进行正式评价之前，根据《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</w:rPr>
        <w:t>江苏省省级企业技术中心认定评价工作流程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</w:rPr>
        <w:t>2025 年修订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eastAsia="zh-CN"/>
        </w:rPr>
        <w:t>）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》（苏工信创新〔202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val="en-US" w:eastAsia="zh-CN"/>
        </w:rPr>
        <w:t>5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〕2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val="en-US" w:eastAsia="zh-CN"/>
        </w:rPr>
        <w:t>72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号，以下简称《工作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</w:rPr>
        <w:t>流程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》）明确的各项指标解释，结合申请报告中的相关附件及证明材料，对企业技术中心提交的“江苏省省级企业技术中心评价数据表”中各项数据值进行逐项核实，对证明材料缺失或无效的数据，按量予以核减，以最终的核定数据作为计算每项指标得分的依据。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t>二、指标数值计算</w:t>
      </w:r>
    </w:p>
    <w:p>
      <w:pPr>
        <w:spacing w:line="540" w:lineRule="exact"/>
        <w:ind w:right="4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在获得各项指标的核定数据后，可获得《江苏省省级企业技术中心评价指标体系》（见《工作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eastAsia="zh-CN"/>
        </w:rPr>
        <w:t>流程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》附件</w:t>
      </w:r>
      <w:r>
        <w:rPr>
          <w:rFonts w:ascii="Times New Roman" w:hAnsi="Times New Roman" w:eastAsia="Times New Roman" w:cs="Times New Roman"/>
          <w:kern w:val="0"/>
          <w:sz w:val="30"/>
          <w:szCs w:val="30"/>
        </w:rPr>
        <w:t>4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第一部分）中各项指标的数值。其中，</w:t>
      </w:r>
      <w:r>
        <w:rPr>
          <w:rFonts w:ascii="Times New Roman" w:hAnsi="Times New Roman" w:eastAsia="方正仿宋_GBK" w:cs="Times New Roman"/>
          <w:color w:val="auto"/>
          <w:kern w:val="0"/>
          <w:sz w:val="30"/>
          <w:szCs w:val="30"/>
        </w:rPr>
        <w:t>有</w:t>
      </w:r>
      <w:r>
        <w:rPr>
          <w:rFonts w:ascii="Times New Roman" w:hAnsi="Times New Roman" w:eastAsia="Times New Roman" w:cs="Times New Roman"/>
          <w:color w:val="auto"/>
          <w:kern w:val="0"/>
          <w:sz w:val="30"/>
          <w:szCs w:val="30"/>
        </w:rPr>
        <w:t>7</w:t>
      </w:r>
      <w:r>
        <w:rPr>
          <w:rFonts w:ascii="Times New Roman" w:hAnsi="Times New Roman" w:eastAsia="方正仿宋_GBK" w:cs="Times New Roman"/>
          <w:color w:val="auto"/>
          <w:kern w:val="0"/>
          <w:sz w:val="30"/>
          <w:szCs w:val="30"/>
        </w:rPr>
        <w:t>项指标的数值须通过计算获得。对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于引入行业系数进行调节的“研发经费支出占主营业务收入的比重”、“新产品销售收入占主营业务收入的比重”、“新产品销售利润占利润总额的比重”</w:t>
      </w:r>
      <w:r>
        <w:rPr>
          <w:rFonts w:ascii="Times New Roman" w:hAnsi="Times New Roman" w:eastAsia="Times New Roman" w:cs="Times New Roman"/>
          <w:kern w:val="0"/>
          <w:sz w:val="30"/>
          <w:szCs w:val="30"/>
        </w:rPr>
        <w:t>3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项指标，在计算获得原始指标数值后，再乘以本企业所在行业的行业系数</w:t>
      </w:r>
      <w:r>
        <w:rPr>
          <w:rFonts w:ascii="Times New Roman" w:hAnsi="Times New Roman" w:eastAsia="方正仿宋_GBK" w:cs="Times New Roman"/>
          <w:bCs/>
          <w:kern w:val="0"/>
          <w:sz w:val="30"/>
          <w:szCs w:val="30"/>
        </w:rPr>
        <w:t>（</w:t>
      </w:r>
      <w:r>
        <w:rPr>
          <w:rFonts w:hint="eastAsia" w:ascii="Times New Roman" w:hAnsi="Times New Roman" w:eastAsia="方正仿宋_GBK" w:cs="Times New Roman"/>
          <w:bCs/>
          <w:kern w:val="0"/>
          <w:sz w:val="30"/>
          <w:szCs w:val="30"/>
        </w:rPr>
        <w:t>附后</w:t>
      </w:r>
      <w:r>
        <w:rPr>
          <w:rFonts w:ascii="Times New Roman" w:hAnsi="Times New Roman" w:eastAsia="方正仿宋_GBK" w:cs="Times New Roman"/>
          <w:bCs/>
          <w:kern w:val="0"/>
          <w:sz w:val="30"/>
          <w:szCs w:val="30"/>
        </w:rPr>
        <w:t>）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作为计算相关指标得分的最终依据。</w:t>
      </w:r>
    </w:p>
    <w:p>
      <w:pPr>
        <w:spacing w:line="540" w:lineRule="exact"/>
        <w:ind w:left="600" w:right="40"/>
        <w:jc w:val="left"/>
        <w:rPr>
          <w:rFonts w:ascii="Times New Roman" w:hAnsi="Times New Roman" w:eastAsia="方正仿宋_GBK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以下是</w:t>
      </w:r>
      <w:r>
        <w:rPr>
          <w:rFonts w:ascii="Times New Roman" w:hAnsi="Times New Roman" w:eastAsia="Times New Roman" w:cs="Times New Roman"/>
          <w:kern w:val="0"/>
          <w:sz w:val="30"/>
          <w:szCs w:val="30"/>
        </w:rPr>
        <w:t>7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项指标具体的计算方法：</w:t>
      </w:r>
      <w:bookmarkStart w:id="2" w:name="_GoBack"/>
      <w:bookmarkEnd w:id="2"/>
    </w:p>
    <w:p>
      <w:pPr>
        <w:spacing w:line="540" w:lineRule="exact"/>
        <w:ind w:firstLine="600" w:firstLineChars="200"/>
        <w:jc w:val="left"/>
        <w:rPr>
          <w:rFonts w:ascii="Times New Roman" w:hAnsi="Times New Roman" w:eastAsia="方正仿宋_GBK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（一）“研发人员人均研发经费支出指标”数值，由“研究与试验发展经费支出”核定数据除以“研究与试验发展人员数”核定</w:t>
      </w:r>
      <w:bookmarkStart w:id="0" w:name="page2"/>
      <w:bookmarkEnd w:id="0"/>
      <w:r>
        <w:rPr>
          <w:rFonts w:ascii="Times New Roman" w:hAnsi="Times New Roman" w:eastAsia="方正仿宋_GBK" w:cs="Times New Roman"/>
          <w:kern w:val="0"/>
          <w:sz w:val="30"/>
          <w:szCs w:val="30"/>
        </w:rPr>
        <w:t>数据得到；</w:t>
      </w:r>
    </w:p>
    <w:p>
      <w:pPr>
        <w:spacing w:line="540" w:lineRule="exact"/>
        <w:ind w:right="160" w:firstLine="600" w:firstLineChars="200"/>
        <w:jc w:val="left"/>
        <w:rPr>
          <w:rFonts w:ascii="Times New Roman" w:hAnsi="Times New Roman" w:eastAsia="方正仿宋_GBK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（二）“研发经费支出占主营业务收入的比重”数值，由“研究与试验发展经费支出”核定数据除以“主营业务收入”核定数据，再乘以本企业所在行业的行业系数得到；</w:t>
      </w:r>
    </w:p>
    <w:p>
      <w:pPr>
        <w:spacing w:line="540" w:lineRule="exact"/>
        <w:ind w:right="160" w:firstLine="600" w:firstLineChars="2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（三）“研发人员占职工总数的比重”数值，由“研究与试验发展人员数”核定数据除以“企业职工总数”核定数据得到；</w:t>
      </w:r>
    </w:p>
    <w:p>
      <w:pPr>
        <w:spacing w:line="540" w:lineRule="exact"/>
        <w:ind w:firstLine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（四）“研发周期三年以上的项目数占全部研发项目数的比重”数值，由“研发周期三年以上的项目数”核定数据除以“企业全部研发项目数”核定数据得到；</w:t>
      </w:r>
    </w:p>
    <w:p>
      <w:pPr>
        <w:spacing w:line="540" w:lineRule="exact"/>
        <w:ind w:right="16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（五）“新产品销售收入占主营业务收入的比重”数值，由“新产品销售收入”核定数据除以“主营业务收入”核定数据，再乘以本企业所在行业的行业系数得到；</w:t>
      </w:r>
    </w:p>
    <w:p>
      <w:pPr>
        <w:spacing w:line="540" w:lineRule="exact"/>
        <w:ind w:right="16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（六）“新产品销售利润占利润总额的比重”数值，由“新产品销售利润”核定数据除以“利润总额”核定数据，再乘以本企业所在行业的行业系数得到；</w:t>
      </w:r>
    </w:p>
    <w:p>
      <w:pPr>
        <w:widowControl/>
        <w:spacing w:line="540" w:lineRule="exact"/>
        <w:ind w:right="16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（七）“</w:t>
      </w:r>
      <w:r>
        <w:rPr>
          <w:rFonts w:hint="eastAsia" w:ascii="Times New Roman" w:hAnsi="Times New Roman" w:eastAsia="方正仿宋_GBK" w:cs="Times New Roman"/>
          <w:kern w:val="0"/>
          <w:sz w:val="30"/>
          <w:szCs w:val="30"/>
          <w:lang w:eastAsia="zh-CN"/>
        </w:rPr>
        <w:t>销售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利润率”数值，由“利润总额”核定数据除以“主营业务收入”核定数据得到。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t>三、得分计算方法</w:t>
      </w:r>
    </w:p>
    <w:p>
      <w:pPr>
        <w:widowControl/>
        <w:spacing w:line="540" w:lineRule="exact"/>
        <w:ind w:firstLine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获得《江苏省省级企业技术中心评价指标体系》中各项指标的数值后，根据基本要求、满分要求以及相应的计算规则，计算出各项指标的得分，其总和就是该企业的评价得分。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（一）关于各项指标的基本要求和满分要求</w:t>
      </w:r>
    </w:p>
    <w:p>
      <w:pPr>
        <w:widowControl/>
        <w:spacing w:line="540" w:lineRule="exact"/>
        <w:ind w:right="160" w:firstLine="600"/>
        <w:jc w:val="left"/>
        <w:rPr>
          <w:rFonts w:ascii="Times New Roman" w:hAnsi="Times New Roman" w:eastAsia="方正仿宋_GBK" w:cs="Times New Roman"/>
          <w:kern w:val="0"/>
          <w:sz w:val="30"/>
          <w:szCs w:val="30"/>
        </w:rPr>
        <w:sectPr>
          <w:footerReference r:id="rId5" w:type="first"/>
          <w:footerReference r:id="rId3" w:type="default"/>
          <w:footerReference r:id="rId4" w:type="even"/>
          <w:pgSz w:w="11900" w:h="16838"/>
          <w:pgMar w:top="1440" w:right="1457" w:bottom="1128" w:left="1622" w:header="0" w:footer="454" w:gutter="0"/>
          <w:pgNumType w:start="4"/>
          <w:cols w:equalWidth="0" w:num="1">
            <w:col w:w="8823"/>
          </w:cols>
          <w:docGrid w:linePitch="286" w:charSpace="0"/>
        </w:sect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各项指标的基本要求、满分要求，由已认定省级企业技术中心历史数据测算得到，并根据江苏省企业技术中心创新发展总体情况进行动态调整。当前基本要求、满分要求的数值见下表。</w:t>
      </w:r>
    </w:p>
    <w:p>
      <w:pPr>
        <w:widowControl/>
        <w:spacing w:line="540" w:lineRule="exact"/>
        <w:jc w:val="left"/>
        <w:rPr>
          <w:rFonts w:ascii="Times New Roman" w:hAnsi="Times New Roman" w:eastAsia="宋体" w:cs="Times New Roman"/>
          <w:kern w:val="0"/>
          <w:sz w:val="30"/>
          <w:szCs w:val="30"/>
        </w:rPr>
        <w:sectPr>
          <w:type w:val="continuous"/>
          <w:pgSz w:w="11900" w:h="16838"/>
          <w:pgMar w:top="1440" w:right="9440" w:bottom="1129" w:left="1620" w:header="0" w:footer="0" w:gutter="0"/>
          <w:cols w:equalWidth="0" w:num="1">
            <w:col w:w="840"/>
          </w:cols>
        </w:sectPr>
      </w:pPr>
    </w:p>
    <w:p>
      <w:pPr>
        <w:widowControl/>
        <w:ind w:left="2160"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  <w:bookmarkStart w:id="1" w:name="page3"/>
      <w:bookmarkEnd w:id="1"/>
      <w:r>
        <w:rPr>
          <w:rFonts w:ascii="Times New Roman" w:hAnsi="Times New Roman" w:eastAsia="方正楷体_GBK" w:cs="Times New Roman"/>
          <w:kern w:val="0"/>
          <w:sz w:val="28"/>
          <w:szCs w:val="28"/>
        </w:rPr>
        <w:t>附表 各项指标基本要求和满分要求</w:t>
      </w:r>
    </w:p>
    <w:p>
      <w:pPr>
        <w:widowControl/>
        <w:spacing w:line="179" w:lineRule="exact"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566"/>
        <w:gridCol w:w="565"/>
        <w:gridCol w:w="4189"/>
        <w:gridCol w:w="840"/>
        <w:gridCol w:w="504"/>
        <w:gridCol w:w="850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一级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指标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二级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指标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权重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三级指标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权重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基本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满分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投入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经费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21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1.研发人员人均研发经费支出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万元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2.研发经费支出占主营业务收入的比重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创新人才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15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3.研发人员占企业职工总数的比重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4.技术中心拥有的高级专家和博士人数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人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5.来技术中心从事研发工作的外聘专家人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eastAsia="zh-CN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人月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条件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技术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积累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14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6.企业拥有的全部有效专利数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7.企业拥有的全部有效发明专利数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8.企业全部研发项目数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9.研发周期三年以上的项目数占全部研发项目数的比重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平台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10.企业技术开发仪器设备原值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万元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11.省级以上研发平台数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个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分档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12.通过国家（国际组织）、省认证的实验室和检测机构数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个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绩效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技术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产出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12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13.当年被受理的专利申请数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14.当年被受理的发明专利申请数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15.最近三年主持和参加制定的国际、国家、行业和团体标准数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创新效益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27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16.新产品销售收入占主营业务收入的比重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17.新产品销售利润占利润总额的比重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18.销售利润率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加分项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19.获国家和省科技奖励项目数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≤2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分档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</w:rPr>
        <w:sectPr>
          <w:pgSz w:w="11900" w:h="16838"/>
          <w:pgMar w:top="1440" w:right="1700" w:bottom="1440" w:left="1620" w:header="0" w:footer="454" w:gutter="0"/>
          <w:cols w:equalWidth="0" w:num="1">
            <w:col w:w="8580"/>
          </w:cols>
          <w:docGrid w:linePitch="286" w:charSpace="0"/>
        </w:sectPr>
      </w:pPr>
    </w:p>
    <w:p>
      <w:pPr>
        <w:overflowPunct w:val="0"/>
        <w:snapToGrid w:val="0"/>
        <w:ind w:firstLine="482"/>
        <w:jc w:val="left"/>
        <w:rPr>
          <w:rFonts w:ascii="Times New Roman" w:hAnsi="Times New Roman" w:eastAsia="方正仿宋_GBK" w:cs="Times New Roman"/>
          <w:b/>
          <w:sz w:val="24"/>
          <w:szCs w:val="44"/>
        </w:rPr>
      </w:pPr>
      <w:r>
        <w:rPr>
          <w:rFonts w:ascii="Times New Roman" w:hAnsi="Times New Roman" w:eastAsia="方正仿宋_GBK" w:cs="Times New Roman"/>
          <w:b/>
          <w:sz w:val="24"/>
          <w:szCs w:val="44"/>
        </w:rPr>
        <w:t>指标说明：</w:t>
      </w:r>
    </w:p>
    <w:p>
      <w:pPr>
        <w:overflowPunct w:val="0"/>
        <w:snapToGrid w:val="0"/>
        <w:ind w:firstLine="482"/>
        <w:jc w:val="left"/>
        <w:rPr>
          <w:rFonts w:ascii="Times New Roman" w:hAnsi="Times New Roman" w:eastAsia="方正楷体_GBK" w:cs="Times New Roman"/>
          <w:b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11.省级以上研发平台数：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企业获国家级研发平台数，每个加2分；获江苏省级研发平台数，每个加1分。</w:t>
      </w:r>
    </w:p>
    <w:p>
      <w:pPr>
        <w:overflowPunct w:val="0"/>
        <w:snapToGrid w:val="0"/>
        <w:ind w:firstLine="482"/>
        <w:rPr>
          <w:rFonts w:ascii="Times New Roman" w:hAnsi="Times New Roman" w:eastAsia="方正仿宋_GBK" w:cs="Times New Roman"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17.新产品销售利润占利润总额的比重：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当新产品销售利润≤0时，该项得分为0分；当新产品销售利润＞0且利润总额≤0时，该项得分为6分；其他情况按照指标得分计算规则评分。</w:t>
      </w:r>
    </w:p>
    <w:p>
      <w:pPr>
        <w:overflowPunct w:val="0"/>
        <w:snapToGrid w:val="0"/>
        <w:ind w:firstLine="482"/>
        <w:rPr>
          <w:rFonts w:ascii="Times New Roman" w:hAnsi="Times New Roman" w:eastAsia="方正仿宋_GBK" w:cs="Times New Roman"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18.销售利润率：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当利润总额≤0时，该项得分为0分；其他情况按照指标得分计算规则评分。</w:t>
      </w:r>
    </w:p>
    <w:p>
      <w:pPr>
        <w:overflowPunct w:val="0"/>
        <w:snapToGrid w:val="0"/>
        <w:ind w:firstLine="482"/>
        <w:rPr>
          <w:rFonts w:ascii="Times New Roman" w:hAnsi="Times New Roman" w:eastAsia="方正仿宋_GBK" w:cs="Times New Roman"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19.获国家和省科技奖励项目数：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企业作为主要完成单位或企业员工作为主要完成人获国家科技奖励，加2分；获江苏省科技奖励，每项加1分。</w:t>
      </w:r>
    </w:p>
    <w:p>
      <w:pPr>
        <w:widowControl/>
        <w:rPr>
          <w:rFonts w:ascii="Times New Roman" w:hAnsi="Times New Roman" w:eastAsia="宋体" w:cs="Times New Roman"/>
        </w:rPr>
      </w:pPr>
    </w:p>
    <w:p>
      <w:pPr>
        <w:widowControl/>
        <w:spacing w:line="239" w:lineRule="auto"/>
        <w:ind w:left="6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二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）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指标得分计算规则</w:t>
      </w:r>
    </w:p>
    <w:p>
      <w:pPr>
        <w:widowControl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snapToGrid w:val="0"/>
        <w:jc w:val="center"/>
        <w:rPr>
          <w:rFonts w:ascii="Times New Roman" w:hAnsi="Times New Roman" w:eastAsia="宋体" w:cs="Times New Roman"/>
          <w:b/>
          <w:szCs w:val="21"/>
        </w:rPr>
      </w:pPr>
      <w:r>
        <w:rPr>
          <w:rFonts w:ascii="Times New Roman" w:hAnsi="Times New Roman" w:eastAsia="宋体" w:cs="Times New Roman"/>
          <w:b/>
          <w:szCs w:val="21"/>
        </w:rPr>
        <w:drawing>
          <wp:inline distT="0" distB="0" distL="0" distR="0">
            <wp:extent cx="4648200" cy="2649855"/>
            <wp:effectExtent l="0" t="0" r="0" b="0"/>
            <wp:docPr id="1" name="图片 1" descr="C:\Users\ZhangHui\AppData\Local\Temp\15691626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angHui\AppData\Local\Temp\1569162627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0951" cy="265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napToGrid w:val="0"/>
        <w:jc w:val="center"/>
        <w:rPr>
          <w:rFonts w:ascii="Times New Roman" w:hAnsi="Times New Roman" w:eastAsia="方正黑体_GBK" w:cs="Times New Roman"/>
          <w:b/>
          <w:sz w:val="28"/>
          <w:szCs w:val="28"/>
        </w:rPr>
      </w:pPr>
      <w:r>
        <w:rPr>
          <w:rFonts w:ascii="Times New Roman" w:hAnsi="Times New Roman" w:eastAsia="方正黑体_GBK" w:cs="Times New Roman"/>
          <w:kern w:val="0"/>
          <w:sz w:val="28"/>
          <w:szCs w:val="28"/>
        </w:rPr>
        <w:t>分段线性插值算法示意图</w:t>
      </w:r>
    </w:p>
    <w:p>
      <w:pPr>
        <w:widowControl/>
        <w:spacing w:line="540" w:lineRule="exact"/>
        <w:ind w:right="159" w:firstLine="601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1．指标数值大于或等于满分要求时，指标得分为满分，即指标得分等于上表中的权重；</w:t>
      </w:r>
    </w:p>
    <w:p>
      <w:pPr>
        <w:widowControl/>
        <w:spacing w:line="540" w:lineRule="exact"/>
        <w:ind w:right="159" w:firstLine="601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2．指标数值等于基本要求时，指标得分为权重的60%；</w:t>
      </w:r>
    </w:p>
    <w:p>
      <w:pPr>
        <w:widowControl/>
        <w:spacing w:line="540" w:lineRule="exact"/>
        <w:ind w:right="159" w:firstLine="601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3．指标数值为0时，指标得分为0；</w:t>
      </w:r>
    </w:p>
    <w:p>
      <w:pPr>
        <w:widowControl/>
        <w:spacing w:line="540" w:lineRule="exact"/>
        <w:ind w:right="159" w:firstLine="601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4．指标数值处于0和基本要求之间时，指标得分按线性插值的方法计算，具体计算公式为：</w:t>
      </w:r>
    </w:p>
    <w:p>
      <w:pPr>
        <w:widowControl/>
        <w:snapToGrid w:val="0"/>
        <w:jc w:val="center"/>
        <w:rPr>
          <w:rFonts w:ascii="Times New Roman" w:hAnsi="Times New Roman" w:eastAsia="方正黑体_GBK" w:cs="Times New Roman"/>
          <w:kern w:val="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指标得分=</m:t>
          </m:r>
          <m:f>
            <m:fP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指标数值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基本要求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×权重的60%</m:t>
          </m:r>
        </m:oMath>
      </m:oMathPara>
    </w:p>
    <w:p>
      <w:pPr>
        <w:widowControl/>
        <w:spacing w:line="540" w:lineRule="exact"/>
        <w:ind w:right="159" w:firstLine="601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5．指标数值处于基本要求和满分要求之间时，指标得分按线性插值的方法计算，具体计算公式为：</w:t>
      </w:r>
    </w:p>
    <w:p>
      <w:pPr>
        <w:widowControl/>
        <w:snapToGrid w:val="0"/>
        <w:jc w:val="center"/>
        <w:rPr>
          <w:rFonts w:ascii="Times New Roman" w:hAnsi="Times New Roman" w:eastAsia="方正仿宋_GBK" w:cs="Times New Roman"/>
          <w:kern w:val="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指标得分=</m:t>
          </m:r>
          <m:f>
            <m:fP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指标数值</m:t>
              </m:r>
              <m:r>
                <m:rPr>
                  <m:sty m:val="p"/>
                </m:rPr>
                <w:rPr>
                  <w:rFonts w:ascii="Cambria Math" w:hAnsi="Cambria Math" w:eastAsia="微软雅黑" w:cs="Times New Roman"/>
                  <w:kern w:val="0"/>
                  <w:sz w:val="28"/>
                  <w:szCs w:val="28"/>
                </w:rPr>
                <m:t>−</m:t>
              </m:r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基本要求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满分要求</m:t>
              </m:r>
              <m:r>
                <m:rPr>
                  <m:sty m:val="p"/>
                </m:rPr>
                <w:rPr>
                  <w:rFonts w:ascii="Cambria Math" w:hAnsi="Cambria Math" w:eastAsia="微软雅黑" w:cs="Times New Roman"/>
                  <w:kern w:val="0"/>
                  <w:sz w:val="28"/>
                  <w:szCs w:val="28"/>
                </w:rPr>
                <m:t>−</m:t>
              </m:r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基本要求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×权重的40%+权重的60%</m:t>
          </m:r>
        </m:oMath>
      </m:oMathPara>
    </w:p>
    <w:p>
      <w:pPr>
        <w:widowControl/>
        <w:snapToGrid w:val="0"/>
        <w:spacing w:line="360" w:lineRule="auto"/>
        <w:ind w:left="944" w:leftChars="271" w:hanging="375" w:hangingChars="134"/>
        <w:rPr>
          <w:rFonts w:ascii="Times New Roman" w:hAnsi="Times New Roman" w:eastAsia="宋体" w:cs="Times New Roman"/>
          <w:kern w:val="0"/>
          <w:sz w:val="28"/>
          <w:szCs w:val="28"/>
        </w:rPr>
      </w:pPr>
    </w:p>
    <w:p>
      <w:pPr>
        <w:widowControl/>
        <w:spacing w:line="239" w:lineRule="auto"/>
        <w:ind w:left="6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三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）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《评价指标体系》行业系数</w:t>
      </w:r>
    </w:p>
    <w:p>
      <w:pPr>
        <w:widowControl/>
        <w:spacing w:line="388" w:lineRule="auto"/>
        <w:ind w:right="160" w:firstLine="600"/>
        <w:jc w:val="left"/>
        <w:rPr>
          <w:rFonts w:ascii="Times New Roman" w:hAnsi="Times New Roman" w:eastAsia="方正仿宋_GBK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28"/>
          <w:szCs w:val="28"/>
        </w:rPr>
        <w:t>当前行业系数见下表：</w:t>
      </w:r>
    </w:p>
    <w:tbl>
      <w:tblPr>
        <w:tblStyle w:val="5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3690"/>
        <w:gridCol w:w="1515"/>
        <w:gridCol w:w="1500"/>
        <w:gridCol w:w="1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tblHeader/>
          <w:jc w:val="center"/>
        </w:trPr>
        <w:tc>
          <w:tcPr>
            <w:tcW w:w="73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行业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代码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行业名称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研发经费支出占主营业务收入的比重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新产品销售收入占主营业务收入的比重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新产品销售利润占利润总额的比重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13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农副食品加工业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</w:rPr>
              <w:t>14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</w:rPr>
              <w:t>食品制造业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纺织业、</w:t>
            </w:r>
            <w:r>
              <w:rPr>
                <w:rFonts w:ascii="Times New Roman" w:hAnsi="Times New Roman" w:eastAsia="方正仿宋_GBK" w:cs="Times New Roman"/>
                <w:kern w:val="0"/>
                <w:sz w:val="22"/>
                <w:lang w:bidi="ar"/>
              </w:rPr>
              <w:t>服饰业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木材加工和木、竹、藤、棕、草制品业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22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造纸和纸制品业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</w:rPr>
              <w:t>24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</w:rPr>
              <w:t>文教、工美、体育和娱乐用品制造业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26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化学原料和化学制品制造业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医药制造业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28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lang w:bidi="ar"/>
              </w:rPr>
              <w:t>化学纤维制造业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29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橡胶和塑料制品业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非金属矿物制品业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31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黑色金属冶炼和压延加工业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32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有色金属冶炼和压延加工业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</w:rPr>
              <w:t>1.4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33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金属制品业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34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通用设备制造业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35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专用设备制造业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36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汽车制造业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铁路、船舶、航空航天和其他运输设备制造业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38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电气机械和器材制造业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39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计算机、通信和其他电子设备制造业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40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仪器仪表制造业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  <w:t>65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 w:bidi="ar"/>
              </w:rPr>
              <w:t>软件和信息技术服务业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  <w:t>0.6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77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lang w:bidi="ar"/>
              </w:rPr>
              <w:t>生态保护和环境治理业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100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</w:tbl>
    <w:p>
      <w:pPr>
        <w:widowControl/>
        <w:snapToGrid w:val="0"/>
        <w:rPr>
          <w:rFonts w:ascii="Times New Roman" w:hAnsi="Times New Roman" w:eastAsia="宋体" w:cs="Times New Roman"/>
          <w:b/>
          <w:kern w:val="0"/>
          <w:sz w:val="11"/>
          <w:szCs w:val="11"/>
        </w:rPr>
      </w:pPr>
    </w:p>
    <w:p>
      <w:pPr>
        <w:widowControl/>
        <w:snapToGrid w:val="0"/>
        <w:ind w:firstLine="481" w:firstLineChars="200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说明：</w:t>
      </w:r>
    </w:p>
    <w:p>
      <w:pPr>
        <w:widowControl/>
        <w:snapToGrid w:val="0"/>
        <w:ind w:firstLine="480" w:firstLineChars="200"/>
        <w:rPr>
          <w:rFonts w:ascii="Times New Roman" w:hAnsi="Times New Roman" w:eastAsia="方正仿宋_GBK" w:cs="Times New Roman"/>
          <w:kern w:val="0"/>
          <w:sz w:val="24"/>
          <w:szCs w:val="24"/>
        </w:rPr>
      </w:pPr>
      <w:r>
        <w:rPr>
          <w:rFonts w:ascii="Times New Roman" w:hAnsi="Times New Roman" w:eastAsia="方正仿宋_GBK" w:cs="Times New Roman"/>
          <w:kern w:val="0"/>
          <w:sz w:val="24"/>
          <w:szCs w:val="24"/>
        </w:rPr>
        <w:t>1．由于不同行业在研发投入与产出方面存在较大差异，技术中心评价时，对不同行业企业“研发经费支出占主营业务收入的比重”、“新产品销售收入占主营业务收入的比重”、“新产品销售利润占利润总额的比重”三个指标引入行业系数加以调节。</w:t>
      </w:r>
    </w:p>
    <w:p>
      <w:pPr>
        <w:widowControl/>
        <w:snapToGrid w:val="0"/>
        <w:ind w:firstLine="480" w:firstLineChars="200"/>
        <w:rPr>
          <w:rFonts w:ascii="Times New Roman" w:hAnsi="Times New Roman" w:eastAsia="方正仿宋_GBK" w:cs="Times New Roman"/>
          <w:color w:val="FF0000"/>
          <w:kern w:val="0"/>
          <w:sz w:val="24"/>
          <w:szCs w:val="24"/>
        </w:rPr>
      </w:pPr>
      <w:r>
        <w:rPr>
          <w:rFonts w:ascii="Times New Roman" w:hAnsi="Times New Roman" w:eastAsia="方正仿宋_GBK" w:cs="Times New Roman"/>
          <w:kern w:val="0"/>
          <w:sz w:val="24"/>
          <w:szCs w:val="24"/>
        </w:rPr>
        <w:t>2．企业填报数据表时无需考虑行业系数，按实际数据填报。评价时，根据企业填报的实际数据计算得出上述指标的比重，再乘以行业系数，得出指标的评价值。</w:t>
      </w:r>
    </w:p>
    <w:p>
      <w:pPr>
        <w:widowControl/>
        <w:snapToGrid w:val="0"/>
        <w:ind w:firstLine="480" w:firstLineChars="200"/>
        <w:rPr>
          <w:rFonts w:ascii="Times New Roman" w:hAnsi="Times New Roman" w:eastAsia="方正仿宋_GBK" w:cs="Times New Roman"/>
          <w:kern w:val="0"/>
          <w:sz w:val="24"/>
          <w:szCs w:val="24"/>
        </w:rPr>
      </w:pPr>
      <w:r>
        <w:rPr>
          <w:rFonts w:ascii="Times New Roman" w:hAnsi="Times New Roman" w:eastAsia="方正仿宋_GBK" w:cs="Times New Roman"/>
          <w:kern w:val="0"/>
          <w:sz w:val="24"/>
          <w:szCs w:val="24"/>
        </w:rPr>
        <w:t>3．</w:t>
      </w:r>
      <w:r>
        <w:rPr>
          <w:rFonts w:ascii="Times New Roman" w:hAnsi="Times New Roman" w:eastAsia="方正仿宋_GBK" w:cs="Times New Roman"/>
          <w:bCs/>
          <w:kern w:val="0"/>
          <w:sz w:val="24"/>
          <w:szCs w:val="24"/>
        </w:rPr>
        <w:t>行业系数表中的“其他”行业包括“交通运输、仓储和邮政业”、“煤炭开采和洗选业”、“石油和天然气开采业”、“废弃资源综合利用业”、“建筑装饰、装修和其他建筑业”等行业。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 Math">
    <w:altName w:val="DejaVu Math TeX Gyre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="Times New Roman" w:hAnsi="Times New Roman" w:eastAsia="方正仿宋_GBK" w:cs="Times New Roman"/>
        <w:sz w:val="24"/>
        <w:szCs w:val="24"/>
      </w:rPr>
    </w:sdtEndPr>
    <w:sdtContent>
      <w:p>
        <w:pPr>
          <w:pStyle w:val="3"/>
          <w:ind w:right="360"/>
          <w:jc w:val="right"/>
          <w:rPr>
            <w:rFonts w:ascii="Times New Roman" w:hAnsi="Times New Roman" w:eastAsia="方正仿宋_GBK" w:cs="Times New Roman"/>
            <w:sz w:val="24"/>
            <w:szCs w:val="24"/>
          </w:rPr>
        </w:pPr>
        <w:r>
          <w:rPr>
            <w:rFonts w:ascii="Times New Roman" w:hAnsi="Times New Roman" w:eastAsia="方正仿宋_GBK" w:cs="Times New Roman"/>
            <w:sz w:val="24"/>
            <w:szCs w:val="24"/>
          </w:rPr>
          <w:t xml:space="preserve">— </w:t>
        </w:r>
        <w:r>
          <w:rPr>
            <w:rFonts w:ascii="Times New Roman" w:hAnsi="Times New Roman" w:eastAsia="方正仿宋_GBK" w:cs="Times New Roman"/>
            <w:sz w:val="24"/>
            <w:szCs w:val="24"/>
          </w:rPr>
          <w:fldChar w:fldCharType="begin"/>
        </w:r>
        <w:r>
          <w:rPr>
            <w:rFonts w:ascii="Times New Roman" w:hAnsi="Times New Roman" w:eastAsia="方正仿宋_GBK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eastAsia="方正仿宋_GBK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eastAsia="方正仿宋_GBK" w:cs="Times New Roman"/>
            <w:sz w:val="24"/>
            <w:szCs w:val="24"/>
            <w:lang w:val="zh-CN"/>
          </w:rPr>
          <w:t>9</w:t>
        </w:r>
        <w:r>
          <w:rPr>
            <w:rFonts w:ascii="Times New Roman" w:hAnsi="Times New Roman" w:eastAsia="方正仿宋_GBK" w:cs="Times New Roman"/>
            <w:sz w:val="24"/>
            <w:szCs w:val="24"/>
          </w:rPr>
          <w:fldChar w:fldCharType="end"/>
        </w:r>
        <w:r>
          <w:rPr>
            <w:rFonts w:ascii="Times New Roman" w:hAnsi="Times New Roman" w:eastAsia="方正仿宋_GBK" w:cs="Times New Roman"/>
            <w:sz w:val="24"/>
            <w:szCs w:val="24"/>
          </w:rPr>
          <w:t xml:space="preserve"> —</w:t>
        </w:r>
      </w:p>
    </w:sdtContent>
  </w:sdt>
  <w:p>
    <w:pPr>
      <w:pStyle w:val="3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84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—</w:t>
    </w:r>
    <w:sdt>
      <w:sdtPr>
        <w:rPr>
          <w:rFonts w:ascii="Times New Roman" w:hAnsi="Times New Roman" w:cs="Times New Roman"/>
          <w:sz w:val="24"/>
          <w:szCs w:val="24"/>
        </w:rPr>
        <w:id w:val="-1"/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8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 w:cs="Times New Roman"/>
        <w:sz w:val="24"/>
        <w:szCs w:val="24"/>
      </w:rPr>
      <w:t xml:space="preserve"> —</w:t>
    </w:r>
  </w:p>
  <w:p>
    <w:pPr>
      <w:pStyle w:val="3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410"/>
        <w:tab w:val="left" w:pos="6236"/>
      </w:tabs>
    </w:pPr>
    <w:r>
      <w:tab/>
    </w:r>
    <w:r>
      <w:tab/>
    </w:r>
    <w:sdt>
      <w:sdtPr>
        <w:id w:val="492923372"/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sdtContent>
    </w:sdt>
    <w:r>
      <w:tab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kYjQ5MjhmZTM4MTc1Yzc3Zjk5ZWE0ODQ5NjM5MjQifQ=="/>
  </w:docVars>
  <w:rsids>
    <w:rsidRoot w:val="00E32194"/>
    <w:rsid w:val="000227AF"/>
    <w:rsid w:val="000E6162"/>
    <w:rsid w:val="0012573A"/>
    <w:rsid w:val="00226B68"/>
    <w:rsid w:val="00247D5E"/>
    <w:rsid w:val="00272D48"/>
    <w:rsid w:val="002D563F"/>
    <w:rsid w:val="00505442"/>
    <w:rsid w:val="00534C17"/>
    <w:rsid w:val="00557F64"/>
    <w:rsid w:val="0056191E"/>
    <w:rsid w:val="005926FA"/>
    <w:rsid w:val="00670AB6"/>
    <w:rsid w:val="006C59EA"/>
    <w:rsid w:val="006E7810"/>
    <w:rsid w:val="006F4179"/>
    <w:rsid w:val="00773F9C"/>
    <w:rsid w:val="00835E38"/>
    <w:rsid w:val="008C2416"/>
    <w:rsid w:val="008F1FA4"/>
    <w:rsid w:val="0098429B"/>
    <w:rsid w:val="009C5A6C"/>
    <w:rsid w:val="009F773F"/>
    <w:rsid w:val="00A04D40"/>
    <w:rsid w:val="00A266DF"/>
    <w:rsid w:val="00A51B02"/>
    <w:rsid w:val="00AE4F14"/>
    <w:rsid w:val="00B02153"/>
    <w:rsid w:val="00B14A04"/>
    <w:rsid w:val="00C302A1"/>
    <w:rsid w:val="00C43B69"/>
    <w:rsid w:val="00D67407"/>
    <w:rsid w:val="00E263B4"/>
    <w:rsid w:val="00E279A7"/>
    <w:rsid w:val="00E32194"/>
    <w:rsid w:val="00EF038B"/>
    <w:rsid w:val="00F542CA"/>
    <w:rsid w:val="00FE0230"/>
    <w:rsid w:val="05343857"/>
    <w:rsid w:val="054E5F90"/>
    <w:rsid w:val="07110764"/>
    <w:rsid w:val="07B94814"/>
    <w:rsid w:val="0DE46D10"/>
    <w:rsid w:val="14153E12"/>
    <w:rsid w:val="178E2321"/>
    <w:rsid w:val="187E0F97"/>
    <w:rsid w:val="26F81E01"/>
    <w:rsid w:val="296A5420"/>
    <w:rsid w:val="3D1D3D24"/>
    <w:rsid w:val="4D422183"/>
    <w:rsid w:val="5CCD42DA"/>
    <w:rsid w:val="63DE27AE"/>
    <w:rsid w:val="71BD02AB"/>
    <w:rsid w:val="75AD3381"/>
    <w:rsid w:val="99DEB7B8"/>
    <w:rsid w:val="DEFFEFD5"/>
    <w:rsid w:val="EFF37F0E"/>
    <w:rsid w:val="F7FF8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1915</Words>
  <Characters>2016</Characters>
  <Lines>22</Lines>
  <Paragraphs>6</Paragraphs>
  <TotalTime>21</TotalTime>
  <ScaleCrop>false</ScaleCrop>
  <LinksUpToDate>false</LinksUpToDate>
  <CharactersWithSpaces>2017</CharactersWithSpaces>
  <Application>WPS Office_12.8.2.17001_F1E327BC-269C-435d-A152-05C5408002CA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2022-03-21T14:19:00Z</dcterms:created>
  <dc:creator>PC</dc:creator>
  <cp:lastModifiedBy>HUAWEI</cp:lastModifiedBy>
  <cp:lastPrinted>2025-09-19T09:29:28Z</cp:lastPrinted>
  <dcterms:modified xsi:type="dcterms:W3CDTF">2025-09-19T09:31:03Z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2052-12.8.2.17001</vt:lpwstr>
  </property>
  <property fmtid="{D5CDD505-2E9C-101B-9397-08002B2CF9AE}" pid="3" name="ICV">
    <vt:lpwstr>2C225C3F87004B4FB21699D05A9A808D_13</vt:lpwstr>
  </property>
  <property fmtid="{D5CDD505-2E9C-101B-9397-08002B2CF9AE}" pid="4" name="KSOTemplateDocerSaveRecord">
    <vt:lpwstr>eyJoZGlkIjoiZWRlNThjMDg5Nzc3M2RjNzE3ZWNhZGU4OTZmMDhjYjMiLCJ1c2VySWQiOiIzMDUyNjU1MDgifQ==</vt:lpwstr>
  </property>
</Properties>
</file>