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附件1</w:t>
      </w:r>
    </w:p>
    <w:p>
      <w:pPr>
        <w:jc w:val="center"/>
        <w:rPr>
          <w:rFonts w:ascii="方正小标宋_GBK" w:hAnsi="Times New Roman" w:eastAsia="方正小标宋_GBK" w:cs="Times New Roman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</w:rPr>
        <w:t>省级企业技术中心初评方法</w:t>
      </w:r>
    </w:p>
    <w:p>
      <w:pPr>
        <w:jc w:val="left"/>
        <w:rPr>
          <w:rFonts w:ascii="Times New Roman" w:hAnsi="Times New Roman" w:cs="Times New Roman"/>
          <w:b/>
          <w:sz w:val="30"/>
          <w:szCs w:val="30"/>
        </w:rPr>
      </w:pPr>
    </w:p>
    <w:p>
      <w:pPr>
        <w:widowControl/>
        <w:spacing w:line="540" w:lineRule="exact"/>
        <w:ind w:firstLine="600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省级企业技术中心的初评按以下程序进行：</w:t>
      </w:r>
    </w:p>
    <w:p>
      <w:pPr>
        <w:widowControl/>
        <w:spacing w:line="540" w:lineRule="exact"/>
        <w:ind w:left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黑体_GBK" w:cs="Times New Roman"/>
          <w:kern w:val="0"/>
          <w:sz w:val="30"/>
          <w:szCs w:val="30"/>
        </w:rPr>
        <w:t>一、基础数据处理</w:t>
      </w:r>
    </w:p>
    <w:p>
      <w:pPr>
        <w:widowControl/>
        <w:spacing w:line="540" w:lineRule="exact"/>
        <w:ind w:firstLine="600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在进行正式评价之前，根据《江苏省省级企业技术中心工作指南（试行）》（苏工信创新〔2020〕258号，以下简称《工作指南》）明确的各项指标解释，结合申请报告中的相关附件及证明材料，对企业技术中心提交的“江苏省省级企业技术中心评价数据表” 中各项数据值进行逐项核实，对证明材料缺失或无效的数据，按量予以核减，以最终的核定数据作为计算每项指标得分的依据。</w:t>
      </w:r>
    </w:p>
    <w:p>
      <w:pPr>
        <w:widowControl/>
        <w:spacing w:line="540" w:lineRule="exact"/>
        <w:ind w:left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黑体_GBK" w:cs="Times New Roman"/>
          <w:kern w:val="0"/>
          <w:sz w:val="30"/>
          <w:szCs w:val="30"/>
        </w:rPr>
        <w:t>二、指标数值计算</w:t>
      </w:r>
    </w:p>
    <w:p>
      <w:pPr>
        <w:spacing w:line="540" w:lineRule="exact"/>
        <w:ind w:right="40" w:firstLine="600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 xml:space="preserve">在获得各项指标的核定数据后，可获得《江苏省省级企业技术中心评价指标体系》（见《工作指南》附件 </w:t>
      </w:r>
      <w:r>
        <w:rPr>
          <w:rFonts w:ascii="Times New Roman" w:hAnsi="Times New Roman" w:eastAsia="Times New Roman" w:cs="Times New Roman"/>
          <w:kern w:val="0"/>
          <w:sz w:val="30"/>
          <w:szCs w:val="30"/>
        </w:rPr>
        <w:t>4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 xml:space="preserve"> 第一部分）中各项指标的数值。其中，有 </w:t>
      </w:r>
      <w:r>
        <w:rPr>
          <w:rFonts w:ascii="Times New Roman" w:hAnsi="Times New Roman" w:eastAsia="Times New Roman" w:cs="Times New Roman"/>
          <w:kern w:val="0"/>
          <w:sz w:val="30"/>
          <w:szCs w:val="30"/>
        </w:rPr>
        <w:t>7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 xml:space="preserve"> 项指标的数值须通过计算获得。对于引入行业系数进行调节的“研发经费支出占主营业务收入的比重”、“新产品销售收入占主营业务收入的比重”、“新产品销售利润占利润总额的 比重”</w:t>
      </w:r>
      <w:r>
        <w:rPr>
          <w:rFonts w:ascii="Times New Roman" w:hAnsi="Times New Roman" w:eastAsia="Times New Roman" w:cs="Times New Roman"/>
          <w:kern w:val="0"/>
          <w:sz w:val="30"/>
          <w:szCs w:val="30"/>
        </w:rPr>
        <w:t>3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 xml:space="preserve"> 项指标，在计算获得原始指标数值后，再乘以本企业所在行业的行业系数</w:t>
      </w:r>
      <w:r>
        <w:rPr>
          <w:rFonts w:ascii="Times New Roman" w:hAnsi="Times New Roman" w:eastAsia="方正仿宋_GBK" w:cs="Times New Roman"/>
          <w:b w:val="0"/>
          <w:bCs/>
          <w:kern w:val="0"/>
          <w:sz w:val="30"/>
          <w:szCs w:val="30"/>
        </w:rPr>
        <w:t>（</w:t>
      </w:r>
      <w:r>
        <w:rPr>
          <w:rFonts w:hint="eastAsia" w:ascii="Times New Roman" w:hAnsi="Times New Roman" w:eastAsia="方正仿宋_GBK" w:cs="Times New Roman"/>
          <w:b w:val="0"/>
          <w:bCs/>
          <w:kern w:val="0"/>
          <w:sz w:val="30"/>
          <w:szCs w:val="30"/>
        </w:rPr>
        <w:t>附后</w:t>
      </w:r>
      <w:r>
        <w:rPr>
          <w:rFonts w:ascii="Times New Roman" w:hAnsi="Times New Roman" w:eastAsia="方正仿宋_GBK" w:cs="Times New Roman"/>
          <w:b w:val="0"/>
          <w:bCs/>
          <w:kern w:val="0"/>
          <w:sz w:val="30"/>
          <w:szCs w:val="30"/>
        </w:rPr>
        <w:t>）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作为计算相关指标得分的最终依据。</w:t>
      </w:r>
    </w:p>
    <w:p>
      <w:pPr>
        <w:spacing w:line="540" w:lineRule="exact"/>
        <w:ind w:left="600" w:right="40"/>
        <w:jc w:val="left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 xml:space="preserve">以下是 </w:t>
      </w:r>
      <w:r>
        <w:rPr>
          <w:rFonts w:ascii="Times New Roman" w:hAnsi="Times New Roman" w:eastAsia="Times New Roman" w:cs="Times New Roman"/>
          <w:kern w:val="0"/>
          <w:sz w:val="30"/>
          <w:szCs w:val="30"/>
        </w:rPr>
        <w:t>7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 xml:space="preserve"> 项指标具体的计算方法： </w:t>
      </w:r>
    </w:p>
    <w:p>
      <w:pPr>
        <w:spacing w:line="540" w:lineRule="exact"/>
        <w:ind w:right="40"/>
        <w:jc w:val="left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hint="eastAsia" w:ascii="Times New Roman" w:hAnsi="Times New Roman" w:eastAsia="方正仿宋_GBK" w:cs="Times New Roman"/>
          <w:kern w:val="0"/>
          <w:sz w:val="30"/>
          <w:szCs w:val="30"/>
        </w:rPr>
        <w:t xml:space="preserve">    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（一）“研发人员人均研发经费支出指标”数值，由“研究与试验发展经费支出”核定数据除以“研究与试验发展人员数”核定</w:t>
      </w:r>
      <w:bookmarkStart w:id="0" w:name="page2"/>
      <w:bookmarkEnd w:id="0"/>
      <w:r>
        <w:rPr>
          <w:rFonts w:ascii="Times New Roman" w:hAnsi="Times New Roman" w:eastAsia="方正仿宋_GBK" w:cs="Times New Roman"/>
          <w:kern w:val="0"/>
          <w:sz w:val="30"/>
          <w:szCs w:val="30"/>
        </w:rPr>
        <w:t xml:space="preserve">数据得到； </w:t>
      </w:r>
    </w:p>
    <w:p>
      <w:pPr>
        <w:spacing w:line="540" w:lineRule="exact"/>
        <w:ind w:right="160" w:firstLine="600" w:firstLineChars="2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（二）“研发经费支出占主营业务收入的比重”数值，由“研究与试验发展经费支出”核定数据除以“主营业务收入”核定数据， 再乘以本企业所在行业的行业系数得到；</w:t>
      </w:r>
    </w:p>
    <w:p>
      <w:pPr>
        <w:spacing w:line="540" w:lineRule="exact"/>
        <w:ind w:right="16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宋体" w:cs="Times New Roman"/>
          <w:kern w:val="0"/>
          <w:sz w:val="30"/>
          <w:szCs w:val="30"/>
        </w:rPr>
        <w:t xml:space="preserve">    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（三）“研发人员占职工总数的比重”数值，由“研究与试验发展人员数”核定数据除以“企业职工总数”核定数据得到；</w:t>
      </w:r>
    </w:p>
    <w:p>
      <w:pPr>
        <w:spacing w:line="540" w:lineRule="exact"/>
        <w:ind w:firstLine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（四）“研发周期三年以上的项目数占全部研发项目数的比重” 数值，由“研发周期三年以上的项目数”核定数据除以“企业全部研发项目数”核定数据得到；</w:t>
      </w:r>
    </w:p>
    <w:p>
      <w:pPr>
        <w:spacing w:line="540" w:lineRule="exact"/>
        <w:ind w:right="160" w:firstLine="600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（五）“新产品销售收入占主营业务收入的比重”数值，由“新产品销售收入”核定数据除以“主营业务收入”核定数据，再乘以本企业所在行业的行业系数得到；</w:t>
      </w:r>
    </w:p>
    <w:p>
      <w:pPr>
        <w:spacing w:line="540" w:lineRule="exact"/>
        <w:ind w:right="160" w:firstLine="600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（六）“新产品销售利润占利润总额的比重”数值，由“新产品销售利润”核定数据除以“利润总额”核定数据，再乘以本企业所在行业的行业系数得到；</w:t>
      </w:r>
    </w:p>
    <w:p>
      <w:pPr>
        <w:widowControl/>
        <w:spacing w:line="540" w:lineRule="exact"/>
        <w:ind w:right="160" w:firstLine="600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（七）“利润率”数值，由“利润总额”核定数据除以“主营业务收入”核定数据得到。</w:t>
      </w:r>
    </w:p>
    <w:p>
      <w:pPr>
        <w:widowControl/>
        <w:spacing w:line="540" w:lineRule="exact"/>
        <w:ind w:left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黑体_GBK" w:cs="Times New Roman"/>
          <w:kern w:val="0"/>
          <w:sz w:val="30"/>
          <w:szCs w:val="30"/>
        </w:rPr>
        <w:t>三、得分计算方法</w:t>
      </w:r>
    </w:p>
    <w:p>
      <w:pPr>
        <w:widowControl/>
        <w:spacing w:line="540" w:lineRule="exact"/>
        <w:ind w:firstLine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获得《江苏省省级企业技术中心评价指标体系》中各项指标的数值后，根据基本要求、满分要求以及相应的计算规则，计算出各项指标的得分，其总和就是该企业的评价得分。</w:t>
      </w:r>
    </w:p>
    <w:p>
      <w:pPr>
        <w:widowControl/>
        <w:spacing w:line="540" w:lineRule="exact"/>
        <w:ind w:left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楷体_GBK" w:cs="Times New Roman"/>
          <w:kern w:val="0"/>
          <w:sz w:val="30"/>
          <w:szCs w:val="30"/>
        </w:rPr>
        <w:t>（一）关于各项指标的基本要求和满分要求</w:t>
      </w:r>
    </w:p>
    <w:p>
      <w:pPr>
        <w:widowControl/>
        <w:spacing w:line="540" w:lineRule="exact"/>
        <w:ind w:right="160" w:firstLine="600"/>
        <w:jc w:val="left"/>
        <w:rPr>
          <w:rFonts w:ascii="Times New Roman" w:hAnsi="Times New Roman" w:eastAsia="方正仿宋_GBK" w:cs="Times New Roman"/>
          <w:kern w:val="0"/>
          <w:sz w:val="30"/>
          <w:szCs w:val="30"/>
        </w:rPr>
        <w:sectPr>
          <w:footerReference r:id="rId5" w:type="first"/>
          <w:footerReference r:id="rId3" w:type="default"/>
          <w:footerReference r:id="rId4" w:type="even"/>
          <w:pgSz w:w="11900" w:h="16838"/>
          <w:pgMar w:top="1440" w:right="1457" w:bottom="1128" w:left="1622" w:header="0" w:footer="454" w:gutter="0"/>
          <w:pgNumType w:fmt="numberInDash" w:start="4"/>
          <w:cols w:equalWidth="0" w:num="1">
            <w:col w:w="8823"/>
          </w:cols>
          <w:docGrid w:linePitch="286" w:charSpace="0"/>
        </w:sect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各项指标的基本要求、满分要求，由已认定省级企业技术中心 历史数据测算得到，并根据江苏省企业技术中心创新发展总体情况进行动态调整。当前基本要求、满分要求的数值见下表。</w:t>
      </w:r>
    </w:p>
    <w:p>
      <w:pPr>
        <w:widowControl/>
        <w:spacing w:line="540" w:lineRule="exact"/>
        <w:jc w:val="left"/>
        <w:rPr>
          <w:rFonts w:ascii="Times New Roman" w:hAnsi="Times New Roman" w:eastAsia="宋体" w:cs="Times New Roman"/>
          <w:kern w:val="0"/>
          <w:sz w:val="30"/>
          <w:szCs w:val="30"/>
        </w:rPr>
        <w:sectPr>
          <w:type w:val="continuous"/>
          <w:pgSz w:w="11900" w:h="16838"/>
          <w:pgMar w:top="1440" w:right="9440" w:bottom="1129" w:left="1620" w:header="0" w:footer="0" w:gutter="0"/>
          <w:cols w:equalWidth="0" w:num="1">
            <w:col w:w="840"/>
          </w:cols>
        </w:sectPr>
      </w:pPr>
    </w:p>
    <w:p>
      <w:pPr>
        <w:widowControl/>
        <w:ind w:left="2160"/>
        <w:jc w:val="left"/>
        <w:rPr>
          <w:rFonts w:ascii="Times New Roman" w:hAnsi="Times New Roman" w:eastAsia="宋体" w:cs="Times New Roman"/>
          <w:kern w:val="0"/>
          <w:sz w:val="20"/>
          <w:szCs w:val="20"/>
        </w:rPr>
      </w:pPr>
      <w:bookmarkStart w:id="1" w:name="page3"/>
      <w:bookmarkEnd w:id="1"/>
      <w:r>
        <w:rPr>
          <w:rFonts w:ascii="Times New Roman" w:hAnsi="Times New Roman" w:eastAsia="方正楷体_GBK" w:cs="Times New Roman"/>
          <w:kern w:val="0"/>
          <w:sz w:val="28"/>
          <w:szCs w:val="28"/>
        </w:rPr>
        <w:t>附表 各项指标基本要求和满分要求</w:t>
      </w:r>
    </w:p>
    <w:p>
      <w:pPr>
        <w:widowControl/>
        <w:spacing w:line="179" w:lineRule="exact"/>
        <w:jc w:val="left"/>
        <w:rPr>
          <w:rFonts w:ascii="Times New Roman" w:hAnsi="Times New Roman" w:eastAsia="宋体" w:cs="Times New Roman"/>
          <w:kern w:val="0"/>
          <w:sz w:val="20"/>
          <w:szCs w:val="20"/>
        </w:rPr>
      </w:pPr>
    </w:p>
    <w:tbl>
      <w:tblPr>
        <w:tblStyle w:val="5"/>
        <w:tblW w:w="87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1"/>
        <w:gridCol w:w="566"/>
        <w:gridCol w:w="565"/>
        <w:gridCol w:w="4189"/>
        <w:gridCol w:w="840"/>
        <w:gridCol w:w="504"/>
        <w:gridCol w:w="850"/>
        <w:gridCol w:w="7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一级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指标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二级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指标</w:t>
            </w:r>
          </w:p>
        </w:tc>
        <w:tc>
          <w:tcPr>
            <w:tcW w:w="5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权重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三级指标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单位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权重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基本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要求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满分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投入</w:t>
            </w: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经费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21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1. 研发人员人均研发经费支出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万元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8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≥5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2. 研发经费支出占主营业务收入的比重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13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≥3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创新人才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15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3. 研发人员占企业职工总数的比重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7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≥3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4. 技术中心拥有的高级专家和博士人数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人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≥5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5. 来技术中心从事研发工作的外聘专家人数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人月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≥15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条件</w:t>
            </w: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技术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积累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14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6. 企业拥有的全部有效专利数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7. 企业拥有的全部有效发明专利数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8. 企业全部研发项目数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9. 研发周期三年以上的项目数占全部研发项目数的比重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平台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11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10.企业技术开发仪器设备原值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万元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≥1000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11.省级以上研发平台数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个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分档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12.通过国家（国际组织）、省认证的实验室和检测机构数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个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绩效</w:t>
            </w: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技术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产出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12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13.当年被受理的专利申请数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14.当年被受理的发明专利申请数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15.最近三年主持和参加制定的国际、国家、行业和团体标准数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创新效益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27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16.新产品销售收入占主营业务收入的比重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11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≥20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17.新产品销售利润占利润总额的比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11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≥15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18.销售利润率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27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加分项</w:t>
            </w:r>
          </w:p>
        </w:tc>
        <w:tc>
          <w:tcPr>
            <w:tcW w:w="5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19.获国家和省科技奖励项目数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≤2</w:t>
            </w: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分档</w:t>
            </w:r>
          </w:p>
        </w:tc>
      </w:tr>
    </w:tbl>
    <w:p>
      <w:pPr>
        <w:widowControl/>
        <w:jc w:val="left"/>
        <w:rPr>
          <w:rFonts w:ascii="Times New Roman" w:hAnsi="Times New Roman" w:eastAsia="宋体" w:cs="Times New Roman"/>
          <w:kern w:val="0"/>
          <w:sz w:val="22"/>
        </w:rPr>
        <w:sectPr>
          <w:pgSz w:w="11900" w:h="16838"/>
          <w:pgMar w:top="1440" w:right="1700" w:bottom="1440" w:left="1620" w:header="0" w:footer="454" w:gutter="0"/>
          <w:pgNumType w:fmt="numberInDash"/>
          <w:cols w:equalWidth="0" w:num="1">
            <w:col w:w="8580"/>
          </w:cols>
          <w:docGrid w:linePitch="286" w:charSpace="0"/>
        </w:sectPr>
      </w:pPr>
    </w:p>
    <w:p>
      <w:pPr>
        <w:overflowPunct w:val="0"/>
        <w:snapToGrid w:val="0"/>
        <w:ind w:firstLine="482"/>
        <w:jc w:val="left"/>
        <w:rPr>
          <w:rFonts w:ascii="Times New Roman" w:hAnsi="Times New Roman" w:eastAsia="方正仿宋_GBK" w:cs="Times New Roman"/>
          <w:b/>
          <w:sz w:val="24"/>
          <w:szCs w:val="44"/>
        </w:rPr>
      </w:pPr>
      <w:r>
        <w:rPr>
          <w:rFonts w:ascii="Times New Roman" w:hAnsi="Times New Roman" w:eastAsia="方正仿宋_GBK" w:cs="Times New Roman"/>
          <w:b/>
          <w:sz w:val="24"/>
          <w:szCs w:val="44"/>
        </w:rPr>
        <w:t>指标说明：</w:t>
      </w:r>
    </w:p>
    <w:p>
      <w:pPr>
        <w:overflowPunct w:val="0"/>
        <w:snapToGrid w:val="0"/>
        <w:ind w:firstLine="482"/>
        <w:jc w:val="left"/>
        <w:rPr>
          <w:rFonts w:ascii="Times New Roman" w:hAnsi="Times New Roman" w:eastAsia="方正楷体_GBK" w:cs="Times New Roman"/>
          <w:b/>
          <w:kern w:val="0"/>
          <w:sz w:val="24"/>
          <w:szCs w:val="28"/>
        </w:rPr>
      </w:pPr>
      <w:r>
        <w:rPr>
          <w:rFonts w:ascii="Times New Roman" w:hAnsi="Times New Roman" w:eastAsia="方正楷体_GBK" w:cs="Times New Roman"/>
          <w:b/>
          <w:kern w:val="0"/>
          <w:sz w:val="24"/>
          <w:szCs w:val="28"/>
        </w:rPr>
        <w:t>11.省级以上研发平台数：</w:t>
      </w:r>
      <w:r>
        <w:rPr>
          <w:rFonts w:ascii="Times New Roman" w:hAnsi="Times New Roman" w:eastAsia="方正仿宋_GBK" w:cs="Times New Roman"/>
          <w:kern w:val="0"/>
          <w:sz w:val="24"/>
          <w:szCs w:val="28"/>
        </w:rPr>
        <w:t>企业获国家级研发平台数，每个加2分；获江苏省级研发平台数，每个加1分。</w:t>
      </w:r>
    </w:p>
    <w:p>
      <w:pPr>
        <w:overflowPunct w:val="0"/>
        <w:snapToGrid w:val="0"/>
        <w:ind w:firstLine="482"/>
        <w:rPr>
          <w:rFonts w:ascii="Times New Roman" w:hAnsi="Times New Roman" w:eastAsia="方正仿宋_GBK" w:cs="Times New Roman"/>
          <w:kern w:val="0"/>
          <w:sz w:val="24"/>
          <w:szCs w:val="28"/>
        </w:rPr>
      </w:pPr>
      <w:r>
        <w:rPr>
          <w:rFonts w:ascii="Times New Roman" w:hAnsi="Times New Roman" w:eastAsia="方正楷体_GBK" w:cs="Times New Roman"/>
          <w:b/>
          <w:kern w:val="0"/>
          <w:sz w:val="24"/>
          <w:szCs w:val="28"/>
        </w:rPr>
        <w:t>17.新产品销售利润占利润总额的比重：</w:t>
      </w:r>
      <w:r>
        <w:rPr>
          <w:rFonts w:ascii="Times New Roman" w:hAnsi="Times New Roman" w:eastAsia="方正仿宋_GBK" w:cs="Times New Roman"/>
          <w:kern w:val="0"/>
          <w:sz w:val="24"/>
          <w:szCs w:val="28"/>
        </w:rPr>
        <w:t>当新产品销售利润≤0时，该项得分为0分；当新产品销售利润＞0且利润总额≤0时，该项得分为6分；其他情况按照指标得分计算规则评分。</w:t>
      </w:r>
    </w:p>
    <w:p>
      <w:pPr>
        <w:overflowPunct w:val="0"/>
        <w:snapToGrid w:val="0"/>
        <w:ind w:firstLine="482"/>
        <w:rPr>
          <w:rFonts w:ascii="Times New Roman" w:hAnsi="Times New Roman" w:eastAsia="方正仿宋_GBK" w:cs="Times New Roman"/>
          <w:kern w:val="0"/>
          <w:sz w:val="24"/>
          <w:szCs w:val="28"/>
        </w:rPr>
      </w:pPr>
      <w:r>
        <w:rPr>
          <w:rFonts w:ascii="Times New Roman" w:hAnsi="Times New Roman" w:eastAsia="方正楷体_GBK" w:cs="Times New Roman"/>
          <w:b/>
          <w:kern w:val="0"/>
          <w:sz w:val="24"/>
          <w:szCs w:val="28"/>
        </w:rPr>
        <w:t>18.销售利润率：</w:t>
      </w:r>
      <w:r>
        <w:rPr>
          <w:rFonts w:ascii="Times New Roman" w:hAnsi="Times New Roman" w:eastAsia="方正仿宋_GBK" w:cs="Times New Roman"/>
          <w:kern w:val="0"/>
          <w:sz w:val="24"/>
          <w:szCs w:val="28"/>
        </w:rPr>
        <w:t>当利润总额≤0时，该项得分为0分；其他情况按照指标得分计算规则评分。</w:t>
      </w:r>
    </w:p>
    <w:p>
      <w:pPr>
        <w:overflowPunct w:val="0"/>
        <w:snapToGrid w:val="0"/>
        <w:ind w:firstLine="482"/>
        <w:rPr>
          <w:rFonts w:ascii="Times New Roman" w:hAnsi="Times New Roman" w:eastAsia="方正仿宋_GBK" w:cs="Times New Roman"/>
          <w:kern w:val="0"/>
          <w:sz w:val="24"/>
          <w:szCs w:val="28"/>
        </w:rPr>
      </w:pPr>
      <w:r>
        <w:rPr>
          <w:rFonts w:ascii="Times New Roman" w:hAnsi="Times New Roman" w:eastAsia="方正楷体_GBK" w:cs="Times New Roman"/>
          <w:b/>
          <w:kern w:val="0"/>
          <w:sz w:val="24"/>
          <w:szCs w:val="28"/>
        </w:rPr>
        <w:t>19.获国家和省科技奖励项目数：</w:t>
      </w:r>
      <w:r>
        <w:rPr>
          <w:rFonts w:ascii="Times New Roman" w:hAnsi="Times New Roman" w:eastAsia="方正仿宋_GBK" w:cs="Times New Roman"/>
          <w:kern w:val="0"/>
          <w:sz w:val="24"/>
          <w:szCs w:val="28"/>
        </w:rPr>
        <w:t>企业作为主要完成单位或企业员工作为主要完成人获国家科技奖励，加2分；获江苏省科技奖励，每项加1分。</w:t>
      </w:r>
    </w:p>
    <w:p>
      <w:pPr>
        <w:widowControl/>
        <w:rPr>
          <w:rFonts w:ascii="Times New Roman" w:hAnsi="Times New Roman" w:eastAsia="宋体" w:cs="Times New Roman"/>
        </w:rPr>
      </w:pPr>
    </w:p>
    <w:p>
      <w:pPr>
        <w:widowControl/>
        <w:spacing w:line="239" w:lineRule="auto"/>
        <w:ind w:left="600"/>
        <w:jc w:val="left"/>
        <w:rPr>
          <w:rFonts w:ascii="Times New Roman" w:hAnsi="Times New Roman" w:eastAsia="方正楷体_GBK" w:cs="Times New Roman"/>
          <w:kern w:val="0"/>
          <w:sz w:val="30"/>
          <w:szCs w:val="30"/>
        </w:rPr>
      </w:pPr>
      <w:r>
        <w:rPr>
          <w:rFonts w:hint="eastAsia" w:ascii="Times New Roman" w:hAnsi="Times New Roman" w:eastAsia="方正楷体_GBK" w:cs="Times New Roman"/>
          <w:kern w:val="0"/>
          <w:sz w:val="30"/>
          <w:szCs w:val="30"/>
          <w:lang w:eastAsia="zh-CN"/>
        </w:rPr>
        <w:t>（</w:t>
      </w:r>
      <w:r>
        <w:rPr>
          <w:rFonts w:ascii="Times New Roman" w:hAnsi="Times New Roman" w:eastAsia="方正楷体_GBK" w:cs="Times New Roman"/>
          <w:kern w:val="0"/>
          <w:sz w:val="30"/>
          <w:szCs w:val="30"/>
        </w:rPr>
        <w:t>二</w:t>
      </w:r>
      <w:r>
        <w:rPr>
          <w:rFonts w:hint="eastAsia" w:ascii="Times New Roman" w:hAnsi="Times New Roman" w:eastAsia="方正楷体_GBK" w:cs="Times New Roman"/>
          <w:kern w:val="0"/>
          <w:sz w:val="30"/>
          <w:szCs w:val="30"/>
          <w:lang w:eastAsia="zh-CN"/>
        </w:rPr>
        <w:t>）</w:t>
      </w:r>
      <w:r>
        <w:rPr>
          <w:rFonts w:ascii="Times New Roman" w:hAnsi="Times New Roman" w:eastAsia="方正楷体_GBK" w:cs="Times New Roman"/>
          <w:kern w:val="0"/>
          <w:sz w:val="30"/>
          <w:szCs w:val="30"/>
        </w:rPr>
        <w:t>指标得分计算规则</w:t>
      </w:r>
    </w:p>
    <w:p>
      <w:pPr>
        <w:widowControl/>
        <w:ind w:firstLine="640" w:firstLineChars="200"/>
        <w:jc w:val="left"/>
        <w:rPr>
          <w:rFonts w:ascii="Times New Roman" w:hAnsi="Times New Roman" w:eastAsia="黑体" w:cs="Times New Roman"/>
          <w:sz w:val="32"/>
          <w:szCs w:val="32"/>
        </w:rPr>
      </w:pPr>
    </w:p>
    <w:p>
      <w:pPr>
        <w:widowControl/>
        <w:snapToGrid w:val="0"/>
        <w:jc w:val="center"/>
        <w:rPr>
          <w:rFonts w:ascii="Times New Roman" w:hAnsi="Times New Roman" w:eastAsia="宋体" w:cs="Times New Roman"/>
          <w:b/>
          <w:szCs w:val="21"/>
        </w:rPr>
      </w:pPr>
      <w:r>
        <w:rPr>
          <w:rFonts w:ascii="Times New Roman" w:hAnsi="Times New Roman" w:eastAsia="宋体" w:cs="Times New Roman"/>
          <w:b/>
          <w:szCs w:val="21"/>
        </w:rPr>
        <w:drawing>
          <wp:inline distT="0" distB="0" distL="0" distR="0">
            <wp:extent cx="4648200" cy="2649855"/>
            <wp:effectExtent l="0" t="0" r="0" b="0"/>
            <wp:docPr id="1" name="图片 1" descr="C:\Users\ZhangHui\AppData\Local\Temp\1569162627(1).png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ZhangHui\AppData\Local\Temp\1569162627(1).png"/>
                    <pic:cNvPicPr>
                      <a:picLocks noChangeAspect="true" noChangeArrowheads="true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false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60951" cy="2657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napToGrid w:val="0"/>
        <w:jc w:val="center"/>
        <w:rPr>
          <w:rFonts w:ascii="Times New Roman" w:hAnsi="Times New Roman" w:eastAsia="方正黑体_GBK" w:cs="Times New Roman"/>
          <w:b/>
          <w:sz w:val="28"/>
          <w:szCs w:val="28"/>
        </w:rPr>
      </w:pPr>
      <w:r>
        <w:rPr>
          <w:rFonts w:ascii="Times New Roman" w:hAnsi="Times New Roman" w:eastAsia="方正黑体_GBK" w:cs="Times New Roman"/>
          <w:kern w:val="0"/>
          <w:sz w:val="28"/>
          <w:szCs w:val="28"/>
        </w:rPr>
        <w:t>分段线性插值算法示意图</w:t>
      </w:r>
    </w:p>
    <w:p>
      <w:pPr>
        <w:widowControl/>
        <w:spacing w:line="388" w:lineRule="auto"/>
        <w:ind w:right="160" w:firstLine="600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1．指标数值大于或等于满分要求时，指标得分为满分，即指标得分等于上表中的权重；</w:t>
      </w:r>
    </w:p>
    <w:p>
      <w:pPr>
        <w:widowControl/>
        <w:spacing w:line="388" w:lineRule="auto"/>
        <w:ind w:right="160" w:firstLine="600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2．指标数值等于基本要求时，指标得分为权重的60%；</w:t>
      </w:r>
    </w:p>
    <w:p>
      <w:pPr>
        <w:widowControl/>
        <w:spacing w:line="388" w:lineRule="auto"/>
        <w:ind w:right="160" w:firstLine="600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3．指标数值为0 时，指标得分为0；</w:t>
      </w:r>
    </w:p>
    <w:p>
      <w:pPr>
        <w:widowControl/>
        <w:spacing w:line="388" w:lineRule="auto"/>
        <w:ind w:right="160" w:firstLine="600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4．指标数值处于0 和基本要求之间时，指标得分按线性插值的方法计算，具体计算公式为：</w:t>
      </w:r>
    </w:p>
    <w:p>
      <w:pPr>
        <w:widowControl/>
        <w:snapToGrid w:val="0"/>
        <w:jc w:val="center"/>
        <w:rPr>
          <w:rFonts w:ascii="Times New Roman" w:hAnsi="Times New Roman" w:eastAsia="方正黑体_GBK" w:cs="Times New Roman"/>
          <w:kern w:val="0"/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hAnsi="Cambria Math" w:eastAsia="方正黑体_GBK" w:cs="Times New Roman"/>
              <w:kern w:val="0"/>
              <w:sz w:val="28"/>
              <w:szCs w:val="28"/>
            </w:rPr>
            <m:t>指标得分=</m:t>
          </m:r>
          <m:f>
            <m:fP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指标数值</m:t>
              </m: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num>
            <m:den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基本要求</m:t>
              </m: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den>
          </m:f>
          <m:r>
            <m:rPr>
              <m:sty m:val="p"/>
            </m:rPr>
            <w:rPr>
              <w:rFonts w:ascii="Cambria Math" w:hAnsi="Cambria Math" w:eastAsia="方正黑体_GBK" w:cs="Times New Roman"/>
              <w:kern w:val="0"/>
              <w:sz w:val="28"/>
              <w:szCs w:val="28"/>
            </w:rPr>
            <m:t>×权重的60%</m:t>
          </m:r>
        </m:oMath>
      </m:oMathPara>
    </w:p>
    <w:p>
      <w:pPr>
        <w:widowControl/>
        <w:spacing w:line="388" w:lineRule="auto"/>
        <w:ind w:right="160" w:firstLine="600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5．指标数值处于基本要求和满分要求之间时，指标得分按线性插值的方法计算，具体计算公式为：</w:t>
      </w:r>
    </w:p>
    <w:p>
      <w:pPr>
        <w:widowControl/>
        <w:snapToGrid w:val="0"/>
        <w:jc w:val="center"/>
        <w:rPr>
          <w:rFonts w:ascii="Times New Roman" w:hAnsi="Times New Roman" w:eastAsia="方正仿宋_GBK" w:cs="Times New Roman"/>
          <w:kern w:val="0"/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hAnsi="Cambria Math" w:eastAsia="方正黑体_GBK" w:cs="Times New Roman"/>
              <w:kern w:val="0"/>
              <w:sz w:val="28"/>
              <w:szCs w:val="28"/>
            </w:rPr>
            <m:t>指标得分=</m:t>
          </m:r>
          <m:f>
            <m:fP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指标数值</m:t>
              </m:r>
              <m:r>
                <m:rPr>
                  <m:sty m:val="p"/>
                </m:rPr>
                <w:rPr>
                  <w:rFonts w:ascii="Cambria Math" w:hAnsi="Cambria Math" w:eastAsia="微软雅黑" w:cs="Times New Roman"/>
                  <w:kern w:val="0"/>
                  <w:sz w:val="28"/>
                  <w:szCs w:val="28"/>
                </w:rPr>
                <m:t>−</m:t>
              </m:r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基本要求</m:t>
              </m: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num>
            <m:den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满分要求</m:t>
              </m:r>
              <m:r>
                <m:rPr>
                  <m:sty m:val="p"/>
                </m:rPr>
                <w:rPr>
                  <w:rFonts w:ascii="Cambria Math" w:hAnsi="Cambria Math" w:eastAsia="微软雅黑" w:cs="Times New Roman"/>
                  <w:kern w:val="0"/>
                  <w:sz w:val="28"/>
                  <w:szCs w:val="28"/>
                </w:rPr>
                <m:t>−</m:t>
              </m:r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基本要求</m:t>
              </m: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den>
          </m:f>
          <m:r>
            <m:rPr>
              <m:sty m:val="p"/>
            </m:rPr>
            <w:rPr>
              <w:rFonts w:ascii="Cambria Math" w:hAnsi="Cambria Math" w:eastAsia="方正黑体_GBK" w:cs="Times New Roman"/>
              <w:kern w:val="0"/>
              <w:sz w:val="28"/>
              <w:szCs w:val="28"/>
            </w:rPr>
            <m:t>×权重的40%+权重的60%</m:t>
          </m:r>
        </m:oMath>
      </m:oMathPara>
    </w:p>
    <w:p>
      <w:pPr>
        <w:widowControl/>
        <w:snapToGrid w:val="0"/>
        <w:spacing w:line="360" w:lineRule="auto"/>
        <w:ind w:left="944" w:leftChars="271" w:hanging="375" w:hangingChars="134"/>
        <w:rPr>
          <w:rFonts w:ascii="Times New Roman" w:hAnsi="Times New Roman" w:eastAsia="宋体" w:cs="Times New Roman"/>
          <w:kern w:val="0"/>
          <w:sz w:val="28"/>
          <w:szCs w:val="28"/>
        </w:rPr>
      </w:pPr>
    </w:p>
    <w:p>
      <w:pPr>
        <w:widowControl/>
        <w:spacing w:line="239" w:lineRule="auto"/>
        <w:ind w:left="600"/>
        <w:jc w:val="left"/>
        <w:rPr>
          <w:rFonts w:ascii="Times New Roman" w:hAnsi="Times New Roman" w:eastAsia="方正楷体_GBK" w:cs="Times New Roman"/>
          <w:kern w:val="0"/>
          <w:sz w:val="30"/>
          <w:szCs w:val="30"/>
        </w:rPr>
      </w:pPr>
      <w:r>
        <w:rPr>
          <w:rFonts w:hint="eastAsia" w:ascii="Times New Roman" w:hAnsi="Times New Roman" w:eastAsia="方正楷体_GBK" w:cs="Times New Roman"/>
          <w:kern w:val="0"/>
          <w:sz w:val="30"/>
          <w:szCs w:val="30"/>
          <w:lang w:eastAsia="zh-CN"/>
        </w:rPr>
        <w:t>（</w:t>
      </w:r>
      <w:r>
        <w:rPr>
          <w:rFonts w:ascii="Times New Roman" w:hAnsi="Times New Roman" w:eastAsia="方正楷体_GBK" w:cs="Times New Roman"/>
          <w:kern w:val="0"/>
          <w:sz w:val="30"/>
          <w:szCs w:val="30"/>
        </w:rPr>
        <w:t>三</w:t>
      </w:r>
      <w:r>
        <w:rPr>
          <w:rFonts w:hint="eastAsia" w:ascii="Times New Roman" w:hAnsi="Times New Roman" w:eastAsia="方正楷体_GBK" w:cs="Times New Roman"/>
          <w:kern w:val="0"/>
          <w:sz w:val="30"/>
          <w:szCs w:val="30"/>
          <w:lang w:eastAsia="zh-CN"/>
        </w:rPr>
        <w:t>）</w:t>
      </w:r>
      <w:r>
        <w:rPr>
          <w:rFonts w:ascii="Times New Roman" w:hAnsi="Times New Roman" w:eastAsia="方正楷体_GBK" w:cs="Times New Roman"/>
          <w:kern w:val="0"/>
          <w:sz w:val="30"/>
          <w:szCs w:val="30"/>
        </w:rPr>
        <w:t>《评价指标体系》行业系数</w:t>
      </w:r>
    </w:p>
    <w:p>
      <w:pPr>
        <w:widowControl/>
        <w:spacing w:line="388" w:lineRule="auto"/>
        <w:ind w:right="160" w:firstLine="600"/>
        <w:jc w:val="left"/>
        <w:rPr>
          <w:rFonts w:ascii="Times New Roman" w:hAnsi="Times New Roman" w:eastAsia="方正仿宋_GBK" w:cs="Times New Roman"/>
          <w:b w:val="0"/>
          <w:bCs/>
          <w:kern w:val="0"/>
          <w:sz w:val="28"/>
          <w:szCs w:val="28"/>
        </w:rPr>
      </w:pPr>
      <w:r>
        <w:rPr>
          <w:rFonts w:hint="eastAsia" w:ascii="Times New Roman" w:hAnsi="Times New Roman" w:eastAsia="方正仿宋_GBK" w:cs="Times New Roman"/>
          <w:b w:val="0"/>
          <w:bCs/>
          <w:kern w:val="0"/>
          <w:sz w:val="28"/>
          <w:szCs w:val="28"/>
        </w:rPr>
        <w:t>当前行业系数见下表：</w:t>
      </w:r>
    </w:p>
    <w:tbl>
      <w:tblPr>
        <w:tblStyle w:val="5"/>
        <w:tblW w:w="88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2"/>
        <w:gridCol w:w="3690"/>
        <w:gridCol w:w="1515"/>
        <w:gridCol w:w="1500"/>
        <w:gridCol w:w="13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3" w:hRule="atLeast"/>
          <w:tblHeader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行业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代码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行业名称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研发经费支出占主营业务收入的比重</w:t>
            </w:r>
          </w:p>
        </w:tc>
        <w:tc>
          <w:tcPr>
            <w:tcW w:w="15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新产品销售收入占主营业务收入的比重</w:t>
            </w:r>
          </w:p>
        </w:tc>
        <w:tc>
          <w:tcPr>
            <w:tcW w:w="138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新产品销售利润占利润总额的比重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13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农副食品加工业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2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2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14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食品制造业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2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2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17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纺织业、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2"/>
                <w:lang w:bidi="ar"/>
              </w:rPr>
              <w:t>服饰业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20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木材加工和木、竹、藤、棕、草制品业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2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2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22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造纸和纸制品业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24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文教、工美、体育和娱乐用品制造业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2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2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26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化学原料和化学制品制造业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27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医药制造业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28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2"/>
                <w:lang w:bidi="ar"/>
              </w:rPr>
              <w:t>化学纤维制造业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29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橡胶和塑料制品业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30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非金属矿物制品业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31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黑色金属冶炼和压延加工业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1.5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32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有色金属冶炼和压延加工业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2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2"/>
              </w:rPr>
              <w:t>1.4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33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金属制品业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34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通用设备制造业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35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专用设备制造业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36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汽车制造业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37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铁路、船舶、航空航天和其他运输设备制造业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38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电气机械和器材制造业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39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计算机、通信和其他电子设备制造业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40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仪器仪表制造业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65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2"/>
                <w:lang w:bidi="ar"/>
              </w:rPr>
              <w:t>软件和信息技术服务业、专业技术服务业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77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2"/>
                <w:lang w:bidi="ar"/>
              </w:rPr>
              <w:t>生态保护和环境治理业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100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其他</w:t>
            </w:r>
            <w:bookmarkStart w:id="2" w:name="_GoBack"/>
            <w:bookmarkEnd w:id="2"/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1.5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1.5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</w:tbl>
    <w:p>
      <w:pPr>
        <w:widowControl/>
        <w:snapToGrid w:val="0"/>
        <w:rPr>
          <w:rFonts w:ascii="Times New Roman" w:hAnsi="Times New Roman" w:eastAsia="宋体" w:cs="Times New Roman"/>
          <w:b/>
          <w:kern w:val="0"/>
          <w:sz w:val="11"/>
          <w:szCs w:val="11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0" w:firstLine="481" w:firstLineChars="200"/>
        <w:textAlignment w:val="auto"/>
        <w:rPr>
          <w:rFonts w:ascii="Times New Roman" w:hAnsi="Times New Roman" w:eastAsia="宋体" w:cs="Times New Roman"/>
          <w:b/>
          <w:kern w:val="0"/>
          <w:sz w:val="24"/>
          <w:szCs w:val="24"/>
        </w:rPr>
      </w:pPr>
      <w:r>
        <w:rPr>
          <w:rFonts w:ascii="Times New Roman" w:hAnsi="Times New Roman" w:eastAsia="宋体" w:cs="Times New Roman"/>
          <w:b/>
          <w:kern w:val="0"/>
          <w:sz w:val="24"/>
          <w:szCs w:val="24"/>
        </w:rPr>
        <w:t>说明：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0" w:firstLine="480" w:firstLineChars="200"/>
        <w:textAlignment w:val="auto"/>
        <w:rPr>
          <w:rFonts w:hint="default" w:ascii="Times New Roman" w:hAnsi="Times New Roman" w:eastAsia="方正仿宋_GBK" w:cs="Times New Roman"/>
          <w:kern w:val="0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kern w:val="0"/>
          <w:sz w:val="24"/>
          <w:szCs w:val="24"/>
        </w:rPr>
        <w:t>1．由于不同行业在研发投入与产出方面存在较大差异，技术中心评价时，对不同行业企业“研发经费支出占主营业务收入的比重”、“新产品销售收入占主营业务收入的比重”、“新产品销售利润占利润总额的比重”三个指标引入行业系数加以调节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firstLine="480" w:firstLineChars="200"/>
        <w:textAlignment w:val="auto"/>
        <w:rPr>
          <w:rFonts w:hint="default" w:ascii="Times New Roman" w:hAnsi="Times New Roman" w:eastAsia="方正仿宋_GBK" w:cs="Times New Roman"/>
          <w:color w:val="FF0000"/>
          <w:kern w:val="0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kern w:val="0"/>
          <w:sz w:val="24"/>
          <w:szCs w:val="24"/>
        </w:rPr>
        <w:t>2．企业填报数据表时无需考虑行业系数，按实际数据填报。评价时，根据企业填报的实际数据计算得出上述指标的比重，再乘以行业系数，得出指标的评价值。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firstLine="480" w:firstLineChars="200"/>
        <w:textAlignment w:val="auto"/>
        <w:rPr>
          <w:rFonts w:hint="default" w:ascii="Times New Roman" w:hAnsi="Times New Roman" w:eastAsia="方正仿宋_GBK" w:cs="Times New Roman"/>
          <w:kern w:val="0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kern w:val="0"/>
          <w:sz w:val="24"/>
          <w:szCs w:val="24"/>
        </w:rPr>
        <w:t>3．</w:t>
      </w:r>
      <w:r>
        <w:rPr>
          <w:rFonts w:hint="default" w:ascii="Times New Roman" w:hAnsi="Times New Roman" w:eastAsia="方正仿宋_GBK" w:cs="Times New Roman"/>
          <w:b w:val="0"/>
          <w:bCs/>
          <w:kern w:val="0"/>
          <w:sz w:val="24"/>
          <w:szCs w:val="24"/>
        </w:rPr>
        <w:t>行业系数表中的“其他”行业包括“交通运输、仓储和邮政业”、“煤炭开采和洗选业”、“石油和天然气开采业”、“废弃资源综合利用业”、“建筑装饰、装修和其他建筑业”等行业。</w:t>
      </w:r>
      <w:r>
        <w:rPr>
          <w:rFonts w:hint="default" w:ascii="Times New Roman" w:hAnsi="Times New Roman" w:eastAsia="方正仿宋_GBK" w:cs="Times New Roman"/>
          <w:b/>
          <w:kern w:val="0"/>
          <w:sz w:val="24"/>
          <w:szCs w:val="24"/>
        </w:rPr>
        <w:t xml:space="preserve"> </w:t>
      </w:r>
    </w:p>
    <w:sectPr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Cambria Math">
    <w:altName w:val="DejaVu Math TeX Gyre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DejaVu Math TeX Gyre">
    <w:panose1 w:val="02000503000000000000"/>
    <w:charset w:val="00"/>
    <w:family w:val="auto"/>
    <w:pitch w:val="default"/>
    <w:sig w:usb0="A10000EF" w:usb1="4201F9EE" w:usb2="02000000" w:usb3="00000000" w:csb0="60000193" w:csb1="0DD4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048980589"/>
      <w:docPartObj>
        <w:docPartGallery w:val="autotext"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>
        <w:pPr>
          <w:pStyle w:val="3"/>
          <w:ind w:right="360"/>
          <w:jc w:val="right"/>
          <w:rPr>
            <w:rFonts w:ascii="Times New Roman" w:hAnsi="Times New Roman" w:cs="Times New Roman"/>
            <w:sz w:val="24"/>
            <w:szCs w:val="24"/>
          </w:rPr>
        </w:pPr>
        <w:r>
          <w:rPr>
            <w:rFonts w:ascii="Times New Roman" w:hAnsi="Times New Roman" w:cs="Times New Roman"/>
            <w:sz w:val="24"/>
            <w:szCs w:val="24"/>
          </w:rPr>
          <w:fldChar w:fldCharType="begin"/>
        </w:r>
        <w:r>
          <w:rPr>
            <w:rFonts w:ascii="Times New Roman" w:hAnsi="Times New Roman" w:cs="Times New Roman"/>
            <w:sz w:val="24"/>
            <w:szCs w:val="24"/>
          </w:rPr>
          <w:instrText xml:space="preserve">PAGE   \* MERGEFORMAT</w:instrText>
        </w:r>
        <w:r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sz w:val="24"/>
            <w:szCs w:val="24"/>
            <w:lang w:val="zh-CN"/>
          </w:rPr>
          <w:t>-</w:t>
        </w:r>
        <w:r>
          <w:rPr>
            <w:rFonts w:ascii="Times New Roman" w:hAnsi="Times New Roman" w:cs="Times New Roman"/>
            <w:sz w:val="24"/>
            <w:szCs w:val="24"/>
          </w:rPr>
          <w:t xml:space="preserve"> 9 -</w:t>
        </w:r>
        <w:r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>
    <w:pPr>
      <w:pStyle w:val="3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Times New Roman" w:hAnsi="Times New Roman" w:cs="Times New Roman"/>
        <w:sz w:val="24"/>
        <w:szCs w:val="24"/>
      </w:rPr>
      <w:id w:val="-556773543"/>
      <w:docPartObj>
        <w:docPartGallery w:val="autotext"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>
        <w:pPr>
          <w:pStyle w:val="3"/>
          <w:ind w:right="840"/>
          <w:rPr>
            <w:rFonts w:ascii="Times New Roman" w:hAnsi="Times New Roman" w:cs="Times New Roman"/>
            <w:sz w:val="24"/>
            <w:szCs w:val="24"/>
          </w:rPr>
        </w:pPr>
        <w:r>
          <w:rPr>
            <w:rFonts w:ascii="Times New Roman" w:hAnsi="Times New Roman" w:cs="Times New Roman"/>
            <w:sz w:val="24"/>
            <w:szCs w:val="24"/>
          </w:rPr>
          <w:fldChar w:fldCharType="begin"/>
        </w:r>
        <w:r>
          <w:rPr>
            <w:rFonts w:ascii="Times New Roman" w:hAnsi="Times New Roman" w:cs="Times New Roman"/>
            <w:sz w:val="24"/>
            <w:szCs w:val="24"/>
          </w:rPr>
          <w:instrText xml:space="preserve">PAGE   \* MERGEFORMAT</w:instrText>
        </w:r>
        <w:r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sz w:val="24"/>
            <w:szCs w:val="24"/>
          </w:rPr>
          <w:t>- 8 -</w:t>
        </w:r>
        <w:r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>
    <w:pPr>
      <w:pStyle w:val="3"/>
      <w:rPr>
        <w:rFonts w:ascii="Times New Roman" w:hAnsi="Times New Roman" w:cs="Times New Roman"/>
        <w:sz w:val="24"/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tabs>
        <w:tab w:val="center" w:pos="4410"/>
        <w:tab w:val="left" w:pos="6236"/>
      </w:tabs>
    </w:pPr>
    <w:r>
      <w:tab/>
    </w:r>
    <w:r>
      <w:tab/>
    </w:r>
    <w:sdt>
      <w:sdtPr>
        <w:id w:val="492923372"/>
        <w:docPartObj>
          <w:docPartGallery w:val="autotext"/>
        </w:docPartObj>
      </w:sdtPr>
      <w:sdtContent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-</w:t>
        </w:r>
        <w:r>
          <w:t xml:space="preserve"> 4 -</w:t>
        </w:r>
        <w:r>
          <w:fldChar w:fldCharType="end"/>
        </w:r>
      </w:sdtContent>
    </w:sdt>
    <w:r>
      <w:tab/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6"/>
  <w:bordersDoNotSurroundHeader w:val="true"/>
  <w:bordersDoNotSurroundFooter w:val="true"/>
  <w:documentProtection w:enforcement="0"/>
  <w:defaultTabStop w:val="420"/>
  <w:evenAndOddHeaders w:val="true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194"/>
    <w:rsid w:val="000227AF"/>
    <w:rsid w:val="000E6162"/>
    <w:rsid w:val="0012573A"/>
    <w:rsid w:val="00226B68"/>
    <w:rsid w:val="00247D5E"/>
    <w:rsid w:val="00272D48"/>
    <w:rsid w:val="002D563F"/>
    <w:rsid w:val="00505442"/>
    <w:rsid w:val="00534C17"/>
    <w:rsid w:val="00557F64"/>
    <w:rsid w:val="0056191E"/>
    <w:rsid w:val="005926FA"/>
    <w:rsid w:val="00670AB6"/>
    <w:rsid w:val="006C59EA"/>
    <w:rsid w:val="006E7810"/>
    <w:rsid w:val="006F4179"/>
    <w:rsid w:val="00773F9C"/>
    <w:rsid w:val="008C2416"/>
    <w:rsid w:val="008F1FA4"/>
    <w:rsid w:val="0098429B"/>
    <w:rsid w:val="009C5A6C"/>
    <w:rsid w:val="00A266DF"/>
    <w:rsid w:val="00A51B02"/>
    <w:rsid w:val="00AE4F14"/>
    <w:rsid w:val="00B02153"/>
    <w:rsid w:val="00B14A04"/>
    <w:rsid w:val="00C302A1"/>
    <w:rsid w:val="00C43B69"/>
    <w:rsid w:val="00D67407"/>
    <w:rsid w:val="00E263B4"/>
    <w:rsid w:val="00E279A7"/>
    <w:rsid w:val="00E32194"/>
    <w:rsid w:val="00F542CA"/>
    <w:rsid w:val="00FE0230"/>
    <w:rsid w:val="99DEB7B8"/>
    <w:rsid w:val="DEFFEFD5"/>
    <w:rsid w:val="EFF37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491</Words>
  <Characters>2800</Characters>
  <Lines>23</Lines>
  <Paragraphs>6</Paragraphs>
  <TotalTime>19</TotalTime>
  <ScaleCrop>false</ScaleCrop>
  <LinksUpToDate>false</LinksUpToDate>
  <CharactersWithSpaces>3285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2022-03-21T06:19:00Z</dcterms:created>
  <dc:creator>PC</dc:creator>
  <cp:lastModifiedBy>uos</cp:lastModifiedBy>
  <cp:lastPrinted>2022-03-21T19:48:00Z</cp:lastPrinted>
  <dcterms:modified xsi:type="dcterms:W3CDTF">2022-03-27T11:12:03Z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