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people.xml" ContentType="application/vnd.openxmlformats-officedocument.wordprocessingml.peop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>
      <w:pPr>
        <w:widowControl/>
        <w:jc w:val="left"/>
        <w:rPr>
          <w:rFonts w:ascii="方正楷体_GBK" w:hAnsi="方正仿宋_GBK" w:eastAsia="方正楷体_GBK"/>
          <w:color w:val="000000" w:themeColor="text1"/>
          <w:sz w:val="32"/>
          <w:szCs w:val="30"/>
          <w14:textFill>
            <w14:solidFill>
              <w14:schemeClr w14:val="tx1"/>
            </w14:solidFill>
          </w14:textFill>
        </w:rPr>
      </w:pPr>
      <w:r>
        <w:rPr>
          <w:rFonts w:hint="eastAsia" w:ascii="方正楷体_GBK" w:hAnsi="方正仿宋_GBK" w:eastAsia="方正楷体_GBK"/>
          <w:color w:val="000000" w:themeColor="text1"/>
          <w:sz w:val="32"/>
          <w:szCs w:val="30"/>
          <w14:textFill>
            <w14:solidFill>
              <w14:schemeClr w14:val="tx1"/>
            </w14:solidFill>
          </w14:textFill>
        </w:rPr>
        <w:t>附件</w:t>
      </w:r>
      <w:r>
        <w:rPr>
          <w:rFonts w:ascii="方正楷体_GBK" w:hAnsi="方正仿宋_GBK" w:eastAsia="方正楷体_GBK"/>
          <w:color w:val="000000" w:themeColor="text1"/>
          <w:sz w:val="32"/>
          <w:szCs w:val="30"/>
          <w14:textFill>
            <w14:solidFill>
              <w14:schemeClr w14:val="tx1"/>
            </w14:solidFill>
          </w14:textFill>
        </w:rPr>
        <w:t>1</w:t>
      </w:r>
      <w:r>
        <w:rPr>
          <w:rFonts w:hint="eastAsia" w:ascii="方正楷体_GBK" w:hAnsi="方正仿宋_GBK" w:eastAsia="方正楷体_GBK"/>
          <w:color w:val="000000" w:themeColor="text1"/>
          <w:sz w:val="32"/>
          <w:szCs w:val="30"/>
          <w14:textFill>
            <w14:solidFill>
              <w14:schemeClr w14:val="tx1"/>
            </w14:solidFill>
          </w14:textFill>
        </w:rPr>
        <w:t>：</w:t>
      </w:r>
    </w:p>
    <w:p>
      <w:pPr>
        <w:jc w:val="center"/>
        <w:rPr>
          <w:rFonts w:ascii="黑体" w:hAnsi="黑体"/>
          <w:color w:val="000000" w:themeColor="text1"/>
          <w:sz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/>
          <w:color w:val="000000" w:themeColor="text1"/>
          <w:sz w:val="32"/>
          <w:szCs w:val="30"/>
          <w14:textFill>
            <w14:solidFill>
              <w14:schemeClr w14:val="tx1"/>
            </w14:solidFill>
          </w14:textFill>
        </w:rPr>
        <w:t>省</w:t>
      </w:r>
      <w:r>
        <w:rPr>
          <w:rFonts w:hint="eastAsia" w:ascii="黑体" w:hAnsi="黑体" w:eastAsia="黑体"/>
          <w:color w:val="000000" w:themeColor="text1"/>
          <w:sz w:val="32"/>
          <w14:textFill>
            <w14:solidFill>
              <w14:schemeClr w14:val="tx1"/>
            </w14:solidFill>
          </w14:textFill>
        </w:rPr>
        <w:t>“互联网</w:t>
      </w:r>
      <w:r>
        <w:rPr>
          <w:rFonts w:ascii="黑体" w:hAnsi="黑体" w:eastAsia="黑体"/>
          <w:color w:val="000000" w:themeColor="text1"/>
          <w:sz w:val="32"/>
          <w14:textFill>
            <w14:solidFill>
              <w14:schemeClr w14:val="tx1"/>
            </w14:solidFill>
          </w14:textFill>
        </w:rPr>
        <w:t>+先进制造业</w:t>
      </w:r>
      <w:r>
        <w:rPr>
          <w:rFonts w:hint="eastAsia" w:ascii="黑体" w:hAnsi="黑体" w:eastAsia="黑体"/>
          <w:color w:val="000000" w:themeColor="text1"/>
          <w:sz w:val="32"/>
          <w14:textFill>
            <w14:solidFill>
              <w14:schemeClr w14:val="tx1"/>
            </w14:solidFill>
          </w14:textFill>
        </w:rPr>
        <w:t>”特色</w:t>
      </w:r>
      <w:r>
        <w:rPr>
          <w:rFonts w:ascii="黑体" w:hAnsi="黑体" w:eastAsia="黑体"/>
          <w:color w:val="000000" w:themeColor="text1"/>
          <w:sz w:val="32"/>
          <w14:textFill>
            <w14:solidFill>
              <w14:schemeClr w14:val="tx1"/>
            </w14:solidFill>
          </w14:textFill>
        </w:rPr>
        <w:t>产业基地</w:t>
      </w:r>
      <w:r>
        <w:rPr>
          <w:rFonts w:hint="eastAsia" w:ascii="黑体" w:hAnsi="黑体" w:eastAsia="黑体"/>
          <w:color w:val="000000" w:themeColor="text1"/>
          <w:sz w:val="32"/>
          <w14:textFill>
            <w14:solidFill>
              <w14:schemeClr w14:val="tx1"/>
            </w14:solidFill>
          </w14:textFill>
        </w:rPr>
        <w:t>申报条件</w:t>
      </w:r>
    </w:p>
    <w:tbl>
      <w:tblPr>
        <w:tblStyle w:val="6"/>
        <w:tblW w:w="8931" w:type="dxa"/>
        <w:tblInd w:w="-17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76"/>
        <w:gridCol w:w="6038"/>
        <w:gridCol w:w="1417"/>
        <w:tblGridChange w:id="0">
          <w:tblGrid>
            <w:gridCol w:w="1476"/>
            <w:gridCol w:w="6038"/>
            <w:gridCol w:w="1417"/>
          </w:tblGrid>
        </w:tblGridChange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8" w:hRule="atLeast"/>
          <w:tblHeader/>
        </w:trPr>
        <w:tc>
          <w:tcPr>
            <w:tcW w:w="1476" w:type="dxa"/>
            <w:vAlign w:val="center"/>
          </w:tcPr>
          <w:p>
            <w:pPr>
              <w:spacing w:line="360" w:lineRule="auto"/>
              <w:jc w:val="center"/>
              <w:rPr>
                <w:rFonts w:ascii="黑体" w:hAnsi="黑体" w:eastAsia="黑体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类别</w:t>
            </w:r>
          </w:p>
        </w:tc>
        <w:tc>
          <w:tcPr>
            <w:tcW w:w="6038" w:type="dxa"/>
            <w:vAlign w:val="center"/>
          </w:tcPr>
          <w:p>
            <w:pPr>
              <w:spacing w:line="360" w:lineRule="auto"/>
              <w:jc w:val="center"/>
              <w:rPr>
                <w:rFonts w:ascii="黑体" w:hAnsi="黑体" w:eastAsia="黑体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条件</w:t>
            </w:r>
          </w:p>
        </w:tc>
        <w:tc>
          <w:tcPr>
            <w:tcW w:w="1417" w:type="dxa"/>
            <w:vAlign w:val="center"/>
          </w:tcPr>
          <w:p>
            <w:pPr>
              <w:spacing w:line="360" w:lineRule="auto"/>
              <w:jc w:val="center"/>
              <w:rPr>
                <w:rFonts w:ascii="黑体" w:hAnsi="黑体" w:eastAsia="黑体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指标性质</w:t>
            </w:r>
            <w:r>
              <w:rPr>
                <w:rStyle w:val="10"/>
                <w:rFonts w:hint="eastAsia" w:ascii="黑体" w:hAnsi="黑体" w:eastAsia="黑体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footnoteReference w:id="0"/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476" w:type="dxa"/>
            <w:vMerge w:val="restart"/>
            <w:vAlign w:val="center"/>
          </w:tcPr>
          <w:p>
            <w:pPr>
              <w:spacing w:line="360" w:lineRule="auto"/>
              <w:jc w:val="center"/>
              <w:rPr>
                <w:rFonts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基础情况</w:t>
            </w:r>
          </w:p>
        </w:tc>
        <w:tc>
          <w:tcPr>
            <w:tcW w:w="6038" w:type="dxa"/>
            <w:vAlign w:val="center"/>
          </w:tcPr>
          <w:p>
            <w:pPr>
              <w:spacing w:line="360" w:lineRule="atLeast"/>
              <w:rPr>
                <w:rFonts w:ascii="等线" w:hAnsi="等线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上年度区域工业产值（苏南园区700亿元，其它地区可适当放宽）</w:t>
            </w:r>
          </w:p>
        </w:tc>
        <w:tc>
          <w:tcPr>
            <w:tcW w:w="1417" w:type="dxa"/>
            <w:vAlign w:val="center"/>
          </w:tcPr>
          <w:p>
            <w:pPr>
              <w:spacing w:line="360" w:lineRule="auto"/>
              <w:jc w:val="center"/>
              <w:rPr>
                <w:rFonts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约束性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1" w:hRule="atLeast"/>
        </w:trPr>
        <w:tc>
          <w:tcPr>
            <w:tcW w:w="1476" w:type="dxa"/>
            <w:vMerge w:val="continue"/>
            <w:vAlign w:val="center"/>
          </w:tcPr>
          <w:p>
            <w:pPr>
              <w:spacing w:line="360" w:lineRule="auto"/>
              <w:jc w:val="center"/>
              <w:rPr>
                <w:rFonts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038" w:type="dxa"/>
            <w:vAlign w:val="center"/>
          </w:tcPr>
          <w:p>
            <w:pPr>
              <w:spacing w:line="400" w:lineRule="exact"/>
              <w:rPr>
                <w:rFonts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上年度区域内工业企业主营业务收入（苏南园区至少1家企业达到50亿元，其它地区可适当放宽，但园区至少一家企业达到3</w:t>
            </w:r>
            <w:r>
              <w:rPr>
                <w:rFonts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0</w:t>
            </w:r>
            <w:r>
              <w:rPr>
                <w:rFonts w:hint="eastAsia"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亿元）</w:t>
            </w:r>
          </w:p>
        </w:tc>
        <w:tc>
          <w:tcPr>
            <w:tcW w:w="1417" w:type="dxa"/>
            <w:vAlign w:val="center"/>
          </w:tcPr>
          <w:p>
            <w:pPr>
              <w:spacing w:line="360" w:lineRule="auto"/>
              <w:jc w:val="center"/>
              <w:rPr>
                <w:rFonts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约束性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6" w:hRule="atLeast"/>
        </w:trPr>
        <w:tc>
          <w:tcPr>
            <w:tcW w:w="1476" w:type="dxa"/>
            <w:vMerge w:val="continue"/>
            <w:vAlign w:val="center"/>
          </w:tcPr>
          <w:p>
            <w:pPr>
              <w:spacing w:line="360" w:lineRule="auto"/>
              <w:jc w:val="center"/>
              <w:rPr>
                <w:rFonts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038" w:type="dxa"/>
            <w:vAlign w:val="center"/>
          </w:tcPr>
          <w:p>
            <w:pPr>
              <w:spacing w:line="400" w:lineRule="exact"/>
              <w:rPr>
                <w:rFonts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至少获得1项国家级/省级新型</w:t>
            </w:r>
            <w:r>
              <w:rPr>
                <w:rFonts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工业化产业示范基地、两化融合示范</w:t>
            </w:r>
            <w:r>
              <w:rPr>
                <w:rFonts w:hint="eastAsia"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（试验）区、智能制造</w:t>
            </w:r>
            <w:r>
              <w:rPr>
                <w:rFonts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示范区</w:t>
            </w:r>
            <w:r>
              <w:rPr>
                <w:rFonts w:hint="eastAsia"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等资质</w:t>
            </w:r>
          </w:p>
        </w:tc>
        <w:tc>
          <w:tcPr>
            <w:tcW w:w="1417" w:type="dxa"/>
            <w:vAlign w:val="center"/>
          </w:tcPr>
          <w:p>
            <w:pPr>
              <w:spacing w:line="360" w:lineRule="auto"/>
              <w:jc w:val="center"/>
              <w:rPr>
                <w:rFonts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引导性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476" w:type="dxa"/>
            <w:vMerge w:val="restart"/>
            <w:vAlign w:val="center"/>
          </w:tcPr>
          <w:p>
            <w:pPr>
              <w:spacing w:line="360" w:lineRule="auto"/>
              <w:jc w:val="center"/>
              <w:rPr>
                <w:rFonts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产业支撑能力</w:t>
            </w:r>
          </w:p>
        </w:tc>
        <w:tc>
          <w:tcPr>
            <w:tcW w:w="6038" w:type="dxa"/>
            <w:vAlign w:val="center"/>
          </w:tcPr>
          <w:p>
            <w:pPr>
              <w:spacing w:line="400" w:lineRule="exact"/>
              <w:rPr>
                <w:rFonts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区域规模以上</w:t>
            </w:r>
            <w:r>
              <w:rPr>
                <w:rFonts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企业</w:t>
            </w:r>
            <w:r>
              <w:rPr>
                <w:rFonts w:hint="eastAsia"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研发投入占</w:t>
            </w:r>
            <w:r>
              <w:rPr>
                <w:rFonts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营业收入</w:t>
            </w:r>
            <w:r>
              <w:rPr>
                <w:rFonts w:hint="eastAsia"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比重≥</w:t>
            </w:r>
            <w:r>
              <w:rPr>
                <w:rFonts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3</w:t>
            </w:r>
            <w:r>
              <w:rPr>
                <w:rFonts w:hint="eastAsia"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%</w:t>
            </w:r>
          </w:p>
        </w:tc>
        <w:tc>
          <w:tcPr>
            <w:tcW w:w="1417" w:type="dxa"/>
            <w:vAlign w:val="center"/>
          </w:tcPr>
          <w:p>
            <w:pPr>
              <w:spacing w:line="360" w:lineRule="auto"/>
              <w:jc w:val="center"/>
              <w:rPr>
                <w:rFonts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引导性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1476" w:type="dxa"/>
            <w:vMerge w:val="continue"/>
            <w:vAlign w:val="center"/>
          </w:tcPr>
          <w:p>
            <w:pPr>
              <w:spacing w:line="360" w:lineRule="auto"/>
              <w:jc w:val="center"/>
              <w:rPr>
                <w:rFonts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038" w:type="dxa"/>
            <w:vAlign w:val="center"/>
          </w:tcPr>
          <w:p>
            <w:pPr>
              <w:spacing w:line="400" w:lineRule="exact"/>
              <w:rPr>
                <w:rFonts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具有不少于5家面向工业互联网网络、标识解析、平台、工业软件与工业APP、工业大数据、工业互联网安全等创新领域的主营业务收入1000万元以上供应商企业 </w:t>
            </w:r>
          </w:p>
        </w:tc>
        <w:tc>
          <w:tcPr>
            <w:tcW w:w="1417" w:type="dxa"/>
            <w:vAlign w:val="center"/>
          </w:tcPr>
          <w:p>
            <w:pPr>
              <w:spacing w:line="360" w:lineRule="auto"/>
              <w:jc w:val="center"/>
              <w:rPr>
                <w:rFonts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约束性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  <w:tblPrExChange w:id="1" w:author="uos" w:date="2022-08-24T09:49:16Z">
            <w:tblPrEx>
              <w:tblBorders>
                <w:top w:val="single" w:color="auto" w:sz="4" w:space="0"/>
                <w:left w:val="single" w:color="auto" w:sz="4" w:space="0"/>
                <w:bottom w:val="single" w:color="auto" w:sz="4" w:space="0"/>
                <w:right w:val="single" w:color="auto" w:sz="4" w:space="0"/>
                <w:insideH w:val="single" w:color="auto" w:sz="4" w:space="0"/>
                <w:insideV w:val="single" w:color="auto" w:sz="4" w:space="0"/>
              </w:tblBorders>
              <w:tblCellMar>
                <w:top w:w="0" w:type="dxa"/>
                <w:left w:w="108" w:type="dxa"/>
                <w:bottom w:w="0" w:type="dxa"/>
                <w:right w:w="108" w:type="dxa"/>
              </w:tblCellMar>
            </w:tblPrEx>
          </w:tblPrExChange>
        </w:tblPrEx>
        <w:trPr>
          <w:trHeight w:val="776" w:hRule="atLeast"/>
        </w:trPr>
        <w:tc>
          <w:tcPr>
            <w:tcW w:w="1476" w:type="dxa"/>
            <w:vMerge w:val="continue"/>
            <w:vAlign w:val="center"/>
            <w:tcPrChange w:id="2" w:author="uos" w:date="2022-08-24T09:49:16Z">
              <w:tcPr>
                <w:tcW w:w="1476" w:type="dxa"/>
                <w:vMerge w:val="continue"/>
                <w:vAlign w:val="center"/>
              </w:tcPr>
            </w:tcPrChange>
          </w:tcPr>
          <w:p>
            <w:pPr>
              <w:spacing w:line="360" w:lineRule="auto"/>
              <w:jc w:val="center"/>
              <w:rPr>
                <w:rFonts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038" w:type="dxa"/>
            <w:vAlign w:val="center"/>
            <w:tcPrChange w:id="3" w:author="uos" w:date="2022-08-24T09:49:16Z">
              <w:tcPr>
                <w:tcW w:w="6038" w:type="dxa"/>
                <w:vAlign w:val="center"/>
              </w:tcPr>
            </w:tcPrChange>
          </w:tcPr>
          <w:p>
            <w:pPr>
              <w:spacing w:line="400" w:lineRule="exact"/>
              <w:rPr>
                <w:rFonts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至少</w:t>
            </w:r>
            <w:r>
              <w:rPr>
                <w:rFonts w:ascii="仿宋_GB2312" w:hAnsi="仿宋_GB2312" w:eastAsia="仿宋_GB2312"/>
                <w:color w:val="FF0000"/>
                <w:sz w:val="24"/>
              </w:rPr>
              <w:t>有2</w:t>
            </w:r>
            <w:r>
              <w:rPr>
                <w:rFonts w:hint="eastAsia" w:ascii="仿宋_GB2312" w:hAnsi="仿宋_GB2312" w:eastAsia="仿宋_GB2312"/>
                <w:color w:val="FF0000"/>
                <w:sz w:val="24"/>
              </w:rPr>
              <w:t>家</w:t>
            </w:r>
            <w:r>
              <w:rPr>
                <w:rFonts w:ascii="仿宋_GB2312" w:hAnsi="仿宋_GB2312" w:eastAsia="仿宋_GB2312"/>
                <w:color w:val="FF0000"/>
                <w:sz w:val="24"/>
              </w:rPr>
              <w:t>企业</w:t>
            </w:r>
            <w:r>
              <w:rPr>
                <w:rFonts w:hint="eastAsia" w:ascii="仿宋_GB2312" w:hAnsi="仿宋_GB2312" w:eastAsia="仿宋_GB2312"/>
                <w:color w:val="FF0000"/>
                <w:sz w:val="24"/>
              </w:rPr>
              <w:t>入选省市智能化改造数字化转型服务资源池</w:t>
            </w:r>
          </w:p>
        </w:tc>
        <w:tc>
          <w:tcPr>
            <w:tcW w:w="1417" w:type="dxa"/>
            <w:vAlign w:val="center"/>
            <w:tcPrChange w:id="4" w:author="uos" w:date="2022-08-24T09:49:16Z">
              <w:tcPr>
                <w:tcW w:w="1417" w:type="dxa"/>
                <w:vAlign w:val="center"/>
              </w:tcPr>
            </w:tcPrChange>
          </w:tcPr>
          <w:p>
            <w:pPr>
              <w:spacing w:line="360" w:lineRule="auto"/>
              <w:jc w:val="center"/>
              <w:rPr>
                <w:rFonts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/>
                <w:color w:val="FF0000"/>
                <w:sz w:val="24"/>
              </w:rPr>
              <w:t>引导性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3" w:hRule="atLeast"/>
        </w:trPr>
        <w:tc>
          <w:tcPr>
            <w:tcW w:w="1476" w:type="dxa"/>
            <w:vMerge w:val="continue"/>
            <w:vAlign w:val="center"/>
          </w:tcPr>
          <w:p>
            <w:pPr>
              <w:spacing w:line="360" w:lineRule="auto"/>
              <w:jc w:val="center"/>
              <w:rPr>
                <w:rFonts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038" w:type="dxa"/>
            <w:vAlign w:val="center"/>
          </w:tcPr>
          <w:p>
            <w:pPr>
              <w:spacing w:line="400" w:lineRule="exact"/>
              <w:rPr>
                <w:rFonts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至少有</w:t>
            </w:r>
            <w:bookmarkStart w:id="0" w:name="_GoBack"/>
            <w:bookmarkEnd w:id="0"/>
            <w:r>
              <w:rPr>
                <w:rFonts w:hint="eastAsia"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1个企业/项目入选国家或省市级工业互联网</w:t>
            </w:r>
            <w:r>
              <w:rPr>
                <w:rFonts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平台专项</w:t>
            </w:r>
            <w:r>
              <w:rPr>
                <w:rFonts w:hint="eastAsia"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项目</w:t>
            </w:r>
          </w:p>
        </w:tc>
        <w:tc>
          <w:tcPr>
            <w:tcW w:w="1417" w:type="dxa"/>
            <w:vAlign w:val="center"/>
          </w:tcPr>
          <w:p>
            <w:pPr>
              <w:spacing w:line="360" w:lineRule="auto"/>
              <w:jc w:val="center"/>
              <w:rPr>
                <w:rFonts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约束性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26" w:hRule="atLeast"/>
        </w:trPr>
        <w:tc>
          <w:tcPr>
            <w:tcW w:w="1476" w:type="dxa"/>
            <w:vMerge w:val="restart"/>
            <w:vAlign w:val="center"/>
          </w:tcPr>
          <w:p>
            <w:pPr>
              <w:spacing w:line="360" w:lineRule="auto"/>
              <w:jc w:val="center"/>
              <w:rPr>
                <w:rFonts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平台建设应用</w:t>
            </w:r>
          </w:p>
        </w:tc>
        <w:tc>
          <w:tcPr>
            <w:tcW w:w="6038" w:type="dxa"/>
            <w:vAlign w:val="center"/>
          </w:tcPr>
          <w:p>
            <w:pPr>
              <w:spacing w:line="400" w:lineRule="exact"/>
              <w:rPr>
                <w:rFonts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至少有</w:t>
            </w:r>
            <w:r>
              <w:rPr>
                <w:rFonts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3</w:t>
            </w:r>
            <w:r>
              <w:rPr>
                <w:rFonts w:hint="eastAsia"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家</w:t>
            </w:r>
            <w:r>
              <w:rPr>
                <w:rFonts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企业</w:t>
            </w:r>
            <w:r>
              <w:rPr>
                <w:rFonts w:hint="eastAsia"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获评国家级或</w:t>
            </w:r>
            <w:r>
              <w:rPr>
                <w:rFonts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省级工业互联网</w:t>
            </w:r>
            <w:r>
              <w:rPr>
                <w:rFonts w:hint="eastAsia"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创新发展</w:t>
            </w:r>
            <w:r>
              <w:rPr>
                <w:rFonts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工程</w:t>
            </w:r>
            <w:r>
              <w:rPr>
                <w:rFonts w:hint="eastAsia"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项目、制造业“双创”</w:t>
            </w:r>
            <w:r>
              <w:rPr>
                <w:rFonts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平台</w:t>
            </w:r>
            <w:r>
              <w:rPr>
                <w:rFonts w:hint="eastAsia"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项目</w:t>
            </w:r>
            <w:r>
              <w:rPr>
                <w:rFonts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、</w:t>
            </w:r>
            <w:r>
              <w:rPr>
                <w:rFonts w:hint="eastAsia"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工业互联网试点示范项目、制造业与互联网融合发展试点示范项目、</w:t>
            </w:r>
            <w:r>
              <w:rPr>
                <w:rFonts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智能制造试点示范</w:t>
            </w:r>
            <w:r>
              <w:rPr>
                <w:rFonts w:hint="eastAsia"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、新一代信息技术与制造业融合发展试点示范等</w:t>
            </w:r>
            <w:r>
              <w:rPr>
                <w:rFonts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项目</w:t>
            </w:r>
          </w:p>
        </w:tc>
        <w:tc>
          <w:tcPr>
            <w:tcW w:w="1417" w:type="dxa"/>
            <w:vAlign w:val="center"/>
          </w:tcPr>
          <w:p>
            <w:pPr>
              <w:spacing w:line="360" w:lineRule="auto"/>
              <w:jc w:val="center"/>
              <w:rPr>
                <w:rFonts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约束性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476" w:type="dxa"/>
            <w:vMerge w:val="continue"/>
            <w:vAlign w:val="center"/>
          </w:tcPr>
          <w:p>
            <w:pPr>
              <w:spacing w:line="360" w:lineRule="auto"/>
              <w:jc w:val="center"/>
              <w:rPr>
                <w:rFonts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038" w:type="dxa"/>
            <w:vAlign w:val="center"/>
          </w:tcPr>
          <w:p>
            <w:pPr>
              <w:spacing w:line="400" w:lineRule="exact"/>
              <w:rPr>
                <w:rFonts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区域</w:t>
            </w:r>
            <w:r>
              <w:rPr>
                <w:rFonts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内至少有10</w:t>
            </w:r>
            <w:r>
              <w:rPr>
                <w:rFonts w:hint="eastAsia"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个星级上云企业，其中四星级（含）以上星级上云企业不少于</w:t>
            </w:r>
            <w:r>
              <w:rPr>
                <w:rFonts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个</w:t>
            </w:r>
          </w:p>
        </w:tc>
        <w:tc>
          <w:tcPr>
            <w:tcW w:w="1417" w:type="dxa"/>
            <w:vAlign w:val="center"/>
          </w:tcPr>
          <w:p>
            <w:pPr>
              <w:spacing w:line="360" w:lineRule="auto"/>
              <w:jc w:val="center"/>
              <w:rPr>
                <w:rFonts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约束性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476" w:type="dxa"/>
            <w:vMerge w:val="continue"/>
            <w:vAlign w:val="center"/>
          </w:tcPr>
          <w:p>
            <w:pPr>
              <w:spacing w:line="360" w:lineRule="auto"/>
              <w:jc w:val="center"/>
              <w:rPr>
                <w:rFonts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038" w:type="dxa"/>
            <w:vAlign w:val="center"/>
          </w:tcPr>
          <w:p>
            <w:pPr>
              <w:spacing w:line="360" w:lineRule="exact"/>
              <w:rPr>
                <w:rFonts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区域</w:t>
            </w:r>
            <w:r>
              <w:rPr>
                <w:rFonts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内</w:t>
            </w:r>
            <w:r>
              <w:rPr>
                <w:rFonts w:hint="eastAsia"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应</w:t>
            </w:r>
            <w:r>
              <w:rPr>
                <w:rFonts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具备1</w:t>
            </w:r>
            <w:r>
              <w:rPr>
                <w:rFonts w:hint="eastAsia"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个以上江苏省工业</w:t>
            </w:r>
            <w:r>
              <w:rPr>
                <w:rFonts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互联网标杆工厂项目</w:t>
            </w:r>
          </w:p>
        </w:tc>
        <w:tc>
          <w:tcPr>
            <w:tcW w:w="1417" w:type="dxa"/>
            <w:vAlign w:val="center"/>
          </w:tcPr>
          <w:p>
            <w:pPr>
              <w:spacing w:line="360" w:lineRule="auto"/>
              <w:jc w:val="center"/>
              <w:rPr>
                <w:rFonts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约束性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476" w:type="dxa"/>
            <w:vMerge w:val="restart"/>
            <w:vAlign w:val="center"/>
          </w:tcPr>
          <w:p>
            <w:pPr>
              <w:spacing w:line="360" w:lineRule="auto"/>
              <w:jc w:val="center"/>
              <w:rPr>
                <w:rFonts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信息基础设施</w:t>
            </w:r>
          </w:p>
        </w:tc>
        <w:tc>
          <w:tcPr>
            <w:tcW w:w="6038" w:type="dxa"/>
            <w:vAlign w:val="center"/>
          </w:tcPr>
          <w:p>
            <w:pPr>
              <w:spacing w:line="360" w:lineRule="atLeast"/>
              <w:rPr>
                <w:rFonts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区域内光纤到企覆盖率≥80%</w:t>
            </w:r>
            <w:r>
              <w:rPr>
                <w:rFonts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</w:p>
        </w:tc>
        <w:tc>
          <w:tcPr>
            <w:tcW w:w="1417" w:type="dxa"/>
            <w:vAlign w:val="center"/>
          </w:tcPr>
          <w:p>
            <w:pPr>
              <w:spacing w:line="360" w:lineRule="auto"/>
              <w:jc w:val="center"/>
              <w:rPr>
                <w:rFonts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约束性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476" w:type="dxa"/>
            <w:vMerge w:val="continue"/>
            <w:vAlign w:val="center"/>
          </w:tcPr>
          <w:p>
            <w:pPr>
              <w:spacing w:line="360" w:lineRule="auto"/>
              <w:jc w:val="center"/>
              <w:rPr>
                <w:rFonts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038" w:type="dxa"/>
            <w:vAlign w:val="center"/>
          </w:tcPr>
          <w:p>
            <w:pPr>
              <w:spacing w:line="360" w:lineRule="exact"/>
              <w:rPr>
                <w:rFonts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建有</w:t>
            </w:r>
            <w:r>
              <w:rPr>
                <w:rFonts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能</w:t>
            </w:r>
            <w:r>
              <w:rPr>
                <w:rFonts w:hint="eastAsia"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广泛</w:t>
            </w:r>
            <w:r>
              <w:rPr>
                <w:rFonts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服务于本区域</w:t>
            </w:r>
            <w:r>
              <w:rPr>
                <w:rFonts w:hint="eastAsia"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制造</w:t>
            </w:r>
            <w:r>
              <w:rPr>
                <w:rFonts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企业</w:t>
            </w:r>
            <w:r>
              <w:rPr>
                <w:rFonts w:hint="eastAsia"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或特定</w:t>
            </w:r>
            <w:r>
              <w:rPr>
                <w:rFonts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行业</w:t>
            </w:r>
            <w:r>
              <w:rPr>
                <w:rFonts w:hint="eastAsia"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用户</w:t>
            </w:r>
            <w:r>
              <w:rPr>
                <w:rFonts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的</w:t>
            </w:r>
            <w:r>
              <w:rPr>
                <w:rFonts w:hint="eastAsia"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标识解析节点</w:t>
            </w:r>
          </w:p>
        </w:tc>
        <w:tc>
          <w:tcPr>
            <w:tcW w:w="1417" w:type="dxa"/>
            <w:vAlign w:val="center"/>
          </w:tcPr>
          <w:p>
            <w:pPr>
              <w:spacing w:line="360" w:lineRule="auto"/>
              <w:jc w:val="center"/>
              <w:rPr>
                <w:rFonts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引导性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476" w:type="dxa"/>
            <w:vMerge w:val="continue"/>
            <w:vAlign w:val="center"/>
          </w:tcPr>
          <w:p>
            <w:pPr>
              <w:spacing w:line="360" w:lineRule="auto"/>
              <w:jc w:val="center"/>
              <w:rPr>
                <w:rFonts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038" w:type="dxa"/>
            <w:vAlign w:val="center"/>
          </w:tcPr>
          <w:p>
            <w:pPr>
              <w:spacing w:line="400" w:lineRule="exact"/>
              <w:rPr>
                <w:rFonts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围绕</w:t>
            </w:r>
            <w:r>
              <w:rPr>
                <w:rFonts w:hint="eastAsia"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5G、NB-IoT、IPV6等新型无线</w:t>
            </w:r>
            <w:r>
              <w:rPr>
                <w:rFonts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网络</w:t>
            </w:r>
            <w:r>
              <w:rPr>
                <w:rFonts w:hint="eastAsia"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开展建设部署，</w:t>
            </w:r>
            <w:r>
              <w:rPr>
                <w:rFonts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并实现</w:t>
            </w:r>
            <w:r>
              <w:rPr>
                <w:rFonts w:hint="eastAsia"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初步</w:t>
            </w:r>
            <w:r>
              <w:rPr>
                <w:rFonts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应用</w:t>
            </w:r>
          </w:p>
        </w:tc>
        <w:tc>
          <w:tcPr>
            <w:tcW w:w="1417" w:type="dxa"/>
            <w:vAlign w:val="center"/>
          </w:tcPr>
          <w:p>
            <w:pPr>
              <w:spacing w:line="360" w:lineRule="auto"/>
              <w:jc w:val="center"/>
              <w:rPr>
                <w:rFonts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引导性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" w:hRule="atLeast"/>
        </w:trPr>
        <w:tc>
          <w:tcPr>
            <w:tcW w:w="1476" w:type="dxa"/>
            <w:vMerge w:val="restart"/>
            <w:vAlign w:val="center"/>
          </w:tcPr>
          <w:p>
            <w:pPr>
              <w:spacing w:line="360" w:lineRule="auto"/>
              <w:jc w:val="center"/>
              <w:rPr>
                <w:rFonts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创新生态</w:t>
            </w:r>
          </w:p>
        </w:tc>
        <w:tc>
          <w:tcPr>
            <w:tcW w:w="6038" w:type="dxa"/>
            <w:vAlign w:val="center"/>
          </w:tcPr>
          <w:p>
            <w:pPr>
              <w:spacing w:line="400" w:lineRule="exact"/>
              <w:rPr>
                <w:rFonts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区域具有</w:t>
            </w:r>
            <w:r>
              <w:rPr>
                <w:rFonts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较好的投融资环境，</w:t>
            </w:r>
            <w:r>
              <w:rPr>
                <w:rFonts w:hint="eastAsia"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建立</w:t>
            </w:r>
            <w:r>
              <w:rPr>
                <w:rFonts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或</w:t>
            </w:r>
            <w:r>
              <w:rPr>
                <w:rFonts w:hint="eastAsia"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吸引风险投资、私募基金、产业投资基金，</w:t>
            </w:r>
            <w:r>
              <w:rPr>
                <w:rFonts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服务于工业互联网发展</w:t>
            </w:r>
          </w:p>
        </w:tc>
        <w:tc>
          <w:tcPr>
            <w:tcW w:w="1417" w:type="dxa"/>
            <w:vAlign w:val="center"/>
          </w:tcPr>
          <w:p>
            <w:pPr>
              <w:spacing w:line="360" w:lineRule="auto"/>
              <w:jc w:val="center"/>
              <w:rPr>
                <w:rFonts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引导性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" w:hRule="atLeast"/>
        </w:trPr>
        <w:tc>
          <w:tcPr>
            <w:tcW w:w="1476" w:type="dxa"/>
            <w:vMerge w:val="continue"/>
            <w:vAlign w:val="center"/>
          </w:tcPr>
          <w:p>
            <w:pPr>
              <w:spacing w:line="360" w:lineRule="auto"/>
              <w:jc w:val="center"/>
              <w:rPr>
                <w:rFonts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038" w:type="dxa"/>
            <w:vAlign w:val="center"/>
          </w:tcPr>
          <w:p>
            <w:pPr>
              <w:spacing w:line="400" w:lineRule="exact"/>
              <w:rPr>
                <w:rFonts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具有至少1家面向工业互联网新技术研发创新、测试验证的创新中心/实验室/科研机构</w:t>
            </w:r>
          </w:p>
        </w:tc>
        <w:tc>
          <w:tcPr>
            <w:tcW w:w="1417" w:type="dxa"/>
            <w:vAlign w:val="center"/>
          </w:tcPr>
          <w:p>
            <w:pPr>
              <w:spacing w:line="360" w:lineRule="auto"/>
              <w:jc w:val="center"/>
              <w:rPr>
                <w:rFonts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引导性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" w:hRule="atLeast"/>
        </w:trPr>
        <w:tc>
          <w:tcPr>
            <w:tcW w:w="1476" w:type="dxa"/>
            <w:vMerge w:val="restart"/>
            <w:vAlign w:val="center"/>
          </w:tcPr>
          <w:p>
            <w:pPr>
              <w:spacing w:line="360" w:lineRule="auto"/>
              <w:jc w:val="center"/>
              <w:rPr>
                <w:rFonts w:ascii="仿宋_GB2312" w:hAnsi="仿宋_GB2312" w:eastAsia="仿宋_GB2312"/>
                <w:color w:val="000000" w:themeColor="text1"/>
                <w:sz w:val="24"/>
                <w:highlight w:val="yellow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政策措施</w:t>
            </w:r>
          </w:p>
        </w:tc>
        <w:tc>
          <w:tcPr>
            <w:tcW w:w="6038" w:type="dxa"/>
            <w:vAlign w:val="center"/>
          </w:tcPr>
          <w:p>
            <w:pPr>
              <w:spacing w:line="400" w:lineRule="exact"/>
              <w:rPr>
                <w:rFonts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园区将</w:t>
            </w:r>
            <w:r>
              <w:rPr>
                <w:rFonts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工业互联网</w:t>
            </w:r>
            <w:r>
              <w:rPr>
                <w:rFonts w:hint="eastAsia"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定位</w:t>
            </w:r>
            <w:r>
              <w:rPr>
                <w:rFonts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为</w:t>
            </w:r>
            <w:r>
              <w:rPr>
                <w:rFonts w:hint="eastAsia"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区域</w:t>
            </w:r>
            <w:r>
              <w:rPr>
                <w:rFonts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发展</w:t>
            </w:r>
            <w:r>
              <w:rPr>
                <w:rFonts w:hint="eastAsia"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重要</w:t>
            </w:r>
            <w:r>
              <w:rPr>
                <w:rFonts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工作，</w:t>
            </w:r>
            <w:r>
              <w:rPr>
                <w:rFonts w:hint="eastAsia"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成立领导</w:t>
            </w:r>
            <w:r>
              <w:rPr>
                <w:rFonts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统筹协调机制并</w:t>
            </w:r>
            <w:r>
              <w:rPr>
                <w:rFonts w:hint="eastAsia"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制定相关年度</w:t>
            </w:r>
            <w:r>
              <w:rPr>
                <w:rFonts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工作计划</w:t>
            </w:r>
          </w:p>
        </w:tc>
        <w:tc>
          <w:tcPr>
            <w:tcW w:w="1417" w:type="dxa"/>
            <w:vAlign w:val="center"/>
          </w:tcPr>
          <w:p>
            <w:pPr>
              <w:spacing w:line="360" w:lineRule="auto"/>
              <w:jc w:val="center"/>
              <w:rPr>
                <w:rFonts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约束性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" w:hRule="atLeast"/>
        </w:trPr>
        <w:tc>
          <w:tcPr>
            <w:tcW w:w="1476" w:type="dxa"/>
            <w:vMerge w:val="continue"/>
            <w:vAlign w:val="center"/>
          </w:tcPr>
          <w:p>
            <w:pPr>
              <w:spacing w:line="360" w:lineRule="auto"/>
              <w:jc w:val="center"/>
              <w:rPr>
                <w:rFonts w:ascii="仿宋_GB2312" w:hAnsi="仿宋_GB2312" w:eastAsia="仿宋_GB2312"/>
                <w:color w:val="000000" w:themeColor="text1"/>
                <w:sz w:val="24"/>
                <w:highlight w:val="yellow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038" w:type="dxa"/>
            <w:vAlign w:val="center"/>
          </w:tcPr>
          <w:p>
            <w:pPr>
              <w:spacing w:line="400" w:lineRule="exact"/>
              <w:rPr>
                <w:rFonts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园区围绕</w:t>
            </w:r>
            <w:r>
              <w:rPr>
                <w:rFonts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工业互联网创新应用出台相关政策</w:t>
            </w:r>
            <w:r>
              <w:rPr>
                <w:rFonts w:hint="eastAsia"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措施</w:t>
            </w:r>
            <w:r>
              <w:rPr>
                <w:rFonts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，并进行资金扶持</w:t>
            </w:r>
            <w:r>
              <w:rPr>
                <w:rFonts w:hint="eastAsia"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，</w:t>
            </w:r>
            <w:r>
              <w:rPr>
                <w:rFonts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每年安排专项资金不少于5</w:t>
            </w:r>
            <w:r>
              <w:rPr>
                <w:rFonts w:hint="eastAsia"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00万</w:t>
            </w:r>
          </w:p>
        </w:tc>
        <w:tc>
          <w:tcPr>
            <w:tcW w:w="1417" w:type="dxa"/>
            <w:vAlign w:val="center"/>
          </w:tcPr>
          <w:p>
            <w:pPr>
              <w:spacing w:line="360" w:lineRule="auto"/>
              <w:jc w:val="center"/>
              <w:rPr>
                <w:rFonts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约束性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3" w:hRule="atLeast"/>
        </w:trPr>
        <w:tc>
          <w:tcPr>
            <w:tcW w:w="1476" w:type="dxa"/>
            <w:vMerge w:val="continue"/>
            <w:vAlign w:val="center"/>
          </w:tcPr>
          <w:p>
            <w:pPr>
              <w:spacing w:line="360" w:lineRule="auto"/>
              <w:jc w:val="center"/>
              <w:rPr>
                <w:rFonts w:ascii="仿宋_GB2312" w:hAnsi="仿宋_GB2312" w:eastAsia="仿宋_GB2312"/>
                <w:color w:val="000000" w:themeColor="text1"/>
                <w:sz w:val="24"/>
                <w:highlight w:val="yellow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038" w:type="dxa"/>
            <w:vAlign w:val="center"/>
          </w:tcPr>
          <w:p>
            <w:pPr>
              <w:spacing w:line="400" w:lineRule="exact"/>
              <w:rPr>
                <w:rFonts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园区支持建立工业互联网相关</w:t>
            </w:r>
            <w:r>
              <w:rPr>
                <w:rFonts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联盟、协会</w:t>
            </w:r>
            <w:r>
              <w:rPr>
                <w:rFonts w:hint="eastAsia"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，并举办</w:t>
            </w:r>
            <w:r>
              <w:rPr>
                <w:rFonts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相关</w:t>
            </w:r>
            <w:r>
              <w:rPr>
                <w:rFonts w:hint="eastAsia"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会议</w:t>
            </w:r>
            <w:r>
              <w:rPr>
                <w:rFonts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、活动</w:t>
            </w:r>
            <w:r>
              <w:rPr>
                <w:rFonts w:hint="eastAsia"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，</w:t>
            </w:r>
            <w:r>
              <w:rPr>
                <w:rFonts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带动区域企业积极参与</w:t>
            </w:r>
          </w:p>
        </w:tc>
        <w:tc>
          <w:tcPr>
            <w:tcW w:w="1417" w:type="dxa"/>
            <w:vAlign w:val="center"/>
          </w:tcPr>
          <w:p>
            <w:pPr>
              <w:spacing w:line="360" w:lineRule="auto"/>
              <w:jc w:val="center"/>
              <w:rPr>
                <w:rFonts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引导性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3" w:hRule="atLeast"/>
        </w:trPr>
        <w:tc>
          <w:tcPr>
            <w:tcW w:w="1476" w:type="dxa"/>
            <w:vMerge w:val="continue"/>
            <w:vAlign w:val="center"/>
          </w:tcPr>
          <w:p>
            <w:pPr>
              <w:spacing w:line="360" w:lineRule="auto"/>
              <w:jc w:val="center"/>
              <w:rPr>
                <w:rFonts w:ascii="仿宋_GB2312" w:hAnsi="仿宋_GB2312" w:eastAsia="仿宋_GB2312"/>
                <w:color w:val="000000" w:themeColor="text1"/>
                <w:sz w:val="24"/>
                <w:highlight w:val="yellow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038" w:type="dxa"/>
            <w:vAlign w:val="center"/>
          </w:tcPr>
          <w:p>
            <w:pPr>
              <w:spacing w:line="400" w:lineRule="exact"/>
              <w:rPr>
                <w:rFonts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有完善的人才培养、引进、激励机制和政策保障，能够吸引到工业互联网创新领军</w:t>
            </w:r>
            <w:r>
              <w:rPr>
                <w:rFonts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人才、</w:t>
            </w:r>
            <w:r>
              <w:rPr>
                <w:rFonts w:hint="eastAsia"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高端人才、创业团队、开发者</w:t>
            </w:r>
          </w:p>
        </w:tc>
        <w:tc>
          <w:tcPr>
            <w:tcW w:w="1417" w:type="dxa"/>
            <w:vAlign w:val="center"/>
          </w:tcPr>
          <w:p>
            <w:pPr>
              <w:spacing w:line="360" w:lineRule="exact"/>
              <w:jc w:val="center"/>
              <w:rPr>
                <w:rFonts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引导性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3" w:hRule="atLeast"/>
        </w:trPr>
        <w:tc>
          <w:tcPr>
            <w:tcW w:w="1476" w:type="dxa"/>
            <w:vMerge w:val="restart"/>
            <w:vAlign w:val="center"/>
          </w:tcPr>
          <w:p>
            <w:pPr>
              <w:spacing w:line="360" w:lineRule="auto"/>
              <w:jc w:val="center"/>
              <w:rPr>
                <w:rFonts w:ascii="仿宋_GB2312" w:hAnsi="仿宋_GB2312" w:eastAsia="仿宋_GB2312"/>
                <w:color w:val="000000" w:themeColor="text1"/>
                <w:sz w:val="24"/>
                <w:highlight w:val="yellow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创业孵化环境</w:t>
            </w:r>
          </w:p>
        </w:tc>
        <w:tc>
          <w:tcPr>
            <w:tcW w:w="6038" w:type="dxa"/>
            <w:vAlign w:val="center"/>
          </w:tcPr>
          <w:p>
            <w:pPr>
              <w:spacing w:line="400" w:lineRule="exact"/>
              <w:rPr>
                <w:rFonts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具有</w:t>
            </w:r>
            <w:r>
              <w:rPr>
                <w:rFonts w:hint="eastAsia"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至少1个孵化器、加速器、众创空间，入驻至少10个</w:t>
            </w:r>
            <w:r>
              <w:rPr>
                <w:rFonts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工业互联网</w:t>
            </w:r>
            <w:r>
              <w:rPr>
                <w:rFonts w:hint="eastAsia"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网络</w:t>
            </w:r>
            <w:r>
              <w:rPr>
                <w:rFonts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、平台、安全</w:t>
            </w:r>
            <w:r>
              <w:rPr>
                <w:rFonts w:hint="eastAsia"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、工业</w:t>
            </w:r>
            <w:r>
              <w:rPr>
                <w:rFonts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APP、工业软件、数据采集、大数据服务</w:t>
            </w:r>
            <w:r>
              <w:rPr>
                <w:rFonts w:hint="eastAsia"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等方向企业</w:t>
            </w:r>
          </w:p>
        </w:tc>
        <w:tc>
          <w:tcPr>
            <w:tcW w:w="1417" w:type="dxa"/>
            <w:vAlign w:val="center"/>
          </w:tcPr>
          <w:p>
            <w:pPr>
              <w:spacing w:line="360" w:lineRule="exact"/>
              <w:jc w:val="center"/>
              <w:rPr>
                <w:rFonts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约束性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3" w:hRule="atLeast"/>
        </w:trPr>
        <w:tc>
          <w:tcPr>
            <w:tcW w:w="1476" w:type="dxa"/>
            <w:vMerge w:val="continue"/>
            <w:vAlign w:val="center"/>
          </w:tcPr>
          <w:p>
            <w:pPr>
              <w:spacing w:line="360" w:lineRule="auto"/>
              <w:jc w:val="center"/>
              <w:rPr>
                <w:rFonts w:ascii="仿宋_GB2312" w:hAnsi="仿宋_GB2312" w:eastAsia="仿宋_GB2312"/>
                <w:color w:val="000000" w:themeColor="text1"/>
                <w:sz w:val="24"/>
                <w:highlight w:val="yellow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038" w:type="dxa"/>
            <w:vAlign w:val="center"/>
          </w:tcPr>
          <w:p>
            <w:pPr>
              <w:spacing w:line="400" w:lineRule="exact"/>
              <w:rPr>
                <w:rFonts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围绕工业互联网孵化育成的投融资情况良好，具有</w:t>
            </w:r>
            <w:r>
              <w:rPr>
                <w:rFonts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一批</w:t>
            </w:r>
            <w:r>
              <w:rPr>
                <w:rFonts w:hint="eastAsia"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获得政府资金、银行担保贷款、风险投资的重点培育</w:t>
            </w:r>
            <w:r>
              <w:rPr>
                <w:rFonts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型</w:t>
            </w:r>
            <w:r>
              <w:rPr>
                <w:rFonts w:hint="eastAsia"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企业</w:t>
            </w:r>
          </w:p>
        </w:tc>
        <w:tc>
          <w:tcPr>
            <w:tcW w:w="1417" w:type="dxa"/>
            <w:vAlign w:val="center"/>
          </w:tcPr>
          <w:p>
            <w:pPr>
              <w:spacing w:line="360" w:lineRule="exact"/>
              <w:jc w:val="center"/>
              <w:rPr>
                <w:rFonts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引导性</w:t>
            </w:r>
          </w:p>
        </w:tc>
      </w:tr>
    </w:tbl>
    <w:p>
      <w:pPr>
        <w:spacing w:line="360" w:lineRule="auto"/>
        <w:rPr>
          <w:rFonts w:ascii="仿宋_GB2312" w:hAnsi="仿宋_GB2312" w:eastAsia="仿宋_GB2312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spacing w:line="480" w:lineRule="auto"/>
        <w:rPr>
          <w:rFonts w:ascii="仿宋_GB2312" w:hAnsi="仿宋_GB2312" w:eastAsia="仿宋_GB2312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sectPr>
      <w:footerReference r:id="rId4" w:type="default"/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altName w:val="微软雅黑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NanumGothic">
    <w:panose1 w:val="020D0604000000000000"/>
    <w:charset w:val="81"/>
    <w:family w:val="auto"/>
    <w:pitch w:val="default"/>
    <w:sig w:usb0="900002A7" w:usb1="29D7FCFB" w:usb2="00000010" w:usb3="00000000" w:csb0="0008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1974823644"/>
      <w:docPartObj>
        <w:docPartGallery w:val="AutoText"/>
      </w:docPartObj>
    </w:sdtPr>
    <w:sdtEndPr>
      <w:rPr>
        <w:sz w:val="28"/>
        <w:szCs w:val="28"/>
      </w:rPr>
    </w:sdtEndPr>
    <w:sdtContent>
      <w:p>
        <w:pPr>
          <w:pStyle w:val="3"/>
          <w:jc w:val="center"/>
          <w:rPr>
            <w:sz w:val="28"/>
            <w:szCs w:val="28"/>
          </w:rPr>
        </w:pPr>
        <w:r>
          <w:rPr>
            <w:sz w:val="28"/>
            <w:szCs w:val="28"/>
          </w:rPr>
          <w:t>-</w:t>
        </w:r>
        <w:r>
          <w:rPr>
            <w:sz w:val="28"/>
            <w:szCs w:val="28"/>
          </w:rPr>
          <w:fldChar w:fldCharType="begin"/>
        </w:r>
        <w:r>
          <w:rPr>
            <w:sz w:val="28"/>
            <w:szCs w:val="28"/>
          </w:rPr>
          <w:instrText xml:space="preserve">PAGE   \* MERGEFORMAT</w:instrText>
        </w:r>
        <w:r>
          <w:rPr>
            <w:sz w:val="28"/>
            <w:szCs w:val="28"/>
          </w:rPr>
          <w:fldChar w:fldCharType="separate"/>
        </w:r>
        <w:r>
          <w:rPr>
            <w:sz w:val="28"/>
            <w:szCs w:val="28"/>
            <w:lang w:val="zh-CN"/>
          </w:rPr>
          <w:t>2</w:t>
        </w:r>
        <w:r>
          <w:rPr>
            <w:sz w:val="28"/>
            <w:szCs w:val="28"/>
          </w:rPr>
          <w:fldChar w:fldCharType="end"/>
        </w:r>
        <w:r>
          <w:rPr>
            <w:sz w:val="28"/>
            <w:szCs w:val="28"/>
          </w:rPr>
          <w:t>-</w:t>
        </w:r>
      </w:p>
    </w:sdtContent>
  </w:sdt>
  <w:p>
    <w:pPr>
      <w:pStyle w:val="3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2">
    <w:p>
      <w:r>
        <w:separator/>
      </w:r>
    </w:p>
  </w:footnote>
  <w:footnote w:type="continuationSeparator" w:id="3">
    <w:p>
      <w:r>
        <w:continuationSeparator/>
      </w:r>
    </w:p>
  </w:footnote>
  <w:footnote w:id="0">
    <w:p>
      <w:pPr>
        <w:pStyle w:val="5"/>
        <w:rPr>
          <w:rFonts w:ascii="仿宋_GB2312" w:hAnsi="仿宋_GB2312" w:eastAsia="仿宋_GB2312"/>
          <w:sz w:val="21"/>
        </w:rPr>
      </w:pPr>
      <w:r>
        <w:rPr>
          <w:rStyle w:val="10"/>
          <w:rFonts w:hint="eastAsia" w:ascii="仿宋_GB2312" w:hAnsi="仿宋_GB2312" w:eastAsia="仿宋_GB2312"/>
          <w:sz w:val="21"/>
        </w:rPr>
        <w:footnoteRef/>
      </w:r>
      <w:r>
        <w:rPr>
          <w:rFonts w:hint="eastAsia" w:ascii="仿宋_GB2312" w:hAnsi="仿宋_GB2312" w:eastAsia="仿宋_GB2312"/>
          <w:sz w:val="21"/>
        </w:rPr>
        <w:t xml:space="preserve"> 指标性质中，“约束性”是指江苏省工业互联网示范基地必须满足的基本条件；“引导性”是指江苏省工业互联网示范基地建议具备的优选条件。</w:t>
      </w:r>
    </w:p>
  </w:footnote>
</w:footnotes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person w15:author="uos">
    <w15:presenceInfo w15:providerId="None" w15:userId="uos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true"/>
  <w:bordersDoNotSurroundFooter w:val="true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 w:val="true"/>
  <w:documentProtection w:enforcement="0"/>
  <w:defaultTabStop w:val="420"/>
  <w:drawingGridHorizontalSpacing w:val="0"/>
  <w:drawingGridVerticalSpacing w:val="156"/>
  <w:displayHorizontalDrawingGridEvery w:val="0"/>
  <w:displayVerticalDrawingGridEvery w:val="2"/>
  <w:doNotShadeFormData w:val="true"/>
  <w:characterSpacingControl w:val="compressPunctuation"/>
  <w:doNotValidateAgainstSchema/>
  <w:doNotDemarcateInvalidXml/>
  <w:footnotePr>
    <w:footnote w:id="2"/>
    <w:footnote w:id="3"/>
  </w:footnotePr>
  <w:compat>
    <w:spaceForUL/>
    <w:balanceSingleByteDoubleByteWidth/>
    <w:doNotLeaveBackslashAlone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2A27"/>
    <w:rsid w:val="0003059C"/>
    <w:rsid w:val="0003212F"/>
    <w:rsid w:val="000324CB"/>
    <w:rsid w:val="00047ACB"/>
    <w:rsid w:val="000502B2"/>
    <w:rsid w:val="000532B4"/>
    <w:rsid w:val="00075E0E"/>
    <w:rsid w:val="000764B0"/>
    <w:rsid w:val="00080D32"/>
    <w:rsid w:val="00084008"/>
    <w:rsid w:val="000A147C"/>
    <w:rsid w:val="000A4555"/>
    <w:rsid w:val="000A6F0E"/>
    <w:rsid w:val="000B5E5E"/>
    <w:rsid w:val="000D0755"/>
    <w:rsid w:val="000D178B"/>
    <w:rsid w:val="000D31B9"/>
    <w:rsid w:val="000D4E45"/>
    <w:rsid w:val="000D582C"/>
    <w:rsid w:val="000D6312"/>
    <w:rsid w:val="000D7816"/>
    <w:rsid w:val="000E091C"/>
    <w:rsid w:val="000E472B"/>
    <w:rsid w:val="000E7E7A"/>
    <w:rsid w:val="001044A6"/>
    <w:rsid w:val="0010690F"/>
    <w:rsid w:val="0010755D"/>
    <w:rsid w:val="00113A0F"/>
    <w:rsid w:val="00116ED2"/>
    <w:rsid w:val="001170EF"/>
    <w:rsid w:val="00120922"/>
    <w:rsid w:val="00120C6C"/>
    <w:rsid w:val="00122C06"/>
    <w:rsid w:val="00124D84"/>
    <w:rsid w:val="001306D0"/>
    <w:rsid w:val="0013374E"/>
    <w:rsid w:val="0013459E"/>
    <w:rsid w:val="001364FC"/>
    <w:rsid w:val="00136571"/>
    <w:rsid w:val="00147235"/>
    <w:rsid w:val="001511DF"/>
    <w:rsid w:val="001556EF"/>
    <w:rsid w:val="0016677E"/>
    <w:rsid w:val="0016776A"/>
    <w:rsid w:val="00172803"/>
    <w:rsid w:val="00172A27"/>
    <w:rsid w:val="00177473"/>
    <w:rsid w:val="00194636"/>
    <w:rsid w:val="00195DA0"/>
    <w:rsid w:val="001A2991"/>
    <w:rsid w:val="001A684A"/>
    <w:rsid w:val="001B5B2D"/>
    <w:rsid w:val="001D409B"/>
    <w:rsid w:val="001D6B55"/>
    <w:rsid w:val="001E3A17"/>
    <w:rsid w:val="001E3FD2"/>
    <w:rsid w:val="001E4263"/>
    <w:rsid w:val="001E6AEA"/>
    <w:rsid w:val="00212755"/>
    <w:rsid w:val="00224234"/>
    <w:rsid w:val="00227573"/>
    <w:rsid w:val="00233DE9"/>
    <w:rsid w:val="00233EAD"/>
    <w:rsid w:val="00236B35"/>
    <w:rsid w:val="00237DE5"/>
    <w:rsid w:val="002418AC"/>
    <w:rsid w:val="00250A6A"/>
    <w:rsid w:val="00253F33"/>
    <w:rsid w:val="00281CC7"/>
    <w:rsid w:val="00282D6F"/>
    <w:rsid w:val="00290D41"/>
    <w:rsid w:val="00295F90"/>
    <w:rsid w:val="0029655B"/>
    <w:rsid w:val="002B0FDA"/>
    <w:rsid w:val="002B427C"/>
    <w:rsid w:val="002B67B6"/>
    <w:rsid w:val="002D5BFC"/>
    <w:rsid w:val="002D732B"/>
    <w:rsid w:val="002E01FF"/>
    <w:rsid w:val="002E2D2B"/>
    <w:rsid w:val="002E61DD"/>
    <w:rsid w:val="002E668F"/>
    <w:rsid w:val="002F496F"/>
    <w:rsid w:val="002F4E3B"/>
    <w:rsid w:val="002F54AA"/>
    <w:rsid w:val="002F622F"/>
    <w:rsid w:val="00304AA9"/>
    <w:rsid w:val="00314CC3"/>
    <w:rsid w:val="003171E4"/>
    <w:rsid w:val="00321DDB"/>
    <w:rsid w:val="00324382"/>
    <w:rsid w:val="00330EE1"/>
    <w:rsid w:val="0033421A"/>
    <w:rsid w:val="003403B4"/>
    <w:rsid w:val="00343D3F"/>
    <w:rsid w:val="003519C3"/>
    <w:rsid w:val="00352E3A"/>
    <w:rsid w:val="00356971"/>
    <w:rsid w:val="00361D27"/>
    <w:rsid w:val="00366FAF"/>
    <w:rsid w:val="0037082E"/>
    <w:rsid w:val="00382404"/>
    <w:rsid w:val="003853CC"/>
    <w:rsid w:val="00393F53"/>
    <w:rsid w:val="003B2C11"/>
    <w:rsid w:val="003B2E86"/>
    <w:rsid w:val="003C7308"/>
    <w:rsid w:val="003D1284"/>
    <w:rsid w:val="003D2A89"/>
    <w:rsid w:val="003D3E40"/>
    <w:rsid w:val="003E24C1"/>
    <w:rsid w:val="003F00CD"/>
    <w:rsid w:val="003F41E7"/>
    <w:rsid w:val="003F4335"/>
    <w:rsid w:val="003F5C52"/>
    <w:rsid w:val="00401640"/>
    <w:rsid w:val="00405F83"/>
    <w:rsid w:val="00407F43"/>
    <w:rsid w:val="0041063A"/>
    <w:rsid w:val="00412D24"/>
    <w:rsid w:val="0043307B"/>
    <w:rsid w:val="00437453"/>
    <w:rsid w:val="00441A75"/>
    <w:rsid w:val="00444FFB"/>
    <w:rsid w:val="004453A2"/>
    <w:rsid w:val="00450793"/>
    <w:rsid w:val="00454DA1"/>
    <w:rsid w:val="004663A5"/>
    <w:rsid w:val="00466422"/>
    <w:rsid w:val="00466BB0"/>
    <w:rsid w:val="00474488"/>
    <w:rsid w:val="00474531"/>
    <w:rsid w:val="00484928"/>
    <w:rsid w:val="004875BC"/>
    <w:rsid w:val="0049647A"/>
    <w:rsid w:val="0049751F"/>
    <w:rsid w:val="004A3FA3"/>
    <w:rsid w:val="004A4783"/>
    <w:rsid w:val="004B2BC6"/>
    <w:rsid w:val="004C15A3"/>
    <w:rsid w:val="004C3395"/>
    <w:rsid w:val="004D62DC"/>
    <w:rsid w:val="004D6468"/>
    <w:rsid w:val="004E13C6"/>
    <w:rsid w:val="004E3ECF"/>
    <w:rsid w:val="004F6023"/>
    <w:rsid w:val="004F7F05"/>
    <w:rsid w:val="00501EE6"/>
    <w:rsid w:val="005033AA"/>
    <w:rsid w:val="005044DD"/>
    <w:rsid w:val="00513C15"/>
    <w:rsid w:val="00514EEA"/>
    <w:rsid w:val="0052294C"/>
    <w:rsid w:val="00523A60"/>
    <w:rsid w:val="005240A4"/>
    <w:rsid w:val="00526745"/>
    <w:rsid w:val="00540306"/>
    <w:rsid w:val="00541F3F"/>
    <w:rsid w:val="00551EB2"/>
    <w:rsid w:val="00560B52"/>
    <w:rsid w:val="00560DF2"/>
    <w:rsid w:val="00562155"/>
    <w:rsid w:val="0057062A"/>
    <w:rsid w:val="0057080B"/>
    <w:rsid w:val="005809DF"/>
    <w:rsid w:val="00582AEE"/>
    <w:rsid w:val="00587469"/>
    <w:rsid w:val="00590889"/>
    <w:rsid w:val="005A11D9"/>
    <w:rsid w:val="005A5378"/>
    <w:rsid w:val="005B2182"/>
    <w:rsid w:val="005B4326"/>
    <w:rsid w:val="005D22C6"/>
    <w:rsid w:val="005E2A75"/>
    <w:rsid w:val="005E3F88"/>
    <w:rsid w:val="005E6FD5"/>
    <w:rsid w:val="005F7F44"/>
    <w:rsid w:val="006072AC"/>
    <w:rsid w:val="00612209"/>
    <w:rsid w:val="00617B52"/>
    <w:rsid w:val="00617D7C"/>
    <w:rsid w:val="00633BCC"/>
    <w:rsid w:val="0064598A"/>
    <w:rsid w:val="00645CF8"/>
    <w:rsid w:val="00650774"/>
    <w:rsid w:val="006551DC"/>
    <w:rsid w:val="00657012"/>
    <w:rsid w:val="006571CB"/>
    <w:rsid w:val="00661D6C"/>
    <w:rsid w:val="00665ACD"/>
    <w:rsid w:val="00670086"/>
    <w:rsid w:val="00671E0C"/>
    <w:rsid w:val="00672693"/>
    <w:rsid w:val="00684DD5"/>
    <w:rsid w:val="0069749C"/>
    <w:rsid w:val="006A211F"/>
    <w:rsid w:val="006A2790"/>
    <w:rsid w:val="006A64C2"/>
    <w:rsid w:val="006B262A"/>
    <w:rsid w:val="006B2769"/>
    <w:rsid w:val="006C0D53"/>
    <w:rsid w:val="006D2851"/>
    <w:rsid w:val="006D4B42"/>
    <w:rsid w:val="006E2DCA"/>
    <w:rsid w:val="006F0A3D"/>
    <w:rsid w:val="006F4C76"/>
    <w:rsid w:val="006F4C97"/>
    <w:rsid w:val="00703B42"/>
    <w:rsid w:val="0070739E"/>
    <w:rsid w:val="007273D6"/>
    <w:rsid w:val="0073087B"/>
    <w:rsid w:val="00733211"/>
    <w:rsid w:val="00766C4A"/>
    <w:rsid w:val="007777AE"/>
    <w:rsid w:val="007A694E"/>
    <w:rsid w:val="007B4A55"/>
    <w:rsid w:val="007C4052"/>
    <w:rsid w:val="007C561F"/>
    <w:rsid w:val="007D104F"/>
    <w:rsid w:val="007E104C"/>
    <w:rsid w:val="007E4530"/>
    <w:rsid w:val="007F0191"/>
    <w:rsid w:val="007F10B1"/>
    <w:rsid w:val="007F268F"/>
    <w:rsid w:val="008042B5"/>
    <w:rsid w:val="00815F06"/>
    <w:rsid w:val="008171DE"/>
    <w:rsid w:val="00822B16"/>
    <w:rsid w:val="00836ECA"/>
    <w:rsid w:val="00841378"/>
    <w:rsid w:val="00843898"/>
    <w:rsid w:val="00845A92"/>
    <w:rsid w:val="0085314D"/>
    <w:rsid w:val="00855AED"/>
    <w:rsid w:val="008603EF"/>
    <w:rsid w:val="0086068E"/>
    <w:rsid w:val="00860937"/>
    <w:rsid w:val="008658A9"/>
    <w:rsid w:val="008663B2"/>
    <w:rsid w:val="00875103"/>
    <w:rsid w:val="0087594D"/>
    <w:rsid w:val="0088113D"/>
    <w:rsid w:val="00891CEE"/>
    <w:rsid w:val="008958AF"/>
    <w:rsid w:val="008A30F8"/>
    <w:rsid w:val="008A343F"/>
    <w:rsid w:val="008B0564"/>
    <w:rsid w:val="008B5C2D"/>
    <w:rsid w:val="008B6311"/>
    <w:rsid w:val="008C07DE"/>
    <w:rsid w:val="008C4038"/>
    <w:rsid w:val="008E1E17"/>
    <w:rsid w:val="008F380A"/>
    <w:rsid w:val="008F3CEC"/>
    <w:rsid w:val="009049FD"/>
    <w:rsid w:val="00915876"/>
    <w:rsid w:val="00926C02"/>
    <w:rsid w:val="009346A3"/>
    <w:rsid w:val="00936048"/>
    <w:rsid w:val="00937A4D"/>
    <w:rsid w:val="0094276F"/>
    <w:rsid w:val="00950CC5"/>
    <w:rsid w:val="00950F0C"/>
    <w:rsid w:val="009539A4"/>
    <w:rsid w:val="00962E91"/>
    <w:rsid w:val="00965FDB"/>
    <w:rsid w:val="0096662F"/>
    <w:rsid w:val="00966A91"/>
    <w:rsid w:val="009703A6"/>
    <w:rsid w:val="00976A02"/>
    <w:rsid w:val="009851B6"/>
    <w:rsid w:val="00993FE2"/>
    <w:rsid w:val="009944CB"/>
    <w:rsid w:val="009A29E1"/>
    <w:rsid w:val="009B7E5C"/>
    <w:rsid w:val="009C1990"/>
    <w:rsid w:val="009C25B2"/>
    <w:rsid w:val="009C361E"/>
    <w:rsid w:val="009C3798"/>
    <w:rsid w:val="009C47F1"/>
    <w:rsid w:val="009D0F42"/>
    <w:rsid w:val="009D2D00"/>
    <w:rsid w:val="009D2F2C"/>
    <w:rsid w:val="009E111D"/>
    <w:rsid w:val="009F31C6"/>
    <w:rsid w:val="00A107AF"/>
    <w:rsid w:val="00A2687B"/>
    <w:rsid w:val="00A27091"/>
    <w:rsid w:val="00A34EEB"/>
    <w:rsid w:val="00A40456"/>
    <w:rsid w:val="00A41FE0"/>
    <w:rsid w:val="00A428EB"/>
    <w:rsid w:val="00A454C0"/>
    <w:rsid w:val="00A52642"/>
    <w:rsid w:val="00A548FF"/>
    <w:rsid w:val="00A55ED6"/>
    <w:rsid w:val="00A5766F"/>
    <w:rsid w:val="00A6133E"/>
    <w:rsid w:val="00A62B0C"/>
    <w:rsid w:val="00A6369C"/>
    <w:rsid w:val="00A720DD"/>
    <w:rsid w:val="00A76D1C"/>
    <w:rsid w:val="00A80C82"/>
    <w:rsid w:val="00A84687"/>
    <w:rsid w:val="00A87193"/>
    <w:rsid w:val="00A87A93"/>
    <w:rsid w:val="00A90357"/>
    <w:rsid w:val="00A95860"/>
    <w:rsid w:val="00AA11A3"/>
    <w:rsid w:val="00AA2DA1"/>
    <w:rsid w:val="00AB1561"/>
    <w:rsid w:val="00AB494F"/>
    <w:rsid w:val="00AB7BA0"/>
    <w:rsid w:val="00AC090F"/>
    <w:rsid w:val="00AC0D05"/>
    <w:rsid w:val="00AE33AC"/>
    <w:rsid w:val="00AF2CEF"/>
    <w:rsid w:val="00AF4130"/>
    <w:rsid w:val="00AF4B73"/>
    <w:rsid w:val="00B03DC2"/>
    <w:rsid w:val="00B101A3"/>
    <w:rsid w:val="00B11106"/>
    <w:rsid w:val="00B13AB0"/>
    <w:rsid w:val="00B13EE3"/>
    <w:rsid w:val="00B145BE"/>
    <w:rsid w:val="00B16082"/>
    <w:rsid w:val="00B410CE"/>
    <w:rsid w:val="00B45D52"/>
    <w:rsid w:val="00B534BE"/>
    <w:rsid w:val="00B62205"/>
    <w:rsid w:val="00B64A79"/>
    <w:rsid w:val="00B766B3"/>
    <w:rsid w:val="00B851D8"/>
    <w:rsid w:val="00B85EB5"/>
    <w:rsid w:val="00BA3749"/>
    <w:rsid w:val="00BA57A2"/>
    <w:rsid w:val="00BA6786"/>
    <w:rsid w:val="00BB00BB"/>
    <w:rsid w:val="00BC1B88"/>
    <w:rsid w:val="00BC1C69"/>
    <w:rsid w:val="00BC3A25"/>
    <w:rsid w:val="00BC568A"/>
    <w:rsid w:val="00BD214D"/>
    <w:rsid w:val="00BE050C"/>
    <w:rsid w:val="00BE0BED"/>
    <w:rsid w:val="00BE1AF2"/>
    <w:rsid w:val="00BE2B60"/>
    <w:rsid w:val="00BE52D1"/>
    <w:rsid w:val="00BE6CC2"/>
    <w:rsid w:val="00C000CC"/>
    <w:rsid w:val="00C11C3C"/>
    <w:rsid w:val="00C204C8"/>
    <w:rsid w:val="00C2621C"/>
    <w:rsid w:val="00C26452"/>
    <w:rsid w:val="00C3359E"/>
    <w:rsid w:val="00C3749E"/>
    <w:rsid w:val="00C44003"/>
    <w:rsid w:val="00C5279D"/>
    <w:rsid w:val="00C53C5E"/>
    <w:rsid w:val="00C56304"/>
    <w:rsid w:val="00C638F9"/>
    <w:rsid w:val="00C74E86"/>
    <w:rsid w:val="00C80490"/>
    <w:rsid w:val="00C841A5"/>
    <w:rsid w:val="00C85DAB"/>
    <w:rsid w:val="00C908E5"/>
    <w:rsid w:val="00C92509"/>
    <w:rsid w:val="00C93241"/>
    <w:rsid w:val="00CA44E3"/>
    <w:rsid w:val="00CB07E7"/>
    <w:rsid w:val="00CC3B4E"/>
    <w:rsid w:val="00CC4A18"/>
    <w:rsid w:val="00CC73AA"/>
    <w:rsid w:val="00CD0DD6"/>
    <w:rsid w:val="00CD15A1"/>
    <w:rsid w:val="00CF6A6F"/>
    <w:rsid w:val="00CF7FAE"/>
    <w:rsid w:val="00D136DA"/>
    <w:rsid w:val="00D24C9C"/>
    <w:rsid w:val="00D41AFE"/>
    <w:rsid w:val="00D46909"/>
    <w:rsid w:val="00D4782B"/>
    <w:rsid w:val="00D503ED"/>
    <w:rsid w:val="00D578C2"/>
    <w:rsid w:val="00D6163D"/>
    <w:rsid w:val="00D635BD"/>
    <w:rsid w:val="00D67708"/>
    <w:rsid w:val="00D67C0D"/>
    <w:rsid w:val="00D930BF"/>
    <w:rsid w:val="00D93536"/>
    <w:rsid w:val="00D95AB0"/>
    <w:rsid w:val="00DA0EB1"/>
    <w:rsid w:val="00DA16BE"/>
    <w:rsid w:val="00DA3359"/>
    <w:rsid w:val="00DB7572"/>
    <w:rsid w:val="00DC1BAE"/>
    <w:rsid w:val="00DC351B"/>
    <w:rsid w:val="00DC4CCE"/>
    <w:rsid w:val="00DD08F4"/>
    <w:rsid w:val="00DE0954"/>
    <w:rsid w:val="00DE09ED"/>
    <w:rsid w:val="00DE255A"/>
    <w:rsid w:val="00DF040C"/>
    <w:rsid w:val="00DF0CAC"/>
    <w:rsid w:val="00DF3A03"/>
    <w:rsid w:val="00E00DAD"/>
    <w:rsid w:val="00E06F42"/>
    <w:rsid w:val="00E07419"/>
    <w:rsid w:val="00E12E61"/>
    <w:rsid w:val="00E15CAD"/>
    <w:rsid w:val="00E2619A"/>
    <w:rsid w:val="00E26666"/>
    <w:rsid w:val="00E26D97"/>
    <w:rsid w:val="00E311D2"/>
    <w:rsid w:val="00E4651C"/>
    <w:rsid w:val="00E51ECB"/>
    <w:rsid w:val="00E539A5"/>
    <w:rsid w:val="00E5696D"/>
    <w:rsid w:val="00E574F8"/>
    <w:rsid w:val="00E72B6C"/>
    <w:rsid w:val="00E87375"/>
    <w:rsid w:val="00E878E3"/>
    <w:rsid w:val="00E87FE4"/>
    <w:rsid w:val="00E93788"/>
    <w:rsid w:val="00E93F96"/>
    <w:rsid w:val="00E95C63"/>
    <w:rsid w:val="00E9629B"/>
    <w:rsid w:val="00EA2709"/>
    <w:rsid w:val="00EC0290"/>
    <w:rsid w:val="00EC11D3"/>
    <w:rsid w:val="00EC5421"/>
    <w:rsid w:val="00EC74D8"/>
    <w:rsid w:val="00EC7FDA"/>
    <w:rsid w:val="00ED65B2"/>
    <w:rsid w:val="00EE013B"/>
    <w:rsid w:val="00EE1BB6"/>
    <w:rsid w:val="00EE2F8E"/>
    <w:rsid w:val="00EE5FA3"/>
    <w:rsid w:val="00EE722F"/>
    <w:rsid w:val="00EF1214"/>
    <w:rsid w:val="00EF68E1"/>
    <w:rsid w:val="00F05CC3"/>
    <w:rsid w:val="00F0787E"/>
    <w:rsid w:val="00F1316F"/>
    <w:rsid w:val="00F14324"/>
    <w:rsid w:val="00F15379"/>
    <w:rsid w:val="00F245E4"/>
    <w:rsid w:val="00F254E5"/>
    <w:rsid w:val="00F27CE6"/>
    <w:rsid w:val="00F36740"/>
    <w:rsid w:val="00F37DC0"/>
    <w:rsid w:val="00F417AE"/>
    <w:rsid w:val="00F4254D"/>
    <w:rsid w:val="00F53B3D"/>
    <w:rsid w:val="00F562A6"/>
    <w:rsid w:val="00F66A5A"/>
    <w:rsid w:val="00F716D1"/>
    <w:rsid w:val="00F74C65"/>
    <w:rsid w:val="00F74DD0"/>
    <w:rsid w:val="00F83299"/>
    <w:rsid w:val="00F851E5"/>
    <w:rsid w:val="00F86BB6"/>
    <w:rsid w:val="00F878D5"/>
    <w:rsid w:val="00F92364"/>
    <w:rsid w:val="00F9328F"/>
    <w:rsid w:val="00F96F5F"/>
    <w:rsid w:val="00FA7495"/>
    <w:rsid w:val="00FB0F57"/>
    <w:rsid w:val="00FB1C87"/>
    <w:rsid w:val="00FB3CA0"/>
    <w:rsid w:val="00FB441C"/>
    <w:rsid w:val="00FB5D82"/>
    <w:rsid w:val="00FB7621"/>
    <w:rsid w:val="00FC37D3"/>
    <w:rsid w:val="00FD33C4"/>
    <w:rsid w:val="00FD55B6"/>
    <w:rsid w:val="00FD63BA"/>
    <w:rsid w:val="00FE0F24"/>
    <w:rsid w:val="00FE2A9F"/>
    <w:rsid w:val="00FE2D98"/>
    <w:rsid w:val="00FE5741"/>
    <w:rsid w:val="00FF04CF"/>
    <w:rsid w:val="00FF0670"/>
    <w:rsid w:val="00FF0DBE"/>
    <w:rsid w:val="FBCFBA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qFormat="1" w:unhideWhenUsed="0" w:uiPriority="0" w:semiHidden="0" w:name="footnote text"/>
    <w:lsdException w:uiPriority="99" w:name="annotation text"/>
    <w:lsdException w:qFormat="1" w:unhideWhenUsed="0" w:uiPriority="0" w:semiHidden="0" w:name="header"/>
    <w:lsdException w:qFormat="1" w:unhideWhenUsed="0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qFormat="1" w:unhideWhenUsed="0" w:uiPriority="0" w:semiHidden="0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4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15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styleId="5">
    <w:name w:val="footnote text"/>
    <w:basedOn w:val="1"/>
    <w:link w:val="13"/>
    <w:qFormat/>
    <w:uiPriority w:val="0"/>
    <w:pPr>
      <w:snapToGrid w:val="0"/>
      <w:jc w:val="left"/>
    </w:pPr>
    <w:rPr>
      <w:sz w:val="18"/>
    </w:rPr>
  </w:style>
  <w:style w:type="table" w:styleId="7">
    <w:name w:val="Table Grid"/>
    <w:basedOn w:val="6"/>
    <w:qFormat/>
    <w:uiPriority w:val="39"/>
    <w:rPr>
      <w:rFonts w:ascii="等线" w:hAnsi="等线" w:eastAsia="等线"/>
      <w:kern w:val="2"/>
      <w:sz w:val="21"/>
      <w:szCs w:val="22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9">
    <w:name w:val="page number"/>
    <w:basedOn w:val="8"/>
    <w:qFormat/>
    <w:uiPriority w:val="0"/>
  </w:style>
  <w:style w:type="character" w:styleId="10">
    <w:name w:val="footnote reference"/>
    <w:qFormat/>
    <w:uiPriority w:val="0"/>
    <w:rPr>
      <w:vertAlign w:val="superscript"/>
    </w:rPr>
  </w:style>
  <w:style w:type="character" w:customStyle="1" w:styleId="11">
    <w:name w:val="页码1"/>
    <w:basedOn w:val="8"/>
    <w:qFormat/>
    <w:uiPriority w:val="0"/>
  </w:style>
  <w:style w:type="paragraph" w:customStyle="1" w:styleId="12">
    <w:name w:val="Default Paragraph Font Para Char Char Char Char Char Char"/>
    <w:basedOn w:val="1"/>
    <w:qFormat/>
    <w:uiPriority w:val="0"/>
    <w:pPr>
      <w:widowControl/>
      <w:spacing w:after="160" w:line="240" w:lineRule="exact"/>
      <w:jc w:val="left"/>
    </w:pPr>
  </w:style>
  <w:style w:type="character" w:customStyle="1" w:styleId="13">
    <w:name w:val="脚注文本 Char"/>
    <w:link w:val="5"/>
    <w:qFormat/>
    <w:uiPriority w:val="0"/>
    <w:rPr>
      <w:rFonts w:ascii="Calibri" w:hAnsi="Calibri"/>
      <w:kern w:val="2"/>
      <w:sz w:val="18"/>
      <w:szCs w:val="24"/>
    </w:rPr>
  </w:style>
  <w:style w:type="character" w:customStyle="1" w:styleId="14">
    <w:name w:val="批注框文本 Char"/>
    <w:link w:val="2"/>
    <w:semiHidden/>
    <w:qFormat/>
    <w:uiPriority w:val="99"/>
    <w:rPr>
      <w:rFonts w:ascii="Calibri" w:hAnsi="Calibri"/>
      <w:kern w:val="2"/>
      <w:sz w:val="18"/>
      <w:szCs w:val="18"/>
    </w:rPr>
  </w:style>
  <w:style w:type="character" w:customStyle="1" w:styleId="15">
    <w:name w:val="页脚 Char"/>
    <w:basedOn w:val="8"/>
    <w:link w:val="3"/>
    <w:qFormat/>
    <w:uiPriority w:val="99"/>
    <w:rPr>
      <w:rFonts w:ascii="Calibri" w:hAnsi="Calibri"/>
      <w:kern w:val="2"/>
      <w:sz w:val="18"/>
      <w:szCs w:val="24"/>
    </w:rPr>
  </w:style>
  <w:style w:type="paragraph" w:styleId="16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8" Type="http://schemas.microsoft.com/office/2011/relationships/people" Target="people.xml"/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169</Words>
  <Characters>969</Characters>
  <Lines>8</Lines>
  <Paragraphs>2</Paragraphs>
  <TotalTime>1</TotalTime>
  <ScaleCrop>false</ScaleCrop>
  <LinksUpToDate>false</LinksUpToDate>
  <CharactersWithSpaces>1136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2022-08-22T14:19:00Z</dcterms:created>
  <dc:creator>jxl</dc:creator>
  <cp:lastModifiedBy>uos</cp:lastModifiedBy>
  <cp:lastPrinted>2016-11-03T02:06:00Z</cp:lastPrinted>
  <dcterms:modified xsi:type="dcterms:W3CDTF">2022-08-24T09:49:16Z</dcterms:modified>
  <dc:title>jxl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