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 w:bidi="ar"/>
        </w:rPr>
        <w:t>拟认定的2024年第二批新型墙体材料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 w:bidi="ar"/>
        </w:rPr>
        <w:t>产品名单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 w:bidi="ar"/>
        </w:rPr>
      </w:pPr>
    </w:p>
    <w:tbl>
      <w:tblPr>
        <w:tblStyle w:val="2"/>
        <w:tblW w:w="8278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3535"/>
        <w:gridCol w:w="39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南京马斯德克门业有限公司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金属面夹芯板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徐州市晶鑫新材料有限公司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CC混凝土复合保温砌块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常熟佳辉新材料科技有限公司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蒸压加气混凝土砌块（灰）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常熟佳辉新材料科技有限公司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蒸压加气混凝土砌块（砂）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苏志晟新型建材科技有限公司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预制叠合板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江苏志晟新型建材科技有限公司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预制墙板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江苏志晟新型建材科技有限公司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预制楼梯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江苏宇辉新材料集团有限公司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预制墙板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江苏宇辉新材料集团有限公司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预制叠合楼板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江苏宇辉新材料集团有限公司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预制楼梯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江苏锦上建筑科技有限公司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蒸压灰砂实心砖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江苏锦上建筑科技有限公司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蒸压粉煤灰砖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巢湖银河新型建材有限公司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蒸压加气混凝土板（外墙板、砂）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巢湖银河新型建材有限公司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蒸压加气混凝土板（隔墙板、砂）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山东隆湖新材料科技有限公司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承重混凝土多孔砖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3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山东鲁盈建材有限公司</w:t>
            </w:r>
          </w:p>
        </w:tc>
        <w:tc>
          <w:tcPr>
            <w:tcW w:w="394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建筑用轻质隔墙条板</w:t>
            </w:r>
          </w:p>
        </w:tc>
      </w:tr>
    </w:tbl>
    <w:p>
      <w:pPr>
        <w:rPr>
          <w:rFonts w:eastAsia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2NDE3OGZkNTU0NzFlNGE2YzM1MDFhZWM2ZmUzMDcifQ=="/>
  </w:docVars>
  <w:rsids>
    <w:rsidRoot w:val="615E1C46"/>
    <w:rsid w:val="1EF46119"/>
    <w:rsid w:val="26DA34D0"/>
    <w:rsid w:val="539354E6"/>
    <w:rsid w:val="615E1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399</Characters>
  <Lines>0</Lines>
  <Paragraphs>0</Paragraphs>
  <TotalTime>6</TotalTime>
  <ScaleCrop>false</ScaleCrop>
  <LinksUpToDate>false</LinksUpToDate>
  <CharactersWithSpaces>399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2024-08-29T09:06:00Z</dcterms:created>
  <dc:creator>陆宇恒</dc:creator>
  <cp:lastModifiedBy>陆宇恒</cp:lastModifiedBy>
  <cp:lastPrinted>2024-09-12T07:39:17Z</cp:lastPrinted>
  <dcterms:modified xsi:type="dcterms:W3CDTF">2024-09-12T07:52:22Z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A76B1DB85EED4722A3699E1E24CFC19E_11</vt:lpwstr>
  </property>
</Properties>
</file>